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Navios Maritime Holdings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0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9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Y62197119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9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Vasiliki Papaefthymiou,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 Shipmanagement Acquisition Corp.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85 Akti Miaouli Street, Piraeus, Greece 185 38</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+302104595000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9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14,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9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Y62197119</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Angeliki Frangou</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Greece</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2"/>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54,233,495 (includes shares beneficially owned by N Logistics Holdings Corporation and N Shipmanagement</w:t>
            </w:r>
          </w:p>
        </w:tc>
        <w:tc>
          <w:tcPr>
            <w:tcW w:w="0" w:type="dxa"/>
            <w:vAlign w:val="bottom"/>
          </w:tcPr>
          <w:p>
            <w:pPr>
              <w:spacing w:after="0"/>
              <w:rPr>
                <w:sz w:val="1"/>
                <w:szCs w:val="1"/>
                <w:color w:val="auto"/>
              </w:rPr>
            </w:pPr>
          </w:p>
        </w:tc>
      </w:tr>
      <w:tr>
        <w:trPr>
          <w:trHeight w:val="180"/>
        </w:trPr>
        <w:tc>
          <w:tcPr>
            <w:tcW w:w="1520" w:type="dxa"/>
            <w:vAlign w:val="bottom"/>
            <w:tcBorders>
              <w:left w:val="single" w:sz="8" w:color="auto"/>
              <w:right w:val="single" w:sz="8" w:color="auto"/>
            </w:tcBorders>
            <w:gridSpan w:val="3"/>
            <w:vMerge w:val="continue"/>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8980" w:type="dxa"/>
            <w:vAlign w:val="bottom"/>
            <w:tcBorders>
              <w:right w:val="single" w:sz="8" w:color="auto"/>
            </w:tcBorders>
          </w:tcPr>
          <w:p>
            <w:pPr>
              <w:ind w:left="180"/>
              <w:spacing w:after="0" w:line="181" w:lineRule="exact"/>
              <w:rPr>
                <w:sz w:val="20"/>
                <w:szCs w:val="20"/>
                <w:color w:val="auto"/>
              </w:rPr>
            </w:pPr>
            <w:r>
              <w:rPr>
                <w:rFonts w:ascii="Times New Roman" w:cs="Times New Roman" w:eastAsia="Times New Roman" w:hAnsi="Times New Roman"/>
                <w:sz w:val="18"/>
                <w:szCs w:val="18"/>
                <w:color w:val="auto"/>
              </w:rPr>
              <w:t>Acquisition Corp.) (1)</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54,233,495 (includes shares beneficially owned by N Logistics Holdings Corporation and N Shipmanagement</w:t>
            </w:r>
          </w:p>
        </w:tc>
        <w:tc>
          <w:tcPr>
            <w:tcW w:w="0" w:type="dxa"/>
            <w:vAlign w:val="bottom"/>
          </w:tcPr>
          <w:p>
            <w:pPr>
              <w:spacing w:after="0"/>
              <w:rPr>
                <w:sz w:val="1"/>
                <w:szCs w:val="1"/>
                <w:color w:val="auto"/>
              </w:rPr>
            </w:pPr>
          </w:p>
        </w:tc>
      </w:tr>
      <w:tr>
        <w:trPr>
          <w:trHeight w:val="148"/>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right w:val="single" w:sz="8" w:color="auto"/>
            </w:tcBorders>
          </w:tcPr>
          <w:p>
            <w:pPr>
              <w:spacing w:after="0"/>
              <w:rPr>
                <w:sz w:val="12"/>
                <w:szCs w:val="12"/>
                <w:color w:val="auto"/>
              </w:rPr>
            </w:pPr>
          </w:p>
        </w:tc>
        <w:tc>
          <w:tcPr>
            <w:tcW w:w="89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Acquisition Corp.) (1)</w:t>
            </w:r>
          </w:p>
        </w:tc>
        <w:tc>
          <w:tcPr>
            <w:tcW w:w="0" w:type="dxa"/>
            <w:vAlign w:val="bottom"/>
          </w:tcPr>
          <w:p>
            <w:pPr>
              <w:spacing w:after="0"/>
              <w:rPr>
                <w:sz w:val="1"/>
                <w:szCs w:val="1"/>
                <w:color w:val="auto"/>
              </w:rPr>
            </w:pPr>
          </w:p>
        </w:tc>
      </w:tr>
      <w:tr>
        <w:trPr>
          <w:trHeight w:val="155"/>
        </w:trPr>
        <w:tc>
          <w:tcPr>
            <w:tcW w:w="34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89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54,233,495 (includes shares beneficially owned by N Logistics Holdings Corporation and N Shipmanagement Acquisition Corp.) (1)</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100% (2)</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4"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31,407,045 shares of Common Stock, par value $0.0001 per share (“Common Stock”), of Navios Maritime Holdings Inc. (the “Issuer”) issuable as of December 14, 2023 upon conversion of a Convertible Debenture described herein which shares of Common Stock are (although not yet issued) deemed outstanding and included pursuant to Rule 13d-3(d)(1)(i) under the Act. Under the terms of the Convertible Debenture, the number of shares of Common Stock issuable upon conversion thereof will increase to the extent that amounts outstanding under the Convertible Debenture increase.</w:t>
      </w:r>
    </w:p>
    <w:p>
      <w:pPr>
        <w:spacing w:after="0" w:line="3"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54,233,495 shares of Common Stock, reflecting 22,826,450 shares of Common Stock issued and outstanding as of December 14, 2023, based on information provided by the Issuer, plus the 31,407,045 shares of Common Stock in the aggregate underlying the Convertible Debenture described herein as of December 14, 2023 which shares of Common Stock are (although not yet issued) deemed outstanding and included pursuant to Rule 13d-3(d)(1)(i) under the Act.</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Page 2 of 8 Pages</w:t>
      </w:r>
    </w:p>
    <w:p>
      <w:pPr>
        <w:sectPr>
          <w:pgSz w:w="11900" w:h="16838" w:orient="portrait"/>
          <w:cols w:equalWidth="0" w:num="1">
            <w:col w:w="10964"/>
          </w:cols>
          <w:pgMar w:left="436" w:top="270" w:right="49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Y62197119</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Amadeus Maritime S.A.</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Panama</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 (1)</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22,826,450 shares of Common Stock issued and outstanding as of December 14, 2023, based on information provided by the Issuer.</w:t>
      </w:r>
    </w:p>
    <w:p>
      <w:pPr>
        <w:spacing w:after="0" w:line="157" w:lineRule="exact"/>
        <w:rPr>
          <w:rFonts w:ascii="Times New Roman" w:cs="Times New Roman" w:eastAsia="Times New Roman" w:hAnsi="Times New Roman"/>
          <w:sz w:val="18"/>
          <w:szCs w:val="18"/>
          <w:color w:val="auto"/>
        </w:rPr>
      </w:pPr>
    </w:p>
    <w:p>
      <w:pPr>
        <w:ind w:left="48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3 of 8 Pages</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Y62197119</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Raymar Investments S.A.</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Panama</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 (1)</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22,826,450 shares of Common Stock issued and outstanding as of December 14, 2023, based on information provided by the Issuer.</w:t>
      </w:r>
    </w:p>
    <w:p>
      <w:pPr>
        <w:spacing w:after="0" w:line="157" w:lineRule="exact"/>
        <w:rPr>
          <w:rFonts w:ascii="Times New Roman" w:cs="Times New Roman" w:eastAsia="Times New Roman" w:hAnsi="Times New Roman"/>
          <w:sz w:val="18"/>
          <w:szCs w:val="18"/>
          <w:color w:val="auto"/>
        </w:rPr>
      </w:pPr>
    </w:p>
    <w:p>
      <w:pPr>
        <w:ind w:left="48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4 of 8 Pages</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Y62197119</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 Shipmanagement Acquisition Corp.</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3"/>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0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Republic of the Marshall Islands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31,407,045 (1)</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3"/>
                <w:szCs w:val="13"/>
                <w:color w:val="auto"/>
              </w:rPr>
            </w:pPr>
          </w:p>
        </w:tc>
        <w:tc>
          <w:tcPr>
            <w:tcW w:w="8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31,407,045 (1)</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31,407,045 (1)</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57.9% (2)</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31,407,045 shares of Common Stock issuable, as of December 14, 2023, upon conversion of a Convertible Debenture described herein which shares of Common Stock are (although not yet issued) deemed outstanding and included pursuant to Rule 13d-3(d)(1)(i) under the Act. Under the terms of the Convertible Debenture, the number of shares of Common Stock issuable upon conversion thereof will increase to the extent that amounts outstanding under the Convertible Debenture increase.</w:t>
      </w:r>
    </w:p>
    <w:p>
      <w:pPr>
        <w:spacing w:after="0" w:line="2"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54,233,495 shares of Common Stock, reflecting 22,826,450 shares of Common Stock issued and outstanding as of December 14, 2023, based on information provided by the Issuer, plus the 31,407,045 shares of Common Stock underlying the Convertible Debenture described herein as of December 14, 2023 which shares of Common Stock are (although not yet issued) deemed outstanding and included pursuant to Rule 13d-3(d)(1)(i) under the Act.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5 of 8 Pages</w:t>
      </w:r>
    </w:p>
    <w:p>
      <w:pPr>
        <w:sectPr>
          <w:pgSz w:w="11900" w:h="16838" w:orient="portrait"/>
          <w:cols w:equalWidth="0" w:num="1">
            <w:col w:w="11004"/>
          </w:cols>
          <w:pgMar w:left="436" w:top="270"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11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Except as specifically amended and supplemented by this Amendment No. 20 (this “</w:t>
      </w:r>
      <w:r>
        <w:rPr>
          <w:rFonts w:ascii="Times New Roman" w:cs="Times New Roman" w:eastAsia="Times New Roman" w:hAnsi="Times New Roman"/>
          <w:sz w:val="18"/>
          <w:szCs w:val="18"/>
          <w:b w:val="1"/>
          <w:bCs w:val="1"/>
          <w:color w:val="auto"/>
        </w:rPr>
        <w:t>Amendment No. 20</w:t>
      </w:r>
      <w:r>
        <w:rPr>
          <w:rFonts w:ascii="Times New Roman" w:cs="Times New Roman" w:eastAsia="Times New Roman" w:hAnsi="Times New Roman"/>
          <w:sz w:val="18"/>
          <w:szCs w:val="18"/>
          <w:color w:val="auto"/>
        </w:rPr>
        <w:t>”), and by Amendment No. 1 filed on February 2, 2005, Amendment No. 2 filed on May 27, 2005, Amendment No. 3 filed on July 29, 2005, Amendment No. 4 filed on February 16, 2006, Amendment No. 5 filed on May 18, 2007, Amendment No. 6 filed on June 5, 2007, Amendment No. 7 filed on October 28, 2010, Amendment No. 8 filed on April 29, 2014, Amendment No. 9 filed on May 15, 2015, Amendment No. 10 filed on April 12, 2007, Amendment No. 11 filed on April 13, 2018, Amendment No. 12 filed on September 9, 2019, Amendment No. 13 filed on January 10, 2022, Amendment No. 14 filed on April 7, 2022, Amendment No. 15 filed on July 8, 2022, Amendment No. 16 filed on August 5, 2022, Amendment No. 17 filed on September 13, 2022, Amendment No. 18 filed on September 13, 2023 and Amendment No. 19 filed on October 24, 2023, all other disclosure contained in the Schedule 13D filed by the Reporting Persons on December 16, 2004 (the “</w:t>
      </w:r>
      <w:r>
        <w:rPr>
          <w:rFonts w:ascii="Times New Roman" w:cs="Times New Roman" w:eastAsia="Times New Roman" w:hAnsi="Times New Roman"/>
          <w:sz w:val="18"/>
          <w:szCs w:val="18"/>
          <w:b w:val="1"/>
          <w:bCs w:val="1"/>
          <w:color w:val="auto"/>
        </w:rPr>
        <w:t>Original Schedule 13D</w:t>
      </w:r>
      <w:r>
        <w:rPr>
          <w:rFonts w:ascii="Times New Roman" w:cs="Times New Roman" w:eastAsia="Times New Roman" w:hAnsi="Times New Roman"/>
          <w:sz w:val="18"/>
          <w:szCs w:val="18"/>
          <w:color w:val="auto"/>
        </w:rPr>
        <w:t>”) remain in full force and effect. The Original Schedule 13D together with each of the Amendments thereto is referred to herein as the “Schedule 13D.” Capitalized terms used herein and not otherwise defined shall have the same meanings ascribed to them in the Original Schedule 13D.</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Item 3 of the Schedule 13D is hereby amended and supplemented to incorporate by reference the information set forth in Item 4 of this Amendment No. 20.</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to include the following:</w:t>
      </w:r>
    </w:p>
    <w:p>
      <w:pPr>
        <w:spacing w:after="0" w:line="221"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On December 14, 2023, the Issuer, N Logistics Holdings Corporation (“</w:t>
      </w:r>
      <w:r>
        <w:rPr>
          <w:rFonts w:ascii="Times New Roman" w:cs="Times New Roman" w:eastAsia="Times New Roman" w:hAnsi="Times New Roman"/>
          <w:sz w:val="18"/>
          <w:szCs w:val="18"/>
          <w:b w:val="1"/>
          <w:bCs w:val="1"/>
          <w:color w:val="auto"/>
        </w:rPr>
        <w:t>NLHC</w:t>
      </w:r>
      <w:r>
        <w:rPr>
          <w:rFonts w:ascii="Times New Roman" w:cs="Times New Roman" w:eastAsia="Times New Roman" w:hAnsi="Times New Roman"/>
          <w:sz w:val="18"/>
          <w:szCs w:val="18"/>
          <w:color w:val="auto"/>
        </w:rPr>
        <w:t>”), a company affiliated with Ms. Frangou and Navigation Merger Sub Inc., a wholly owned subsidiary of NLHC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completed the transactions contemplated by the previously reported Agreement and Plan of Merger, dated October 22, 2023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Issuer, NLHC, Merger Sub and, for limited purposes, N Shipmanagement Acquisition Corp. Pursuant to the Merger Agreement, Merger Sub was merged with and into the Issuer, with the Issuer continuing as the surviving corporation and as a subsidiary of NLHC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of the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each share of Common Stock outstanding immediately prior to the Effective Time (other than shares of Common Stock held by (i) the Issuer or any of its subsidiaries or (ii) NLHC or Merger Sub) was converted into the right to receive $2.28 per share in cash, without interest and subject to any applicable withholding taxes (the “</w:t>
      </w:r>
      <w:r>
        <w:rPr>
          <w:rFonts w:ascii="Times New Roman" w:cs="Times New Roman" w:eastAsia="Times New Roman" w:hAnsi="Times New Roman"/>
          <w:sz w:val="18"/>
          <w:szCs w:val="18"/>
          <w:b w:val="1"/>
          <w:bCs w:val="1"/>
          <w:color w:val="auto"/>
        </w:rPr>
        <w:t>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The total consideration paid for the shares of Common Stock in the Merger was approximately $52.0 million, which came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cash on hand held by NLHC and its affiliates. In addition, at the Effective Time, the shares of Merger Sub outstanding immediately prior to the Effective Time were, in the aggregate, converted into an aggregate number of shares of Common Stock equal to the aggregate number of shares of Common Stock that were converted into the right to receive the Per Share Merger Consideration in the Merger.</w:t>
      </w:r>
    </w:p>
    <w:p>
      <w:pPr>
        <w:spacing w:after="0" w:line="187"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Merger, the shares of Common Stock will no longer be listed on any securities exchange or quotation system, including on the New York Stock Exchange (the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In connection with the consummation of the Merger, the Issuer requested that the NYSE file a Form 25 with the SEC notifying the SEC of the delisting of the Common Stock on the NYSE and the deregistration of the Common Stock under Section 12(b)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 addition, the Issuer intends to deregister the shares of Common Stock under Section 12(g) of the Exchange Act by filing a Form 15 with the SEC in approximately ten days following the filing of the Form 25.</w:t>
      </w:r>
    </w:p>
    <w:p>
      <w:pPr>
        <w:spacing w:after="0" w:line="183"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a copy of which was filed as Exhibit 99.6 to Amendment No. 19 and which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Issuer.</w:t>
      </w:r>
    </w:p>
    <w:p>
      <w:pPr>
        <w:spacing w:after="0" w:line="121" w:lineRule="exact"/>
        <w:rPr>
          <w:sz w:val="20"/>
          <w:szCs w:val="20"/>
          <w:color w:val="auto"/>
        </w:rPr>
      </w:pPr>
    </w:p>
    <w:p>
      <w:pPr>
        <w:ind w:left="4" w:right="20" w:hanging="4"/>
        <w:spacing w:after="0" w:line="258"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Ms. Frangou beneficially owns and has the sole voting power and/or dispositive power over an aggregate of 54,233,495 shares of Common Stock, such shares representing approximately 100% of the issued and outstanding shares of Common Stock of the Issuer based on 22,826,450 shares of Common Stock issued and outstanding as of December 14, 2023, based on information provided by the Issuer, plus the 31,407,045 shares of Common Stock in the aggregate underlying the Convertible Debenture described herein which shares of Common Stock are (although not yet issued) deemed outstanding and included pursuant to Rule 13d-3(d)(1)(i) under the Act. The number of shares beneficially</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6 of 8 Pages</w:t>
      </w:r>
    </w:p>
    <w:p>
      <w:pPr>
        <w:sectPr>
          <w:pgSz w:w="11900" w:h="16838" w:orient="portrait"/>
          <w:cols w:equalWidth="0" w:num="1">
            <w:col w:w="10984"/>
          </w:cols>
          <w:pgMar w:left="436" w:top="266" w:right="479" w:bottom="1440" w:gutter="0" w:footer="0" w:header="0"/>
        </w:sectPr>
      </w:pPr>
    </w:p>
    <w:bookmarkStart w:id="6" w:name="page7"/>
    <w:bookmarkEnd w:id="6"/>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owned by Ms. Frangou consists of 22,826,450 shares of Common Stock owned indirectly through NLHC and the 31,407,045 shares of Common Stock that are (although not yet issued) issuable upon conversion of a Convertible Debenture described herein as of December 14, 2023 owned indirectly through N Shipmanagement Acquisition Corp.</w:t>
      </w:r>
    </w:p>
    <w:p>
      <w:pPr>
        <w:spacing w:after="0" w:line="176" w:lineRule="exact"/>
        <w:rPr>
          <w:sz w:val="20"/>
          <w:szCs w:val="20"/>
          <w:color w:val="auto"/>
        </w:rPr>
      </w:pPr>
    </w:p>
    <w:p>
      <w:pPr>
        <w:ind w:left="4" w:right="300" w:hanging="4"/>
        <w:spacing w:after="0" w:line="282"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Item 3 and Item 4 of this Amendment No. 20, none of the Reporting Persons has effected any transactions in the shares of Common Stock during the past 60 days.</w:t>
      </w:r>
    </w:p>
    <w:p>
      <w:pPr>
        <w:spacing w:after="0" w:line="162" w:lineRule="exact"/>
        <w:rPr>
          <w:sz w:val="20"/>
          <w:szCs w:val="20"/>
          <w:color w:val="auto"/>
        </w:rPr>
      </w:pPr>
    </w:p>
    <w:p>
      <w:pPr>
        <w:ind w:left="4" w:right="20" w:hanging="4"/>
        <w:spacing w:after="0" w:line="261" w:lineRule="auto"/>
        <w:tabs>
          <w:tab w:leader="none" w:pos="2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Merger, as described in Item 4 of this Amendment No. 20 (which Item 4 is incorporated herein by reference), each share of Common Stock that had been owned by Amadeus Maritime S.A. or Raymar Investments S.A. was converted into the right to receive the Per Share Merger Consideration. As a result, on December 14, 2023, following the closing of the Merger, each of Amadeus Maritime S.A. and Raymar Investments S.A. ceased to be the beneficial owners of more than 5% of the outstanding shares of Common Stock.</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Item 6 of the Schedule 13D is hereby amended and supplemented to incorporate by reference the information set forth in Item 4 of this Amendment No. 20.</w:t>
      </w:r>
    </w:p>
    <w:p>
      <w:pPr>
        <w:spacing w:after="0" w:line="94"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Page 7 of 8 Pages</w:t>
      </w:r>
    </w:p>
    <w:p>
      <w:pPr>
        <w:sectPr>
          <w:pgSz w:w="11900" w:h="16838" w:orient="portrait"/>
          <w:cols w:equalWidth="0" w:num="1">
            <w:col w:w="10884"/>
          </w:cols>
          <w:pgMar w:left="436" w:top="270" w:right="57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15,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Angeliki Frangou</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Amadeus Maritime S.A.</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Brigido Navarro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Brigido Navarro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Raymar Investments S.A.</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Victor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Victor Alvarado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 Shipmanagement Acquisition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Brigido Navarro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Brigido Navarro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8 of 8 Pages</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2023-12-15T07:19:26Z</dcterms:created>
  <dcterms:modified xsi:type="dcterms:W3CDTF">2023-12-15T07:19:26Z</dcterms:modified>
</cp:coreProperties>
</file>