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199390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left="1140" w:right="780"/>
        <w:spacing w:after="0" w:line="241" w:lineRule="auto"/>
        <w:rPr>
          <w:sz w:val="20"/>
          <w:szCs w:val="20"/>
          <w:color w:val="auto"/>
        </w:rPr>
      </w:pPr>
      <w:r>
        <w:rPr>
          <w:rFonts w:ascii="Times New Roman" w:cs="Times New Roman" w:eastAsia="Times New Roman" w:hAnsi="Times New Roman"/>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001-33311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182880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NAVIOS MARITIME HOLDINGS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Strathvale House, 90 N Church Street,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 Box 309, Grand Cayman,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KY1-1104 Cayman Islands</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Preferred Stock Purchase Rights</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p>
      <w:pPr>
        <w:spacing w:after="0" w:line="107" w:lineRule="exact"/>
        <w:rPr>
          <w:sz w:val="24"/>
          <w:szCs w:val="24"/>
          <w:color w:val="auto"/>
        </w:rPr>
      </w:pPr>
    </w:p>
    <w:p>
      <w:pPr>
        <w:jc w:val="center"/>
        <w:ind w:left="1160" w:right="560"/>
        <w:spacing w:after="0" w:line="254" w:lineRule="auto"/>
        <w:rPr>
          <w:sz w:val="20"/>
          <w:szCs w:val="20"/>
          <w:color w:val="auto"/>
        </w:rPr>
      </w:pPr>
      <w:r>
        <w:rPr>
          <w:rFonts w:ascii="Times New Roman" w:cs="Times New Roman" w:eastAsia="Times New Roman" w:hAnsi="Times New Roman"/>
          <w:sz w:val="18"/>
          <w:szCs w:val="18"/>
          <w:b w:val="1"/>
          <w:bCs w:val="1"/>
          <w:color w:val="auto"/>
        </w:rPr>
        <w:t>8.75% Series G Cumulative Redeemable Perpetual Preferred Stock, par value $0.0001 per share (“Series G”) American Depositary Shares, each representing 1/100th of a Share of Series G 8.625% Series H Cumulative Redeemable Perpetual Preferred Stock, par value $0.0001 per share (“Series H”) American Depositary Shares, each representing 1/100th of a Share of Series H</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7"/>
          <w:szCs w:val="17"/>
          <w:color w:val="auto"/>
        </w:rPr>
        <w:t>Please place an X in the box(es) to designate the appropriate rule provision(s) relied upon to terminate or suspend the duty to file reports:</w:t>
      </w:r>
    </w:p>
    <w:p>
      <w:pPr>
        <w:sectPr>
          <w:pgSz w:w="11900" w:h="16838" w:orient="portrait"/>
          <w:cols w:equalWidth="0" w:num="1">
            <w:col w:w="11020"/>
          </w:cols>
          <w:pgMar w:left="440" w:top="349" w:right="439" w:bottom="1440" w:gutter="0" w:footer="0" w:header="0"/>
        </w:sectPr>
      </w:pPr>
    </w:p>
    <w:p>
      <w:pPr>
        <w:spacing w:after="0" w:line="10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15d-6</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2">
            <w:col w:w="5840" w:space="600"/>
            <w:col w:w="4580"/>
          </w:cols>
          <w:pgMar w:left="440" w:top="349" w:right="43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One*</w:t>
      </w:r>
    </w:p>
    <w:p>
      <w:pPr>
        <w:spacing w:after="0" w:line="158" w:lineRule="exact"/>
        <w:rPr>
          <w:sz w:val="24"/>
          <w:szCs w:val="24"/>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October 22, 2023, Navios Maritime Holdings Inc. (the “Company”) entered into an Agreement and Plan of Merger (the “Merger Agreement”) with N Logistics Holdings Corporation (“NLHC”), a company affiliated with the Company’s Chairwoman and Chief Executive Officer, Angeliki Frangou, Navigation Merger Sub Inc., a wholly owned subsidiary of NLHC (“Merger Sub”) and, for limited purposes, N Shipmanagement Acquisition Corp. (“NSC”), another company affiliated with Ms. Frangou. Pursuant to the Merger Agreement, consummated on December 14, 2023, Merger Sub was merged with and into the Company, with the Company continuing as the surviving corporation (the “Merger”). Upon consummation of the Merger, the Company became a wholly owned by NLHC.</w:t>
      </w:r>
    </w:p>
    <w:p>
      <w:pPr>
        <w:spacing w:after="0" w:line="106" w:lineRule="exact"/>
        <w:rPr>
          <w:sz w:val="24"/>
          <w:szCs w:val="24"/>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Navios Maritime Holdings Inc. has duly caused this certification/notice to be signed on its behalf by the undersigned duly authorized person.</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3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NAVIOS MARITIME HOLDINGS INC.</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26, 2023</w:t>
            </w: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Angeliki Frangou</w:t>
            </w:r>
          </w:p>
        </w:tc>
      </w:tr>
      <w:tr>
        <w:trPr>
          <w:trHeight w:val="205"/>
        </w:trPr>
        <w:tc>
          <w:tcPr>
            <w:tcW w:w="3680" w:type="dxa"/>
            <w:vAlign w:val="bottom"/>
          </w:tcPr>
          <w:p>
            <w:pPr>
              <w:spacing w:after="0"/>
              <w:rPr>
                <w:sz w:val="17"/>
                <w:szCs w:val="17"/>
                <w:color w:val="auto"/>
              </w:rPr>
            </w:pPr>
          </w:p>
        </w:tc>
        <w:tc>
          <w:tcPr>
            <w:tcW w:w="2480" w:type="dxa"/>
            <w:vAlign w:val="bottom"/>
          </w:tcPr>
          <w:p>
            <w:pPr>
              <w:ind w:left="18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Angeliki Frangou</w:t>
            </w:r>
          </w:p>
        </w:tc>
      </w:tr>
      <w:tr>
        <w:trPr>
          <w:trHeight w:val="234"/>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22"/>
        </w:trPr>
        <w:tc>
          <w:tcPr>
            <w:tcW w:w="368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r>
      <w:tr>
        <w:trPr>
          <w:trHeight w:val="48"/>
        </w:trPr>
        <w:tc>
          <w:tcPr>
            <w:tcW w:w="368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r>
    </w:tbl>
    <w:p>
      <w:pPr>
        <w:spacing w:after="0" w:line="1" w:lineRule="exact"/>
        <w:rPr>
          <w:sz w:val="24"/>
          <w:szCs w:val="24"/>
          <w:color w:val="auto"/>
        </w:rPr>
      </w:pPr>
    </w:p>
    <w:sectPr>
      <w:pgSz w:w="11900" w:h="16838" w:orient="portrait"/>
      <w:cols w:equalWidth="0" w:num="1">
        <w:col w:w="11020"/>
      </w:cols>
      <w:pgMar w:left="440" w:top="34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2023-12-26T15:19:04Z</dcterms:created>
  <dcterms:modified xsi:type="dcterms:W3CDTF">2023-12-26T15:19:04Z</dcterms:modified>
</cp:coreProperties>
</file>