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46803d25.htm"/>
      <w:bookmarkStart w:id="1" w:name="ksd746803d25"/>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 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25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REMOVAL FROM LISTING </w:t>
      </w:r>
    </w:p>
    <w:p>
      <w:pPr>
        <w:pStyle w:val="TextBody"/>
        <w:bidi w:val="0"/>
        <w:spacing w:before="0" w:after="0"/>
        <w:jc w:val="center"/>
        <w:rPr>
          <w:rFonts w:ascii="Times New Roman" w:hAnsi="Times New Roman"/>
          <w:b/>
          <w:sz w:val="24"/>
        </w:rPr>
      </w:pPr>
      <w:r>
        <w:rPr>
          <w:rFonts w:ascii="Times New Roman" w:hAnsi="Times New Roman"/>
          <w:b/>
          <w:sz w:val="24"/>
        </w:rPr>
        <w:t xml:space="preserve">AND/OR REGISTRATION UNDER SECTION 12(b)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001-33311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5"/>
        <w:gridCol w:w="332"/>
        <w:gridCol w:w="4748"/>
      </w:tblGrid>
      <w:tr>
        <w:trPr/>
        <w:tc>
          <w:tcPr>
            <w:tcW w:w="512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474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Issuer: Navios Maritime Holdings Inc.</w:t>
            </w:r>
          </w:p>
        </w:tc>
      </w:tr>
      <w:tr>
        <w:trPr/>
        <w:tc>
          <w:tcPr>
            <w:tcW w:w="10205" w:type="dxa"/>
            <w:gridSpan w:val="3"/>
            <w:tcBorders/>
          </w:tcPr>
          <w:p>
            <w:pPr>
              <w:pStyle w:val="TableContents"/>
              <w:bidi w:val="0"/>
              <w:spacing w:before="0" w:after="283"/>
              <w:jc w:val="center"/>
              <w:rPr>
                <w:b/>
              </w:rPr>
            </w:pPr>
            <w:r>
              <w:rPr>
                <w:b/>
              </w:rPr>
              <w:t>Exchange: New York Stock Exchange LLC</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(Exact name of Issuer as specified in its charter, and name of Exchange </w:t>
      </w:r>
    </w:p>
    <w:p>
      <w:pPr>
        <w:pStyle w:val="TextBody"/>
        <w:bidi w:val="0"/>
        <w:spacing w:before="0" w:after="0"/>
        <w:jc w:val="center"/>
        <w:rPr>
          <w:rFonts w:ascii="Times New Roman" w:hAnsi="Times New Roman"/>
          <w:b/>
          <w:sz w:val="20"/>
        </w:rPr>
      </w:pPr>
      <w:r>
        <w:rPr>
          <w:rFonts w:ascii="Times New Roman" w:hAnsi="Times New Roman"/>
          <w:b/>
          <w:sz w:val="20"/>
        </w:rPr>
        <w:t xml:space="preserve">where security is listed and/or registered)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right"/>
              <w:rPr>
                <w:b/>
              </w:rPr>
            </w:pPr>
            <w:r>
              <w:rPr>
                <w:b/>
              </w:rPr>
              <w:t>Address: </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left"/>
              <w:rPr>
                <w:rFonts w:ascii="Times New Roman" w:hAnsi="Times New Roman"/>
                <w:b/>
                <w:sz w:val="20"/>
              </w:rPr>
            </w:pPr>
            <w:r>
              <w:rPr>
                <w:rFonts w:ascii="Times New Roman" w:hAnsi="Times New Roman"/>
                <w:b/>
                <w:sz w:val="20"/>
              </w:rPr>
              <w:t>Strathvale House, 90 N Church Street</w:t>
            </w:r>
          </w:p>
          <w:p>
            <w:pPr>
              <w:pStyle w:val="TableContents"/>
              <w:bidi w:val="0"/>
              <w:spacing w:before="0" w:after="0"/>
              <w:jc w:val="left"/>
              <w:rPr>
                <w:rFonts w:ascii="Times New Roman" w:hAnsi="Times New Roman"/>
                <w:b/>
                <w:sz w:val="20"/>
              </w:rPr>
            </w:pPr>
            <w:r>
              <w:rPr>
                <w:rFonts w:ascii="Times New Roman" w:hAnsi="Times New Roman"/>
                <w:b/>
                <w:sz w:val="20"/>
              </w:rPr>
              <w:t>P.O. Box 309, Grand Cayman,</w:t>
            </w:r>
          </w:p>
          <w:p>
            <w:pPr>
              <w:pStyle w:val="TableContents"/>
              <w:bidi w:val="0"/>
              <w:spacing w:before="0" w:after="20"/>
              <w:jc w:val="left"/>
              <w:rPr>
                <w:rFonts w:ascii="Times New Roman" w:hAnsi="Times New Roman"/>
                <w:b/>
                <w:sz w:val="20"/>
              </w:rPr>
            </w:pPr>
            <w:r>
              <w:rPr>
                <w:rFonts w:ascii="Times New Roman" w:hAnsi="Times New Roman"/>
                <w:b/>
                <w:sz w:val="20"/>
              </w:rPr>
              <w:t>KY1-1104 Cayman Islands</w:t>
            </w:r>
          </w:p>
        </w:tc>
      </w:tr>
      <w:tr>
        <w:trPr/>
        <w:tc>
          <w:tcPr>
            <w:tcW w:w="5154" w:type="dxa"/>
            <w:tcBorders/>
          </w:tcPr>
          <w:p>
            <w:pPr>
              <w:pStyle w:val="TableContents"/>
              <w:bidi w:val="0"/>
              <w:spacing w:before="0" w:after="283"/>
              <w:jc w:val="right"/>
              <w:rPr>
                <w:b/>
              </w:rPr>
            </w:pPr>
            <w:r>
              <w:rPr>
                <w:b/>
              </w:rPr>
              <w:t>Telephone Number: </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b/>
              </w:rPr>
            </w:pPr>
            <w:r>
              <w:rPr>
                <w:b/>
              </w:rPr>
              <w:t>+37797982140</w:t>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Issuers principal executive offices)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center"/>
              <w:rPr>
                <w:rFonts w:ascii="Times New Roman" w:hAnsi="Times New Roman"/>
                <w:b/>
                <w:sz w:val="20"/>
              </w:rPr>
            </w:pPr>
            <w:r>
              <w:rPr>
                <w:rFonts w:ascii="Times New Roman" w:hAnsi="Times New Roman"/>
                <w:b/>
                <w:sz w:val="20"/>
              </w:rPr>
              <w:t>American Depositary Shares, each representing 1/100th of a share of the Companys 8.625% Series H Cumulative Redeemable Perpetual Preferred Stock, $0.0001 par value per share</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8.625% Series H Cumulative Redeemable Perpetual Preferred Stock, $0.0001 par value per share</w:t>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(Description of class of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Please place an X in the box to designate the rule provision relied upon to strike the class of securities from listing and registration: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 CFR 240.12d2-2(a)(1)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 CFR 240.12d2-2(a)(2)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 CFR 240.12d2-2(a)(3)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 CFR 240.12d2-2(a)(4)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17 CFR 240.12d2-2(b), the Exchange has complied with its rules to strike the class of securities from listing and/or withdraw registration on the Exchange.1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17 CFR 240.12d2-2(c), the Issuer has complied with the rules of the Exchange and the requirements of 17 CFR 240.12d2-2(c) governing the voluntary withdrawal of the class of securities from listing and registration on the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Navios Maritime Holdings Inc. certifies that it has reasonable grounds to believe that it meets all of the requirements for filing the Form 25 and has caused this notification to be signed on its behalf by the undersigned duly authorized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23"/>
        <w:gridCol w:w="127"/>
        <w:gridCol w:w="261"/>
        <w:gridCol w:w="109"/>
        <w:gridCol w:w="365"/>
        <w:gridCol w:w="109"/>
        <w:gridCol w:w="2936"/>
        <w:gridCol w:w="109"/>
        <w:gridCol w:w="261"/>
        <w:gridCol w:w="108"/>
        <w:gridCol w:w="2897"/>
      </w:tblGrid>
      <w:tr>
        <w:trPr/>
        <w:tc>
          <w:tcPr>
            <w:tcW w:w="29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r>
      <w:tr>
        <w:trPr/>
        <w:tc>
          <w:tcPr>
            <w:tcW w:w="292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January 29, 2024</w:t>
            </w:r>
          </w:p>
        </w:tc>
        <w:tc>
          <w:tcPr>
            <w:tcW w:w="127" w:type="dxa"/>
            <w:tcBorders/>
            <w:vAlign w:val="bottom"/>
          </w:tcPr>
          <w:p>
            <w:pPr>
              <w:pStyle w:val="TableContents"/>
              <w:bidi w:val="0"/>
              <w:spacing w:before="0" w:after="283"/>
              <w:jc w:val="left"/>
              <w:rPr/>
            </w:pPr>
            <w:r>
              <w:rPr/>
              <w:t>  </w:t>
            </w:r>
          </w:p>
        </w:tc>
        <w:tc>
          <w:tcPr>
            <w:tcW w:w="261" w:type="dxa"/>
            <w:tcBorders/>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2936"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Angeliki Frangou</w:t>
            </w:r>
          </w:p>
        </w:tc>
        <w:tc>
          <w:tcPr>
            <w:tcW w:w="109" w:type="dxa"/>
            <w:tcBorders/>
            <w:vAlign w:val="bottom"/>
          </w:tcPr>
          <w:p>
            <w:pPr>
              <w:pStyle w:val="TableContents"/>
              <w:bidi w:val="0"/>
              <w:spacing w:before="0" w:after="283"/>
              <w:jc w:val="left"/>
              <w:rPr/>
            </w:pPr>
            <w:r>
              <w:rPr/>
              <w:t> </w:t>
            </w:r>
          </w:p>
        </w:tc>
        <w:tc>
          <w:tcPr>
            <w:tcW w:w="261"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89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Chief Executive Officer</w:t>
            </w:r>
          </w:p>
        </w:tc>
      </w:tr>
      <w:tr>
        <w:trPr/>
        <w:tc>
          <w:tcPr>
            <w:tcW w:w="2923" w:type="dxa"/>
            <w:tcBorders/>
          </w:tcPr>
          <w:p>
            <w:pPr>
              <w:pStyle w:val="TableContents"/>
              <w:bidi w:val="0"/>
              <w:spacing w:before="0" w:after="283"/>
              <w:jc w:val="center"/>
              <w:rPr/>
            </w:pPr>
            <w:r>
              <w:rPr/>
              <w:t>Date</w:t>
            </w:r>
          </w:p>
        </w:tc>
        <w:tc>
          <w:tcPr>
            <w:tcW w:w="127" w:type="dxa"/>
            <w:tcBorders/>
            <w:vAlign w:val="bottom"/>
          </w:tcPr>
          <w:p>
            <w:pPr>
              <w:pStyle w:val="TableContents"/>
              <w:bidi w:val="0"/>
              <w:spacing w:before="0" w:after="283"/>
              <w:jc w:val="left"/>
              <w:rPr/>
            </w:pPr>
            <w:r>
              <w:rPr/>
              <w:t>  </w:t>
            </w:r>
          </w:p>
        </w:tc>
        <w:tc>
          <w:tcPr>
            <w:tcW w:w="26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936" w:type="dxa"/>
            <w:tcBorders/>
          </w:tcPr>
          <w:p>
            <w:pPr>
              <w:pStyle w:val="TableContents"/>
              <w:bidi w:val="0"/>
              <w:spacing w:before="0" w:after="283"/>
              <w:jc w:val="center"/>
              <w:rPr/>
            </w:pPr>
            <w:r>
              <w:rPr/>
              <w:t>Name</w:t>
            </w:r>
          </w:p>
        </w:tc>
        <w:tc>
          <w:tcPr>
            <w:tcW w:w="109" w:type="dxa"/>
            <w:tcBorders/>
            <w:vAlign w:val="bottom"/>
          </w:tcPr>
          <w:p>
            <w:pPr>
              <w:pStyle w:val="TableContents"/>
              <w:bidi w:val="0"/>
              <w:spacing w:before="0" w:after="283"/>
              <w:jc w:val="left"/>
              <w:rPr/>
            </w:pPr>
            <w:r>
              <w:rPr/>
              <w:t> </w:t>
            </w:r>
          </w:p>
        </w:tc>
        <w:tc>
          <w:tcPr>
            <w:tcW w:w="26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897" w:type="dxa"/>
            <w:tcBorders/>
          </w:tcPr>
          <w:p>
            <w:pPr>
              <w:pStyle w:val="TableContents"/>
              <w:bidi w:val="0"/>
              <w:spacing w:before="0" w:after="283"/>
              <w:jc w:val="center"/>
              <w:rPr/>
            </w:pPr>
            <w:r>
              <w:rPr/>
              <w:t>Title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25 and attached Notice will be considered compliance with the provisions of 17 CFR 240.19d-1 as applicable. See General Instructions.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336</Words>
  <Characters>1835</Characters>
  <CharactersWithSpaces>2189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25</dc:title>
</cp:coreProperties>
</file>