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13D/A</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10)*</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Navios Maritime Partners L.P.</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Units, representing limited partner interests</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Y62267409</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Vasiliki Papaefthymiou</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7 Avenue de Grande Bretagne, Office 11B2</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Monte Carlo, MC 98000 Monaco</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(011) + (377) 9798-2140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January 9,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97"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Y62267409</w:t>
      </w:r>
    </w:p>
    <w:p>
      <w:pPr>
        <w:spacing w:after="0" w:line="129"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Navios Maritime Holdings Inc.</w:t>
            </w: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3"/>
          </w:tcPr>
          <w:p>
            <w:pPr>
              <w:ind w:left="18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8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Republic of the Marshall Islands</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340" w:type="dxa"/>
            <w:vAlign w:val="bottom"/>
            <w:tcBorders>
              <w:left w:val="single" w:sz="8" w:color="auto"/>
            </w:tcBorders>
          </w:tcPr>
          <w:p>
            <w:pPr>
              <w:spacing w:after="0"/>
              <w:rPr>
                <w:sz w:val="24"/>
                <w:szCs w:val="24"/>
                <w:color w:val="auto"/>
              </w:rPr>
            </w:pPr>
          </w:p>
        </w:tc>
        <w:tc>
          <w:tcPr>
            <w:tcW w:w="1260" w:type="dxa"/>
            <w:vAlign w:val="bottom"/>
            <w:tcBorders>
              <w:right w:val="single" w:sz="8" w:color="auto"/>
            </w:tcBorders>
            <w:gridSpan w:val="2"/>
          </w:tcPr>
          <w:p>
            <w:pPr>
              <w:jc w:val="center"/>
              <w:ind w:right="134"/>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 (1)</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Borders>
              <w:bottom w:val="single" w:sz="8" w:color="auto"/>
              <w:right w:val="single" w:sz="8" w:color="auto"/>
            </w:tcBorders>
          </w:tcPr>
          <w:p>
            <w:pPr>
              <w:spacing w:after="0"/>
              <w:rPr>
                <w:sz w:val="5"/>
                <w:szCs w:val="5"/>
                <w:color w:val="auto"/>
              </w:rPr>
            </w:pPr>
          </w:p>
        </w:tc>
        <w:tc>
          <w:tcPr>
            <w:tcW w:w="8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0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8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gridSpan w:val="2"/>
          </w:tcPr>
          <w:p>
            <w:pPr>
              <w:jc w:val="center"/>
              <w:ind w:right="134"/>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890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 (1)</w:t>
            </w: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89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0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340" w:type="dxa"/>
            <w:vAlign w:val="bottom"/>
            <w:tcBorders>
              <w:left w:val="single" w:sz="8" w:color="auto"/>
            </w:tcBorders>
          </w:tcPr>
          <w:p>
            <w:pPr>
              <w:spacing w:after="0"/>
              <w:rPr>
                <w:sz w:val="13"/>
                <w:szCs w:val="13"/>
                <w:color w:val="auto"/>
              </w:rPr>
            </w:pPr>
          </w:p>
        </w:tc>
        <w:tc>
          <w:tcPr>
            <w:tcW w:w="1260" w:type="dxa"/>
            <w:vAlign w:val="bottom"/>
            <w:tcBorders>
              <w:right w:val="single" w:sz="8" w:color="auto"/>
            </w:tcBorders>
            <w:gridSpan w:val="2"/>
            <w:vMerge w:val="restart"/>
          </w:tcPr>
          <w:p>
            <w:pPr>
              <w:jc w:val="center"/>
              <w:ind w:right="134"/>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3"/>
                <w:szCs w:val="13"/>
                <w:color w:val="auto"/>
              </w:rPr>
            </w:pPr>
          </w:p>
        </w:tc>
        <w:tc>
          <w:tcPr>
            <w:tcW w:w="89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340" w:type="dxa"/>
            <w:vAlign w:val="bottom"/>
            <w:tcBorders>
              <w:left w:val="single" w:sz="8" w:color="auto"/>
            </w:tcBorders>
          </w:tcPr>
          <w:p>
            <w:pPr>
              <w:spacing w:after="0"/>
              <w:rPr>
                <w:sz w:val="5"/>
                <w:szCs w:val="5"/>
                <w:color w:val="auto"/>
              </w:rPr>
            </w:pPr>
          </w:p>
        </w:tc>
        <w:tc>
          <w:tcPr>
            <w:tcW w:w="1260" w:type="dxa"/>
            <w:vAlign w:val="bottom"/>
            <w:tcBorders>
              <w:right w:val="single" w:sz="8" w:color="auto"/>
            </w:tcBorders>
            <w:gridSpan w:val="2"/>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w w:val="98"/>
              </w:rPr>
              <w:t>PERSON</w:t>
            </w:r>
          </w:p>
        </w:tc>
        <w:tc>
          <w:tcPr>
            <w:tcW w:w="420" w:type="dxa"/>
            <w:vAlign w:val="bottom"/>
            <w:tcBorders>
              <w:right w:val="single" w:sz="8" w:color="auto"/>
            </w:tcBorders>
          </w:tcPr>
          <w:p>
            <w:pPr>
              <w:spacing w:after="0"/>
              <w:rPr>
                <w:sz w:val="18"/>
                <w:szCs w:val="18"/>
                <w:color w:val="auto"/>
              </w:rPr>
            </w:pPr>
          </w:p>
        </w:tc>
        <w:tc>
          <w:tcPr>
            <w:tcW w:w="890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 (1)</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right w:val="single" w:sz="8" w:color="auto"/>
            </w:tcBorders>
          </w:tcPr>
          <w:p>
            <w:pPr>
              <w:ind w:left="18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bottom w:val="single" w:sz="8" w:color="auto"/>
              <w:right w:val="single" w:sz="8" w:color="auto"/>
            </w:tcBorders>
          </w:tcPr>
          <w:p>
            <w:pPr>
              <w:spacing w:after="0"/>
              <w:rPr>
                <w:sz w:val="15"/>
                <w:szCs w:val="15"/>
                <w:color w:val="auto"/>
              </w:rPr>
            </w:pPr>
          </w:p>
        </w:tc>
        <w:tc>
          <w:tcPr>
            <w:tcW w:w="89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 (1)</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48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 (1)</w:t>
            </w:r>
          </w:p>
        </w:tc>
        <w:tc>
          <w:tcPr>
            <w:tcW w:w="420" w:type="dxa"/>
            <w:vAlign w:val="bottom"/>
            <w:tcBorders>
              <w:bottom w:val="single" w:sz="8" w:color="auto"/>
            </w:tcBorders>
          </w:tcPr>
          <w:p>
            <w:pPr>
              <w:spacing w:after="0"/>
              <w:rPr>
                <w:sz w:val="24"/>
                <w:szCs w:val="24"/>
                <w:color w:val="auto"/>
              </w:rPr>
            </w:pPr>
          </w:p>
        </w:tc>
        <w:tc>
          <w:tcPr>
            <w:tcW w:w="8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bottom w:val="single" w:sz="8" w:color="auto"/>
            </w:tcBorders>
          </w:tcPr>
          <w:p>
            <w:pPr>
              <w:spacing w:after="0"/>
              <w:rPr>
                <w:sz w:val="24"/>
                <w:szCs w:val="24"/>
                <w:color w:val="auto"/>
              </w:rPr>
            </w:pPr>
          </w:p>
        </w:tc>
        <w:tc>
          <w:tcPr>
            <w:tcW w:w="8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420" w:type="dxa"/>
            <w:vAlign w:val="bottom"/>
            <w:tcBorders>
              <w:bottom w:val="single" w:sz="8" w:color="auto"/>
            </w:tcBorders>
          </w:tcPr>
          <w:p>
            <w:pPr>
              <w:spacing w:after="0"/>
              <w:rPr>
                <w:sz w:val="24"/>
                <w:szCs w:val="24"/>
                <w:color w:val="auto"/>
              </w:rPr>
            </w:pPr>
          </w:p>
        </w:tc>
        <w:tc>
          <w:tcPr>
            <w:tcW w:w="8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24" w:right="120" w:hanging="424"/>
        <w:spacing w:after="0" w:line="26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3,183,199 Common Units of the Issuer previously beneficially owned by Navios Maritime Holdings Inc. (“</w:t>
      </w:r>
      <w:r>
        <w:rPr>
          <w:rFonts w:ascii="Times New Roman" w:cs="Times New Roman" w:eastAsia="Times New Roman" w:hAnsi="Times New Roman"/>
          <w:sz w:val="18"/>
          <w:szCs w:val="18"/>
          <w:b w:val="1"/>
          <w:bCs w:val="1"/>
          <w:color w:val="auto"/>
        </w:rPr>
        <w:t>Navios Holdings</w:t>
      </w:r>
      <w:r>
        <w:rPr>
          <w:rFonts w:ascii="Times New Roman" w:cs="Times New Roman" w:eastAsia="Times New Roman" w:hAnsi="Times New Roman"/>
          <w:sz w:val="18"/>
          <w:szCs w:val="18"/>
          <w:color w:val="auto"/>
        </w:rPr>
        <w:t>”), of which 2,960,476 were owned by Alpha Merit Corporation (“</w:t>
      </w:r>
      <w:r>
        <w:rPr>
          <w:rFonts w:ascii="Times New Roman" w:cs="Times New Roman" w:eastAsia="Times New Roman" w:hAnsi="Times New Roman"/>
          <w:sz w:val="18"/>
          <w:szCs w:val="18"/>
          <w:b w:val="1"/>
          <w:bCs w:val="1"/>
          <w:color w:val="auto"/>
        </w:rPr>
        <w:t>Alpha Merit</w:t>
      </w:r>
      <w:r>
        <w:rPr>
          <w:rFonts w:ascii="Times New Roman" w:cs="Times New Roman" w:eastAsia="Times New Roman" w:hAnsi="Times New Roman"/>
          <w:sz w:val="18"/>
          <w:szCs w:val="18"/>
          <w:color w:val="auto"/>
        </w:rPr>
        <w:t>”), a wholly-owned subsidiary of Navios Holdings, and 6,669 of which were owned by another wholly-owned subsidiary of Navios Holdings, were transferred by Navios Holdings, Alpha Merit and such other relevant subsidiary to N Shipmanagement Acquisition Corp. on January 9, 2024 pursuant to the Letter Agreement described herein.</w:t>
      </w:r>
    </w:p>
    <w:p>
      <w:pPr>
        <w:sectPr>
          <w:pgSz w:w="11900" w:h="16838" w:orient="portrait"/>
          <w:cols w:equalWidth="0" w:num="1">
            <w:col w:w="10904"/>
          </w:cols>
          <w:pgMar w:left="436" w:top="270" w:right="5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Y62267409</w:t>
      </w:r>
    </w:p>
    <w:p>
      <w:pPr>
        <w:spacing w:after="0" w:line="129"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Alpha Merit Corporation</w:t>
            </w: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3"/>
          </w:tcPr>
          <w:p>
            <w:pPr>
              <w:ind w:left="18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8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Republic of the Marshall Islands</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340" w:type="dxa"/>
            <w:vAlign w:val="bottom"/>
            <w:tcBorders>
              <w:left w:val="single" w:sz="8" w:color="auto"/>
            </w:tcBorders>
          </w:tcPr>
          <w:p>
            <w:pPr>
              <w:spacing w:after="0"/>
              <w:rPr>
                <w:sz w:val="24"/>
                <w:szCs w:val="24"/>
                <w:color w:val="auto"/>
              </w:rPr>
            </w:pPr>
          </w:p>
        </w:tc>
        <w:tc>
          <w:tcPr>
            <w:tcW w:w="1260" w:type="dxa"/>
            <w:vAlign w:val="bottom"/>
            <w:tcBorders>
              <w:right w:val="single" w:sz="8" w:color="auto"/>
            </w:tcBorders>
            <w:gridSpan w:val="2"/>
          </w:tcPr>
          <w:p>
            <w:pPr>
              <w:jc w:val="center"/>
              <w:ind w:right="134"/>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Borders>
              <w:bottom w:val="single" w:sz="8" w:color="auto"/>
              <w:right w:val="single" w:sz="8" w:color="auto"/>
            </w:tcBorders>
          </w:tcPr>
          <w:p>
            <w:pPr>
              <w:spacing w:after="0"/>
              <w:rPr>
                <w:sz w:val="5"/>
                <w:szCs w:val="5"/>
                <w:color w:val="auto"/>
              </w:rPr>
            </w:pPr>
          </w:p>
        </w:tc>
        <w:tc>
          <w:tcPr>
            <w:tcW w:w="8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0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8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gridSpan w:val="2"/>
          </w:tcPr>
          <w:p>
            <w:pPr>
              <w:jc w:val="center"/>
              <w:ind w:right="134"/>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890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 (1)</w:t>
            </w: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89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0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340" w:type="dxa"/>
            <w:vAlign w:val="bottom"/>
            <w:tcBorders>
              <w:left w:val="single" w:sz="8" w:color="auto"/>
            </w:tcBorders>
          </w:tcPr>
          <w:p>
            <w:pPr>
              <w:spacing w:after="0"/>
              <w:rPr>
                <w:sz w:val="13"/>
                <w:szCs w:val="13"/>
                <w:color w:val="auto"/>
              </w:rPr>
            </w:pPr>
          </w:p>
        </w:tc>
        <w:tc>
          <w:tcPr>
            <w:tcW w:w="1260" w:type="dxa"/>
            <w:vAlign w:val="bottom"/>
            <w:tcBorders>
              <w:right w:val="single" w:sz="8" w:color="auto"/>
            </w:tcBorders>
            <w:gridSpan w:val="2"/>
            <w:vMerge w:val="restart"/>
          </w:tcPr>
          <w:p>
            <w:pPr>
              <w:jc w:val="center"/>
              <w:ind w:right="134"/>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3"/>
                <w:szCs w:val="13"/>
                <w:color w:val="auto"/>
              </w:rPr>
            </w:pPr>
          </w:p>
        </w:tc>
        <w:tc>
          <w:tcPr>
            <w:tcW w:w="89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340" w:type="dxa"/>
            <w:vAlign w:val="bottom"/>
            <w:tcBorders>
              <w:left w:val="single" w:sz="8" w:color="auto"/>
            </w:tcBorders>
          </w:tcPr>
          <w:p>
            <w:pPr>
              <w:spacing w:after="0"/>
              <w:rPr>
                <w:sz w:val="5"/>
                <w:szCs w:val="5"/>
                <w:color w:val="auto"/>
              </w:rPr>
            </w:pPr>
          </w:p>
        </w:tc>
        <w:tc>
          <w:tcPr>
            <w:tcW w:w="1260" w:type="dxa"/>
            <w:vAlign w:val="bottom"/>
            <w:tcBorders>
              <w:right w:val="single" w:sz="8" w:color="auto"/>
            </w:tcBorders>
            <w:gridSpan w:val="2"/>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w w:val="98"/>
              </w:rPr>
              <w:t>PERSON</w:t>
            </w:r>
          </w:p>
        </w:tc>
        <w:tc>
          <w:tcPr>
            <w:tcW w:w="420" w:type="dxa"/>
            <w:vAlign w:val="bottom"/>
            <w:tcBorders>
              <w:right w:val="single" w:sz="8" w:color="auto"/>
            </w:tcBorders>
          </w:tcPr>
          <w:p>
            <w:pPr>
              <w:spacing w:after="0"/>
              <w:rPr>
                <w:sz w:val="18"/>
                <w:szCs w:val="18"/>
                <w:color w:val="auto"/>
              </w:rPr>
            </w:pPr>
          </w:p>
        </w:tc>
        <w:tc>
          <w:tcPr>
            <w:tcW w:w="890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right w:val="single" w:sz="8" w:color="auto"/>
            </w:tcBorders>
          </w:tcPr>
          <w:p>
            <w:pPr>
              <w:ind w:left="18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bottom w:val="single" w:sz="8" w:color="auto"/>
              <w:right w:val="single" w:sz="8" w:color="auto"/>
            </w:tcBorders>
          </w:tcPr>
          <w:p>
            <w:pPr>
              <w:spacing w:after="0"/>
              <w:rPr>
                <w:sz w:val="15"/>
                <w:szCs w:val="15"/>
                <w:color w:val="auto"/>
              </w:rPr>
            </w:pPr>
          </w:p>
        </w:tc>
        <w:tc>
          <w:tcPr>
            <w:tcW w:w="89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 (1)</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48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 (1)</w:t>
            </w:r>
          </w:p>
        </w:tc>
        <w:tc>
          <w:tcPr>
            <w:tcW w:w="420" w:type="dxa"/>
            <w:vAlign w:val="bottom"/>
            <w:tcBorders>
              <w:bottom w:val="single" w:sz="8" w:color="auto"/>
            </w:tcBorders>
          </w:tcPr>
          <w:p>
            <w:pPr>
              <w:spacing w:after="0"/>
              <w:rPr>
                <w:sz w:val="24"/>
                <w:szCs w:val="24"/>
                <w:color w:val="auto"/>
              </w:rPr>
            </w:pPr>
          </w:p>
        </w:tc>
        <w:tc>
          <w:tcPr>
            <w:tcW w:w="8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bottom w:val="single" w:sz="8" w:color="auto"/>
            </w:tcBorders>
          </w:tcPr>
          <w:p>
            <w:pPr>
              <w:spacing w:after="0"/>
              <w:rPr>
                <w:sz w:val="24"/>
                <w:szCs w:val="24"/>
                <w:color w:val="auto"/>
              </w:rPr>
            </w:pPr>
          </w:p>
        </w:tc>
        <w:tc>
          <w:tcPr>
            <w:tcW w:w="8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420" w:type="dxa"/>
            <w:vAlign w:val="bottom"/>
            <w:tcBorders>
              <w:bottom w:val="single" w:sz="8" w:color="auto"/>
            </w:tcBorders>
          </w:tcPr>
          <w:p>
            <w:pPr>
              <w:spacing w:after="0"/>
              <w:rPr>
                <w:sz w:val="24"/>
                <w:szCs w:val="24"/>
                <w:color w:val="auto"/>
              </w:rPr>
            </w:pPr>
          </w:p>
        </w:tc>
        <w:tc>
          <w:tcPr>
            <w:tcW w:w="8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2,960,476 Common Units previously beneficially owned by Alpha Merit were transferred by Alpha Merit to N Shipmanagement Acquisition Corp. on January 9, 2024 pursuant to the Letter Agreement described herein.</w:t>
      </w:r>
    </w:p>
    <w:p>
      <w:pPr>
        <w:sectPr>
          <w:pgSz w:w="11900" w:h="16838" w:orient="portrait"/>
          <w:cols w:equalWidth="0" w:num="1">
            <w:col w:w="10924"/>
          </w:cols>
          <w:pgMar w:left="436" w:top="270"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Amendment No. 10 (“</w:t>
      </w:r>
      <w:r>
        <w:rPr>
          <w:rFonts w:ascii="Times New Roman" w:cs="Times New Roman" w:eastAsia="Times New Roman" w:hAnsi="Times New Roman"/>
          <w:sz w:val="18"/>
          <w:szCs w:val="18"/>
          <w:b w:val="1"/>
          <w:bCs w:val="1"/>
          <w:color w:val="auto"/>
        </w:rPr>
        <w:t>Amendment No. 10</w:t>
      </w:r>
      <w:r>
        <w:rPr>
          <w:rFonts w:ascii="Times New Roman" w:cs="Times New Roman" w:eastAsia="Times New Roman" w:hAnsi="Times New Roman"/>
          <w:sz w:val="18"/>
          <w:szCs w:val="18"/>
          <w:color w:val="auto"/>
        </w:rPr>
        <w:t>”) amends and supplements the Schedule 13D filed by Navios Maritime Holdings Inc. (“</w:t>
      </w:r>
      <w:r>
        <w:rPr>
          <w:rFonts w:ascii="Times New Roman" w:cs="Times New Roman" w:eastAsia="Times New Roman" w:hAnsi="Times New Roman"/>
          <w:sz w:val="18"/>
          <w:szCs w:val="18"/>
          <w:b w:val="1"/>
          <w:bCs w:val="1"/>
          <w:color w:val="auto"/>
        </w:rPr>
        <w:t>Navios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on July 24, 2008 (the “</w:t>
      </w:r>
      <w:r>
        <w:rPr>
          <w:rFonts w:ascii="Times New Roman" w:cs="Times New Roman" w:eastAsia="Times New Roman" w:hAnsi="Times New Roman"/>
          <w:sz w:val="18"/>
          <w:szCs w:val="18"/>
          <w:b w:val="1"/>
          <w:bCs w:val="1"/>
          <w:color w:val="auto"/>
        </w:rPr>
        <w:t>Original Schedule 13D</w:t>
      </w:r>
      <w:r>
        <w:rPr>
          <w:rFonts w:ascii="Times New Roman" w:cs="Times New Roman" w:eastAsia="Times New Roman" w:hAnsi="Times New Roman"/>
          <w:sz w:val="18"/>
          <w:szCs w:val="18"/>
          <w:color w:val="auto"/>
        </w:rPr>
        <w:t>”), as previously amended and supplemented by Amendment No. 1 filed on July 20, 2011,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No. 2 filed on June 20, 2012, Amendment No. 3 filed on March 13, 2015, Amendment No. 4 filed on November 28, 2017, Amendment No. 5 filed on April 4, 2018, Amendment No. 6 filed on May 24, 2019, and Amendment No. 7 filed on September 5, 2019, Amendment No. 8 filed on April 19, 2021, and Amendment No. 9 filed on October 26, 2021, relating to the common units (“</w:t>
      </w:r>
      <w:r>
        <w:rPr>
          <w:rFonts w:ascii="Times New Roman" w:cs="Times New Roman" w:eastAsia="Times New Roman" w:hAnsi="Times New Roman"/>
          <w:sz w:val="18"/>
          <w:szCs w:val="18"/>
          <w:b w:val="1"/>
          <w:bCs w:val="1"/>
          <w:color w:val="auto"/>
        </w:rPr>
        <w:t>Common Units</w:t>
      </w:r>
      <w:r>
        <w:rPr>
          <w:rFonts w:ascii="Times New Roman" w:cs="Times New Roman" w:eastAsia="Times New Roman" w:hAnsi="Times New Roman"/>
          <w:sz w:val="18"/>
          <w:szCs w:val="18"/>
          <w:color w:val="auto"/>
        </w:rPr>
        <w:t>”) of Navios Maritime Partners L.P.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The Original Schedule 13D together with each of the Amendments thereto is referred to herein as the “Schedule 13D.” Capitalized terms used herein and not otherwise defined shall have the same meanings ascribed to them in the Original Schedule 13D.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supplemented to include the following:</w:t>
      </w:r>
    </w:p>
    <w:p>
      <w:pPr>
        <w:spacing w:after="0" w:line="22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On January 9, 2024, pursuant to a letter agreement (the “</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among Navios Holdings, Alpha Merit and another wholly-owned subsidiary of Navios Holdings, on the one hand, and N Shipmanagement Acquisition Corp., on the other hand, Navios Holdings, Alpha Merit and such other relevant subsidiary transferred the 216,054, 2,960,476 and 6,669 Common Units respectively owned by them to N Shipmanagement Acquisition Corp. in partial prepayment and satisfaction of an $81,139,743.00 portion of the principal amount of a debenture issued by Navios Holdings. As a result of this transaction, Navios Holdings, Alpha Merit and such other relevant subsidiary ceased to beneficially own any Common Units as of January 9, 2024.</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the Transaction.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to incorporate by reference the information set forth in Item 3 of this Amendment No. 10.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No. 10 amends and restates Item 5(a), (b), (c) and (e) to the Schedule 13D as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3 of this Amendment No. 10 is incorporated herein by reference. The Reporting Persons disclaim membership in a group with Ms. Frangou and/or N Shipmanagement Acquisition Corp.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3 of this Amendment No. 10 is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3 of this Amendment No. 10 is incorporated herein by reference.</w:t>
      </w:r>
    </w:p>
    <w:p>
      <w:pPr>
        <w:sectPr>
          <w:pgSz w:w="11900" w:h="16838" w:orient="portrait"/>
          <w:cols w:equalWidth="0" w:num="1">
            <w:col w:w="10960"/>
          </w:cols>
          <w:pgMar w:left="440" w:top="266" w:right="49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10,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Navios Maritime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Georgios Akhniotis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Georgios Akhniotis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Alpha Merit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Anna Kalathaki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Anna Kalathaki</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2024-01-11T05:15:44Z</dcterms:created>
  <dcterms:modified xsi:type="dcterms:W3CDTF">2024-01-11T05:15:44Z</dcterms:modified>
</cp:coreProperties>
</file>