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PURSUANT TO RULE 13a-16 OR 15d-16</w:t>
      </w:r>
    </w:p>
    <w:p>
      <w:pPr>
        <w:jc w:val="center"/>
        <w:ind w:right="-110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Dated: December 12, 2022</w:t>
      </w:r>
    </w:p>
    <w:p>
      <w:pPr>
        <w:spacing w:after="0" w:line="225"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Commission File No. 001-33311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right"/>
        <w:ind w:right="759"/>
        <w:spacing w:after="0"/>
        <w:rPr>
          <w:sz w:val="20"/>
          <w:szCs w:val="20"/>
          <w:color w:val="auto"/>
        </w:rPr>
      </w:pPr>
      <w:r>
        <w:rPr>
          <w:rFonts w:ascii="Arial" w:cs="Arial" w:eastAsia="Arial" w:hAnsi="Arial"/>
          <w:sz w:val="43"/>
          <w:szCs w:val="43"/>
          <w:b w:val="1"/>
          <w:bCs w:val="1"/>
          <w:color w:val="auto"/>
        </w:rPr>
        <w:t>NAVIOS MARITIME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253365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Strathvale House, 90 N Church Street,</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P.O. Box 309, Grand Cayman,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KY1-1104 Cayman Islands</w:t>
      </w:r>
    </w:p>
    <w:p>
      <w:pPr>
        <w:spacing w:after="0" w:line="2" w:lineRule="exact"/>
        <w:rPr>
          <w:sz w:val="24"/>
          <w:szCs w:val="24"/>
          <w:color w:val="auto"/>
        </w:rPr>
      </w:pPr>
    </w:p>
    <w:p>
      <w:pPr>
        <w:ind w:left="44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189865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233045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information contained in this Report on Form 6-K (this “Report”) is incorporated by reference into the Registration Statements on Form S-8, File No. 333-147186, 333-202141 and 333-222002, and the related prospectuses.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and Financial Review and Prospects</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following is a discussion of the financial condition and results of operations of Navios Maritime Holdings Inc. (“Navios Holdings”, “we” or the “Company”) for the three and nine month periods ended September 30, 2022 and 2021. Navios Holdings’ financial statements have been prepared in accordance with Generally Accepted Accounting Principles in the United States of America (“U.S. GAAP”). You should read this section together with the consolidated financial statements and the accompanying notes included in Navios Holdings’ Annual Report on Form 20-F for the year ended December 31, 2021 filed with the Securities and Exchange Commission (“SEC”) on April 14, 2022 and the unaudited interim condensed consolidated financial statements and the accompanying notes included elsewhere in this Report.</w:t>
      </w:r>
    </w:p>
    <w:p>
      <w:pPr>
        <w:spacing w:after="0" w:line="178"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All statements herein other than statements of historical fact, including statements regarding business and industry prospects or future results of operations or financial position, should be considered forward-looking. These forward-looking statements are based on Navios Holdings’ current expectations and observations. Factors that could cause actual results to differ materially include, but are not limited to risks, relating to: global and regional economic and political conditions; changes in production or demand for the transportation or storage of grain and mineral commodities and petroleum products; the planned development of the Port Murtinho Terminal and Nueva Palmira Free Zone port terminal facilities by Navios South American Logistics Inc. (“Navios Logistics”), a consolidated subsidiary of the Company; the ability and willingness of charterers to fulfill their obligations to the affiliates in which we are invested; prevailing charter rates; drydocking and repairs; changing vessel crews and availability of financing; potential disruption of shipping routes due to accidents, wars, diseases, pandemics, political events, piracy or acts by terrorists, including the impact of global pandemics; the aging of our affiliates’ fleets and resultant increases in operating costs; our affiliates’ loss of any customer or charter or vessel; the financial condition of our affiliates’ customers; changes in the availability and costs of funding due to conditions in the bank market, capital markets and other factors; increases in costs and expenses related to the operation of vessels of our affiliates, including but not limited to: crew wages, insurance, provisions, port expenses, lube oil, bunkers, repairs, maintenance, and general and administrative expenses; the expected cost of, and the ability to comply with, governmental regulations and maritime self-regulatory organization standards, as well as standard regulations imposed by charterers; competitive factors in the markets in which we and our affiliates operate; our affiliates’ ability to make distributions and dividends to us; the value of our subsidiaries and affiliates, and risks associated with operations outside the United States.</w:t>
      </w:r>
    </w:p>
    <w:p>
      <w:pPr>
        <w:spacing w:after="0" w:line="176"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Other factors that could cause our actual results to differ from our current expectations and observations include, but are not limited to, those discussed under Part I, Item 3D — Risk Factors in Navios Holdings’, Navios Partners’ and Navios Logistics’ Annual Reports on Form 20-F for the year ended December 31, 2021. We caution readers of this Report not to place undue reliance on the forward-looking statements, which reflect our view only as of the date of this document. These statements are not guarantees of future performance and are subject to certain risks, uncertainties and other factors, some of which are beyond our control, are difficult to predict and could cause actual results to differ materially from those expressed or forecasted in the forward-looking statements. We do not undertake any obligation to publicly update or revise any forward-looking statement to reflect changes in assumptions, the occurrence of unanticipated events, changes in future operating results over time, or otherwise.</w:t>
      </w:r>
    </w:p>
    <w:p>
      <w:pPr>
        <w:spacing w:after="0" w:line="378"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Completion of Tender Offer for Company’s Series G and H Preferred Stock</w:t>
      </w:r>
    </w:p>
    <w:p>
      <w:pPr>
        <w:spacing w:after="0" w:line="121" w:lineRule="exact"/>
        <w:rPr>
          <w:sz w:val="20"/>
          <w:szCs w:val="20"/>
          <w:color w:val="auto"/>
        </w:rPr>
      </w:pPr>
    </w:p>
    <w:p>
      <w:pPr>
        <w:ind w:left="120" w:right="60" w:firstLine="991"/>
        <w:spacing w:after="0" w:line="254" w:lineRule="auto"/>
        <w:rPr>
          <w:sz w:val="20"/>
          <w:szCs w:val="20"/>
          <w:color w:val="auto"/>
        </w:rPr>
      </w:pPr>
      <w:r>
        <w:rPr>
          <w:rFonts w:ascii="Arial" w:cs="Arial" w:eastAsia="Arial" w:hAnsi="Arial"/>
          <w:sz w:val="18"/>
          <w:szCs w:val="18"/>
          <w:color w:val="auto"/>
        </w:rPr>
        <w:t>On September 14, 2022, Navios Holdings announced that it commenced a tender offer to purchase up to $20.0 million of the outstanding Series G American Depositary Shares (“Series G ADSs”) and Series H American Depositary Shares (“Series H ADSs”). As of the completion of the tender offer on October 21, 2022, a total of 20,185 Series G ADSs were validly tendered for a total of $0.3 million in cash consideration and a total of 584,158 Series H ADSs were validly tendered for a total of $8.9 million in cash consideration. Following the tender offer, Navios Holdings has 514,720 outstanding Series G ADSs and 1,183,944 outstanding Series H ADSs, which represent 1/100th of a share of 8.75% Series G Cumulative Redeemable Perpetual Preferred Stock (the “Series G Preferred Stock”) and 1/100th of a Share of 8.625% Series H Cumulative Redeemable Perpetual Preferred Stock (the “Series H Preferred Stock”), respectively.</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Succession for Navios Logistics</w:t>
      </w:r>
    </w:p>
    <w:p>
      <w:pPr>
        <w:spacing w:after="0" w:line="121" w:lineRule="exact"/>
        <w:rPr>
          <w:sz w:val="20"/>
          <w:szCs w:val="20"/>
          <w:color w:val="auto"/>
        </w:rPr>
      </w:pPr>
    </w:p>
    <w:p>
      <w:pPr>
        <w:ind w:left="120" w:right="520" w:firstLine="991"/>
        <w:spacing w:after="0" w:line="311" w:lineRule="auto"/>
        <w:rPr>
          <w:sz w:val="20"/>
          <w:szCs w:val="20"/>
          <w:color w:val="auto"/>
        </w:rPr>
      </w:pPr>
      <w:r>
        <w:rPr>
          <w:rFonts w:ascii="Arial" w:cs="Arial" w:eastAsia="Arial" w:hAnsi="Arial"/>
          <w:sz w:val="16"/>
          <w:szCs w:val="16"/>
          <w:color w:val="auto"/>
        </w:rPr>
        <w:t>George Achniotis, Chief Financial Officer of Navios Holdings, has been appointed as the new Chief Executive Officer of Navios Logistics. Other changes on the executive team include the promotions of Ioannis Karyotis as Chief Operating Officer, Enrique Ferrando as Chief Financial Officer and Mariana Rebolo as Chief Risk Officer as well as changes in the commercial and business development teams.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Navios Holdings owns (i) a controlling equity stake in Navios Logistics, one of the largest infrastructure and logistics companies in the Hidrovia region of South America; and (ii) an interest in Navios Maritime Partners L.P. (“Navios Partners”) (NYSE:NMM), a United States publicly listed shipping company that owns and operates dry cargo and tanker vessels.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September 2022, Navios Holdings completed the sale of its 36-vessel dry bulk fleet to Navios Partners (the “Transaction”). The former dry bulk vessel operations were historically a separate reportable segment of the Company. Subsequent to the closing of the Transaction, the results of the dry bulk vessel operations are reported as discontinued operations for all periods presented. For further information see Note 15 “Discontinued operations” to the interim condensed consolidated financial statements included elsewhere in this Report. Upon the closing of the Transaction, the Company has one reportable segment.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Navios South American Logistics Inc.</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Navios Logistics, a consolidated subsidiary of the Company, was incorporated under the laws of the Republic of the Marshall Islands on December 17, 2007. Navios Logistics believes it is one of the largest infrastructure and logistics companies in the Hidrovia region river system, the main navigable river system in the region (the “Hidrovia region”), and on the cabotage trades along the southeastern coast of South America. Navios Logistics serves its customers in the Hidrovia region through its three existing port storage and transfer facilities (the “Port Terminal Business”). The Port Terminal Business comprises its grain port terminal (the “Grain Port Terminal”), which supports agricultural and forest-related exports; its iron-ore port terminal (the “Iron Ore Port Terminal”), which supports mineral-related exports; and its liquid port terminal (the “Liquid Port Terminal”), with tank storage for refined petroleum products. The Grain Port Terminal and the Iron Ore Port Terminal (together, the “Dry Port Terminal”) are located in Nueva Palmira, Uruguay, and the Liquid Port Terminal is located in San Antonio, Paraguay. Navios Logistics complements these three port terminals with a diverse fleet of 271 barges and 30 pushboats that operate in its barge business (the “Barge Business”), and seven vessels, comprising five tankers, one bunker vessel and one river and estuary product tanker, all of which operate in its cabotage business (“the Cabotage Business”). Navios Logistics provides transportation for dry cargo (cereals, cotton pellets, soybeans, wheat, limestone (clinker), mineral iron, and rolling stones), liquid cargo (hydrocarbons such as crude oil, gas oil, naphtha, fuel oil and vegetable oils) and liquefied cargo (liquefied petroleum gas or “LPG”). As of September 30, 2022, Navios Holdings owned 63.8% of Navios Logistics.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Affiliate Companies (Not Consolidated under Navios Holdings)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Navios Partners is an international owner and operator of dry cargo and tanker vessels and is engaged in the seaborne transportation services of a wide range of liquid and dry cargo commodities. Types of commodities Navios Partners transports include crude oil, refined petroleum, chemicals, iron ore, coal, grain, fertilizer, and Navios Partners also transports containers. Navios Partners charters its vessels under short-, medium-, and longer-term charters.</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 March 31, 2021, Navios Partners acquired Navios Maritime Containers L.P. (“Navios Containers”) in a merger transaction (the “NMCI Merger”). Following the completion of the NMCI Merger, Navios Holdings had no equity investment in Navios Containers. For more information about the NMCI Merger, see Note 13 “Investments in Affiliate Companies and Investments in Available-For-Sale Securities” to the interim condensed consolidated financial statements.</w:t>
      </w:r>
    </w:p>
    <w:p>
      <w:pPr>
        <w:spacing w:after="0" w:line="18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On October 15, 2021, Navios Maritime Acquisition Corporation (“Navios Acquisition”) and Navios Partners consummated a merger transaction (the “NNA Merger”). Following the consummation of the NNA Merger, Navios Holdings had no equity investment in Navios Acquisition. For more information about the NNA Merger, see Note 13 “Investments in Affiliate Companies and Investments in Available-For-Sale Securities” to the interim condensed consolidated financial statements.</w:t>
      </w:r>
    </w:p>
    <w:p>
      <w:pPr>
        <w:spacing w:after="0" w:line="187"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As of both September 30, 2022 and December 31, 2021, Navios Holdings had a 10.3% ownership interest in Navios Partners. Incentive distribution rights are held by a consolidated subsidiary of Navios Holdings.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Fleet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Following the completion of the Transaction, the current core fleet of the Company consists of the Navios Logistics fleet.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Navios Logistics’ Fleet</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following is the current core fleet of Navios Logistics as presented in Navios Logistics’ 6-K for the period ended September 30, 2022 filed with SEC:</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Pushboats/ Barges*</w:t>
            </w:r>
          </w:p>
        </w:tc>
        <w:tc>
          <w:tcPr>
            <w:tcW w:w="3780" w:type="dxa"/>
            <w:vAlign w:val="bottom"/>
            <w:gridSpan w:val="2"/>
          </w:tcPr>
          <w:p>
            <w:pPr>
              <w:jc w:val="center"/>
              <w:ind w:left="3012"/>
              <w:spacing w:after="0"/>
              <w:rPr>
                <w:sz w:val="20"/>
                <w:szCs w:val="20"/>
                <w:color w:val="auto"/>
              </w:rPr>
            </w:pPr>
            <w:r>
              <w:rPr>
                <w:rFonts w:ascii="Arial" w:cs="Arial" w:eastAsia="Arial" w:hAnsi="Arial"/>
                <w:sz w:val="14"/>
                <w:szCs w:val="14"/>
                <w:b w:val="1"/>
                <w:bCs w:val="1"/>
                <w:color w:val="auto"/>
                <w:w w:val="97"/>
              </w:rPr>
              <w:t>Number of</w:t>
            </w:r>
          </w:p>
        </w:tc>
        <w:tc>
          <w:tcPr>
            <w:tcW w:w="320" w:type="dxa"/>
            <w:vAlign w:val="bottom"/>
          </w:tcPr>
          <w:p>
            <w:pPr>
              <w:spacing w:after="0"/>
              <w:rPr>
                <w:sz w:val="14"/>
                <w:szCs w:val="14"/>
                <w:color w:val="auto"/>
              </w:rPr>
            </w:pPr>
          </w:p>
        </w:tc>
        <w:tc>
          <w:tcPr>
            <w:tcW w:w="11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Capacity/BHP</w:t>
            </w:r>
          </w:p>
        </w:tc>
        <w:tc>
          <w:tcPr>
            <w:tcW w:w="320" w:type="dxa"/>
            <w:vAlign w:val="bottom"/>
          </w:tcPr>
          <w:p>
            <w:pPr>
              <w:spacing w:after="0"/>
              <w:rPr>
                <w:sz w:val="14"/>
                <w:szCs w:val="14"/>
                <w:color w:val="auto"/>
              </w:rPr>
            </w:pPr>
          </w:p>
        </w:tc>
        <w:tc>
          <w:tcPr>
            <w:tcW w:w="224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500" w:type="dxa"/>
            <w:vAlign w:val="bottom"/>
            <w:gridSpan w:val="2"/>
            <w:vMerge w:val="continue"/>
          </w:tcPr>
          <w:p>
            <w:pPr>
              <w:spacing w:after="0"/>
              <w:rPr>
                <w:sz w:val="14"/>
                <w:szCs w:val="14"/>
                <w:color w:val="auto"/>
              </w:rPr>
            </w:pPr>
          </w:p>
        </w:tc>
        <w:tc>
          <w:tcPr>
            <w:tcW w:w="3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4"/>
              </w:rPr>
              <w:t>Vessels</w:t>
            </w:r>
          </w:p>
        </w:tc>
        <w:tc>
          <w:tcPr>
            <w:tcW w:w="3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Pushboat Fleet</w:t>
            </w:r>
          </w:p>
        </w:tc>
        <w:tc>
          <w:tcPr>
            <w:tcW w:w="3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107,920 BHP</w:t>
            </w:r>
          </w:p>
        </w:tc>
        <w:tc>
          <w:tcPr>
            <w:tcW w:w="3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Various Sizes and Horsepower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Dry Barges</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7"/>
              </w:rPr>
              <w:t>402,050 DWT</w:t>
            </w:r>
          </w:p>
        </w:tc>
        <w:tc>
          <w:tcPr>
            <w:tcW w:w="2560" w:type="dxa"/>
            <w:vAlign w:val="bottom"/>
            <w:gridSpan w:val="2"/>
          </w:tcPr>
          <w:p>
            <w:pPr>
              <w:ind w:left="320"/>
              <w:spacing w:after="0"/>
              <w:rPr>
                <w:sz w:val="20"/>
                <w:szCs w:val="20"/>
                <w:color w:val="auto"/>
              </w:rPr>
            </w:pPr>
            <w:r>
              <w:rPr>
                <w:rFonts w:ascii="Arial" w:cs="Arial" w:eastAsia="Arial" w:hAnsi="Arial"/>
                <w:sz w:val="18"/>
                <w:szCs w:val="18"/>
                <w:color w:val="auto"/>
              </w:rPr>
              <w:t>Dry Cargo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Tank Barges</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168,139 m3</w:t>
            </w:r>
          </w:p>
        </w:tc>
        <w:tc>
          <w:tcPr>
            <w:tcW w:w="2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Liquid Cargo</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LPG Barges</w:t>
            </w:r>
          </w:p>
        </w:tc>
        <w:tc>
          <w:tcPr>
            <w:tcW w:w="3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4,752 m3</w:t>
            </w:r>
          </w:p>
        </w:tc>
        <w:tc>
          <w:tcPr>
            <w:tcW w:w="2560" w:type="dxa"/>
            <w:vAlign w:val="bottom"/>
            <w:gridSpan w:val="2"/>
          </w:tcPr>
          <w:p>
            <w:pPr>
              <w:ind w:left="320"/>
              <w:spacing w:after="0"/>
              <w:rPr>
                <w:sz w:val="20"/>
                <w:szCs w:val="20"/>
                <w:color w:val="auto"/>
              </w:rPr>
            </w:pPr>
            <w:r>
              <w:rPr>
                <w:rFonts w:ascii="Arial" w:cs="Arial" w:eastAsia="Arial" w:hAnsi="Arial"/>
                <w:sz w:val="18"/>
                <w:szCs w:val="18"/>
                <w:color w:val="auto"/>
              </w:rPr>
              <w:t>LPG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301</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Product Tanker Fleet **</w:t>
            </w:r>
          </w:p>
        </w:tc>
        <w:tc>
          <w:tcPr>
            <w:tcW w:w="3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500" w:type="dxa"/>
            <w:vAlign w:val="bottom"/>
            <w:gridSpan w:val="2"/>
            <w:vMerge w:val="continue"/>
          </w:tcPr>
          <w:p>
            <w:pPr>
              <w:spacing w:after="0"/>
              <w:rPr>
                <w:sz w:val="24"/>
                <w:szCs w:val="24"/>
                <w:color w:val="auto"/>
              </w:rPr>
            </w:pPr>
          </w:p>
        </w:tc>
        <w:tc>
          <w:tcPr>
            <w:tcW w:w="312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7"/>
              </w:rPr>
              <w:t>Year Built</w:t>
            </w:r>
          </w:p>
        </w:tc>
        <w:tc>
          <w:tcPr>
            <w:tcW w:w="320" w:type="dxa"/>
            <w:vAlign w:val="bottom"/>
          </w:tcPr>
          <w:p>
            <w:pPr>
              <w:spacing w:after="0"/>
              <w:rPr>
                <w:sz w:val="24"/>
                <w:szCs w:val="24"/>
                <w:color w:val="auto"/>
              </w:rPr>
            </w:pPr>
          </w:p>
        </w:tc>
        <w:tc>
          <w:tcPr>
            <w:tcW w:w="1100" w:type="dxa"/>
            <w:vAlign w:val="bottom"/>
          </w:tcPr>
          <w:p>
            <w:pPr>
              <w:jc w:val="right"/>
              <w:ind w:right="295"/>
              <w:spacing w:after="0"/>
              <w:rPr>
                <w:sz w:val="20"/>
                <w:szCs w:val="20"/>
                <w:color w:val="auto"/>
              </w:rPr>
            </w:pPr>
            <w:r>
              <w:rPr>
                <w:rFonts w:ascii="Arial" w:cs="Arial" w:eastAsia="Arial" w:hAnsi="Arial"/>
                <w:sz w:val="14"/>
                <w:szCs w:val="14"/>
                <w:b w:val="1"/>
                <w:bCs w:val="1"/>
                <w:color w:val="auto"/>
              </w:rPr>
              <w:t>DWT</w:t>
            </w:r>
          </w:p>
        </w:tc>
        <w:tc>
          <w:tcPr>
            <w:tcW w:w="320" w:type="dxa"/>
            <w:vAlign w:val="bottom"/>
          </w:tcPr>
          <w:p>
            <w:pPr>
              <w:spacing w:after="0"/>
              <w:rPr>
                <w:sz w:val="24"/>
                <w:szCs w:val="24"/>
                <w:color w:val="auto"/>
              </w:rPr>
            </w:pPr>
          </w:p>
        </w:tc>
        <w:tc>
          <w:tcPr>
            <w:tcW w:w="2240" w:type="dxa"/>
            <w:vAlign w:val="bottom"/>
          </w:tcPr>
          <w:p>
            <w:pPr>
              <w:ind w:left="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Estefania H</w:t>
            </w:r>
          </w:p>
        </w:tc>
        <w:tc>
          <w:tcPr>
            <w:tcW w:w="3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2008</w:t>
            </w:r>
          </w:p>
        </w:tc>
        <w:tc>
          <w:tcPr>
            <w:tcW w:w="3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12,000</w:t>
            </w:r>
          </w:p>
        </w:tc>
        <w:tc>
          <w:tcPr>
            <w:tcW w:w="32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2"/>
              </w:rPr>
              <w:t>Double-hulled Product Tanker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Makenita H</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17,508</w:t>
            </w:r>
          </w:p>
        </w:tc>
        <w:tc>
          <w:tcPr>
            <w:tcW w:w="2560" w:type="dxa"/>
            <w:vAlign w:val="bottom"/>
            <w:gridSpan w:val="2"/>
          </w:tcPr>
          <w:p>
            <w:pPr>
              <w:ind w:left="320"/>
              <w:spacing w:after="0"/>
              <w:rPr>
                <w:sz w:val="20"/>
                <w:szCs w:val="20"/>
                <w:color w:val="auto"/>
              </w:rPr>
            </w:pPr>
            <w:r>
              <w:rPr>
                <w:rFonts w:ascii="Arial" w:cs="Arial" w:eastAsia="Arial" w:hAnsi="Arial"/>
                <w:sz w:val="18"/>
                <w:szCs w:val="18"/>
                <w:color w:val="auto"/>
                <w:w w:val="92"/>
              </w:rPr>
              <w:t>Double-hulled Product Tanker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Sara H</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2"/>
              </w:rPr>
              <w:t>Double-hulled Product Tanker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San San H</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16,871</w:t>
            </w:r>
          </w:p>
        </w:tc>
        <w:tc>
          <w:tcPr>
            <w:tcW w:w="2560" w:type="dxa"/>
            <w:vAlign w:val="bottom"/>
            <w:gridSpan w:val="2"/>
          </w:tcPr>
          <w:p>
            <w:pPr>
              <w:ind w:left="320"/>
              <w:spacing w:after="0"/>
              <w:rPr>
                <w:sz w:val="20"/>
                <w:szCs w:val="20"/>
                <w:color w:val="auto"/>
              </w:rPr>
            </w:pPr>
            <w:r>
              <w:rPr>
                <w:rFonts w:ascii="Arial" w:cs="Arial" w:eastAsia="Arial" w:hAnsi="Arial"/>
                <w:sz w:val="18"/>
                <w:szCs w:val="18"/>
                <w:color w:val="auto"/>
                <w:w w:val="92"/>
              </w:rPr>
              <w:t>Double-hulled Product Tanker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Ferni H</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16,871</w:t>
            </w:r>
          </w:p>
        </w:tc>
        <w:tc>
          <w:tcPr>
            <w:tcW w:w="2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2"/>
              </w:rPr>
              <w:t>Double-hulled Product Tanker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He Man H</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1,693</w:t>
            </w:r>
          </w:p>
        </w:tc>
        <w:tc>
          <w:tcPr>
            <w:tcW w:w="2560" w:type="dxa"/>
            <w:vAlign w:val="bottom"/>
            <w:gridSpan w:val="2"/>
          </w:tcPr>
          <w:p>
            <w:pPr>
              <w:ind w:left="320"/>
              <w:spacing w:after="0"/>
              <w:rPr>
                <w:sz w:val="20"/>
                <w:szCs w:val="20"/>
                <w:color w:val="auto"/>
              </w:rPr>
            </w:pPr>
            <w:r>
              <w:rPr>
                <w:rFonts w:ascii="Arial" w:cs="Arial" w:eastAsia="Arial" w:hAnsi="Arial"/>
                <w:sz w:val="18"/>
                <w:szCs w:val="18"/>
                <w:color w:val="auto"/>
                <w:w w:val="95"/>
              </w:rPr>
              <w:t>Double-hulled Bunker Vessel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Elena H</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2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2"/>
              </w:rPr>
              <w:t>Double-hulled Product Tanker</w:t>
            </w:r>
          </w:p>
        </w:tc>
        <w:tc>
          <w:tcPr>
            <w:tcW w:w="0" w:type="dxa"/>
            <w:vAlign w:val="bottom"/>
          </w:tcPr>
          <w:p>
            <w:pPr>
              <w:spacing w:after="0"/>
              <w:rPr>
                <w:sz w:val="1"/>
                <w:szCs w:val="1"/>
                <w:color w:val="auto"/>
              </w:rPr>
            </w:pPr>
          </w:p>
        </w:tc>
      </w:tr>
      <w:tr>
        <w:trPr>
          <w:trHeight w:val="223"/>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3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78,942</w:t>
            </w:r>
          </w:p>
        </w:tc>
        <w:tc>
          <w:tcPr>
            <w:tcW w:w="3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table above excludes certain barges that the Company has agreed to sell in the near-term future.</w:t>
      </w:r>
    </w:p>
    <w:p>
      <w:pPr>
        <w:spacing w:after="0" w:line="23" w:lineRule="exact"/>
        <w:rPr>
          <w:sz w:val="20"/>
          <w:szCs w:val="20"/>
          <w:color w:val="auto"/>
        </w:rPr>
      </w:pPr>
    </w:p>
    <w:p>
      <w:pPr>
        <w:ind w:left="540" w:right="440" w:hanging="424"/>
        <w:spacing w:after="0" w:line="260"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October 24, 2022, the Company completed the sale of the vessel Malva H. Please see also Note 5 “Tangible fixed assets and assets under construction”, included elsewhere in this report.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Outlook</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Navios Logistics believes the Dry Port Terminal that it owns and operates is the largest independent bulk transfer and storage port terminal complex in Uruguay based on throughputs, and that the Liquid Port Terminal is one of the largest independent storage facilities for crude and petroleum products in Paraguay based on storage capacity. Navios Logistics believes that it is also one of the largest owners and operators of a diverse and versatile fleet of dry and liquid barges, pushboats and oil tankers in the Hidrovia region. Navios Logistics’ port, barge and cabotage operations serve the needs of a diverse range of industries, including mineral and grain commodity providers as well as users of refined petroleum products. Navios Logistics has been able to combine its ports, barges, pushboats and tankers to offer an integrated logistics solution to its customers. Navios Logistics has customers that use both its dry port and dry barge services such as Vale International S.A. (“Vale”), Vetria Mineracao S.A. (“Vetria”), Alicorp and other customers that use or have used its liquid port and liquid barge or cabotage services such as Vitol and Petrosur. Navios Logistics believes that the scale and breadth of its integrated service offerings, together with the strategic location and unique capabilities of its infrastructure assets position it well to capitalize on the continued growth expected in iron ore, grain and liquid commodity trade flows within the Hidrovia region. Navios Holdings believes that the continuing development of these businesses will foster throughput growth and therefore increase revenues at Navios Logistics. Should this development be delayed, grain harvests be reduced, or the market experience an overall decrease in the demand for grain or iron ore, the operations of Navios Logistics could be adversely affected.</w:t>
      </w:r>
    </w:p>
    <w:p>
      <w:pPr>
        <w:spacing w:after="0" w:line="18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Navios Holdings believes that its shareholding in Navios Partners, aa publicly listed shipowning company, provides it with the potential for consistent earnings through dry bulk, tanker and container market cycles. Navios Partners’ unique fleet composition of over 15 vessel types provides exposure to over 10 different end markets, mitigating individual segment volatility and allows for flexible chartering and capital allocation strategies. Such strategies allow Navios Partners to fix long term charters which lock in cash flows for three to five years or more in strong markets while fixing shorter term in markets as they return to higher levels. Navios Holdings believes that Navios Partners’ low leverage and significant potential cash flow will allow it to acquire new vessels or upgrade its fleet at cyclical lows or through distressed opportunities not available to single fleet focused companies constrained by capital restrictions during market lows. Navios Partners’ fleet carries iron ore, coal, grain, other dry commodities, crude oil, petroleum products, bulk liquid chemicals and semi-finished and finished goods globally for a broad range of high-quality counterparties, such as Swissmarine, BHP, Cargill, Glencore, Shell, Chevron, Aramco, Maersk Line, MSC and Costco (the US retailer) among others. Navios Holdings believes that a decrease in global dry or liquid commodity or semi-finished or finished goods demand from its current level, and the delivery of dry bulk, tanker or container carrier new buildings into the world fleet, could have an adverse impact on Navios Partners’ revenue and profitability. However, Navios Holdings believes that the operating cost advantage achieved with the fixed-cost contracts provided by the Manager (as defined herein) for the Navios Partners fleet and the exposure to over 10 different end markets which generally operate on different cycles from one another will continue to help mitigate the impact of possible future declines in freight rates in any one sector. In a reduced freight rate environment, the value of one or more sectors of Navios Partners’ fleet would be negatively affected, and the availability of ship financing could be limited.</w:t>
      </w:r>
    </w:p>
    <w:p>
      <w:pPr>
        <w:sectPr>
          <w:pgSz w:w="11900" w:h="16838" w:orient="portrait"/>
          <w:cols w:equalWidth="0" w:num="1">
            <w:col w:w="11120"/>
          </w:cols>
          <w:pgMar w:left="320" w:top="459" w:right="459" w:bottom="1440" w:gutter="0" w:footer="0" w:header="0"/>
        </w:sectPr>
      </w:pP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120"/>
          </w:cols>
          <w:pgMar w:left="320" w:top="459" w:right="4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Factors Affecting Navios Holdings’ Results of Operations</w:t>
      </w:r>
    </w:p>
    <w:p>
      <w:pPr>
        <w:spacing w:after="0" w:line="121"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Navios Holdings believes the principal factors that will affect its future results of operations are the economic, regulatory, political and governmental conditions that affect the shipping and logistics industry generally and that affect conditions in countries and markets in which its affiliates’ vessels engage in business. In addition, Navios Holdings believes its results of operations could be materially and adversely affected by the ongoing war in Ukraine and continuing effects of global pandemics. Please read “Risk Factors” included in Navios Holdings’, Navios Partners’ and Navios Logistics’ Annual Reports on Form 20-F for the year ended December 31, 2021 for a discussion of certain risks inherent in their businesses</w:t>
      </w:r>
      <w:r>
        <w:rPr>
          <w:rFonts w:ascii="Arial" w:cs="Arial" w:eastAsia="Arial" w:hAnsi="Arial"/>
          <w:sz w:val="16"/>
          <w:szCs w:val="16"/>
          <w:i w:val="1"/>
          <w:iCs w:val="1"/>
          <w:color w:val="auto"/>
        </w:rPr>
        <w: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Chartering Arrangements</w:t>
      </w:r>
    </w:p>
    <w:p>
      <w:pPr>
        <w:spacing w:after="0" w:line="121"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Navios Logistics continually monitors developments in the shipping industry and makes decisions based on an individual vessel and segment basis, as well as on their view of overall market conditions, in order to implement their business strategy. In its Barge Business, Navios Logistics typically operates under a mix of time charters and contracts of affreightment (“CoAs”) having one-to-five-year terms (some of which have minimum guaranteed volumes) and spot contracts. In its Cabotage Business, Navios Logistics typically operates under time charters with terms in excess of one year. Some of its charters provide fixed pricing, minimum volume requirements, and adjustment formulas for labor cost and fuel price.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Period over Period Comparisons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Three Month Period Ended September 30, 2022 Compared to the Three Month Period Ended September 30, 2021</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following table presents consolidated revenue and expense information for the three month periods ended September 30, 2022 and 2021, respectively. This information was derived from the unaudited interim condensed consolidated statement of comprehensive income/(loss) of Navios Holdings for the respective periods. Following the closing of the Transaction (as defined herein), the results of the dry bulk vessel operations have been reported as discontinued operations for all periods presented.</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7"/>
              </w:rPr>
              <w:t>Three Month</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w:t>
            </w:r>
          </w:p>
        </w:tc>
      </w:tr>
      <w:tr>
        <w:trPr>
          <w:trHeight w:val="148"/>
        </w:trPr>
        <w:tc>
          <w:tcPr>
            <w:tcW w:w="4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Period Ended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Period Ended</w:t>
            </w:r>
          </w:p>
        </w:tc>
      </w:tr>
      <w:tr>
        <w:trPr>
          <w:trHeight w:val="171"/>
        </w:trPr>
        <w:tc>
          <w:tcPr>
            <w:tcW w:w="4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September 30, 2022</w:t>
            </w:r>
          </w:p>
        </w:tc>
        <w:tc>
          <w:tcPr>
            <w:tcW w:w="3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7"/>
              </w:rPr>
              <w:t>September 30, 2021</w:t>
            </w:r>
          </w:p>
        </w:tc>
      </w:tr>
      <w:tr>
        <w:trPr>
          <w:trHeight w:val="180"/>
        </w:trPr>
        <w:tc>
          <w:tcPr>
            <w:tcW w:w="4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4"/>
              </w:rPr>
              <w:t>(unaudited)</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5"/>
                <w:szCs w:val="15"/>
                <w:color w:val="auto"/>
              </w:rPr>
            </w:pPr>
          </w:p>
        </w:tc>
      </w:tr>
      <w:tr>
        <w:trPr>
          <w:trHeight w:val="70"/>
        </w:trPr>
        <w:tc>
          <w:tcPr>
            <w:tcW w:w="4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74,437</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63,524</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Time charter, voyage and logistics business expenses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(20,098)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(20,748)</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Direct vessel expenses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(20,738)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(16,522)</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(4,717)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(4,340)</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(8,085)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(8,106)</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Interest expense and finance cost, net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(16,070)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(15,208)</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(3,195)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Other expense, net</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(1,932)</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(745)</w:t>
            </w:r>
          </w:p>
        </w:tc>
      </w:tr>
      <w:tr>
        <w:trPr>
          <w:trHeight w:val="198"/>
        </w:trPr>
        <w:tc>
          <w:tcPr>
            <w:tcW w:w="46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Loss before equity in net (losses)/earnings of affiliate</w:t>
            </w:r>
          </w:p>
        </w:tc>
        <w:tc>
          <w:tcPr>
            <w:tcW w:w="4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companies</w:t>
            </w: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(398)</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(2,145)</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Equity in net (losses)/earnings of affiliate companies</w:t>
            </w:r>
          </w:p>
        </w:tc>
        <w:tc>
          <w:tcPr>
            <w:tcW w:w="4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(70,173)</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14,329</w:t>
            </w:r>
          </w:p>
        </w:tc>
        <w:tc>
          <w:tcPr>
            <w:tcW w:w="100" w:type="dxa"/>
            <w:vAlign w:val="bottom"/>
          </w:tcPr>
          <w:p>
            <w:pPr>
              <w:spacing w:after="0"/>
              <w:rPr>
                <w:sz w:val="20"/>
                <w:szCs w:val="20"/>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(Loss)/income before taxes</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(70,571)</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12,184</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4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(3,672)</w:t>
            </w:r>
          </w:p>
        </w:tc>
        <w:tc>
          <w:tcPr>
            <w:tcW w:w="100" w:type="dxa"/>
            <w:vAlign w:val="bottom"/>
          </w:tcPr>
          <w:p>
            <w:pPr>
              <w:spacing w:after="0"/>
              <w:rPr>
                <w:sz w:val="20"/>
                <w:szCs w:val="20"/>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(loss)/income from continuing operations</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(70,083)</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8,512</w:t>
            </w:r>
          </w:p>
        </w:tc>
      </w:tr>
      <w:tr>
        <w:trPr>
          <w:trHeight w:val="209"/>
        </w:trPr>
        <w:tc>
          <w:tcPr>
            <w:tcW w:w="4600" w:type="dxa"/>
            <w:vAlign w:val="bottom"/>
          </w:tcPr>
          <w:p>
            <w:pPr>
              <w:spacing w:after="0"/>
              <w:rPr>
                <w:sz w:val="20"/>
                <w:szCs w:val="20"/>
                <w:color w:val="auto"/>
              </w:rPr>
            </w:pPr>
            <w:r>
              <w:rPr>
                <w:rFonts w:ascii="Arial" w:cs="Arial" w:eastAsia="Arial" w:hAnsi="Arial"/>
                <w:sz w:val="18"/>
                <w:szCs w:val="18"/>
                <w:color w:val="auto"/>
              </w:rPr>
              <w:t>Net income from discontinued operations (including gain</w:t>
            </w:r>
          </w:p>
        </w:tc>
        <w:tc>
          <w:tcPr>
            <w:tcW w:w="4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00" w:type="dxa"/>
            <w:vAlign w:val="bottom"/>
          </w:tcPr>
          <w:p>
            <w:pPr>
              <w:ind w:left="180"/>
              <w:spacing w:after="0"/>
              <w:rPr>
                <w:sz w:val="20"/>
                <w:szCs w:val="20"/>
                <w:color w:val="auto"/>
              </w:rPr>
            </w:pPr>
            <w:r>
              <w:rPr>
                <w:rFonts w:ascii="Arial" w:cs="Arial" w:eastAsia="Arial" w:hAnsi="Arial"/>
                <w:sz w:val="18"/>
                <w:szCs w:val="18"/>
                <w:color w:val="auto"/>
              </w:rPr>
              <w:t>from sale of $169,631)</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109,638</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40,958</w:t>
            </w:r>
          </w:p>
        </w:tc>
      </w:tr>
      <w:tr>
        <w:trPr>
          <w:trHeight w:val="27"/>
        </w:trPr>
        <w:tc>
          <w:tcPr>
            <w:tcW w:w="4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39,555</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49,470</w:t>
            </w:r>
          </w:p>
        </w:tc>
      </w:tr>
      <w:tr>
        <w:trPr>
          <w:trHeight w:val="209"/>
        </w:trPr>
        <w:tc>
          <w:tcPr>
            <w:tcW w:w="4600" w:type="dxa"/>
            <w:vAlign w:val="bottom"/>
          </w:tcPr>
          <w:p>
            <w:pPr>
              <w:spacing w:after="0"/>
              <w:rPr>
                <w:sz w:val="20"/>
                <w:szCs w:val="20"/>
                <w:color w:val="auto"/>
              </w:rPr>
            </w:pPr>
            <w:r>
              <w:rPr>
                <w:rFonts w:ascii="Arial" w:cs="Arial" w:eastAsia="Arial" w:hAnsi="Arial"/>
                <w:sz w:val="18"/>
                <w:szCs w:val="18"/>
                <w:color w:val="auto"/>
              </w:rPr>
              <w:t>Less: Net (income)/loss attributable to the noncontrolling</w:t>
            </w:r>
          </w:p>
        </w:tc>
        <w:tc>
          <w:tcPr>
            <w:tcW w:w="4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600" w:type="dxa"/>
            <w:vAlign w:val="bottom"/>
          </w:tcPr>
          <w:p>
            <w:pPr>
              <w:ind w:left="180"/>
              <w:spacing w:after="0"/>
              <w:rPr>
                <w:sz w:val="20"/>
                <w:szCs w:val="20"/>
                <w:color w:val="auto"/>
              </w:rPr>
            </w:pPr>
            <w:r>
              <w:rPr>
                <w:rFonts w:ascii="Arial" w:cs="Arial" w:eastAsia="Arial" w:hAnsi="Arial"/>
                <w:sz w:val="18"/>
                <w:szCs w:val="18"/>
                <w:color w:val="auto"/>
              </w:rPr>
              <w:t>interest</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(597)</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10,338</w:t>
            </w:r>
          </w:p>
        </w:tc>
      </w:tr>
      <w:tr>
        <w:trPr>
          <w:trHeight w:val="198"/>
        </w:trPr>
        <w:tc>
          <w:tcPr>
            <w:tcW w:w="46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 Navios Holdings common</w:t>
            </w:r>
          </w:p>
        </w:tc>
        <w:tc>
          <w:tcPr>
            <w:tcW w:w="4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stockholders</w:t>
            </w: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38,958</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59,808</w:t>
            </w:r>
          </w:p>
        </w:tc>
      </w:tr>
      <w:tr>
        <w:trPr>
          <w:trHeight w:val="20"/>
        </w:trPr>
        <w:tc>
          <w:tcPr>
            <w:tcW w:w="4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from continuing operations, generated solely from Navios Logistics, increased by $10.9 million, or 17.2% to $74.4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 period ended September 30, 2022, as compared to $63.5 million for the same period in 2021. The increase was mainly attributable to</w:t>
      </w:r>
    </w:p>
    <w:p>
      <w:pPr>
        <w:ind w:left="120" w:right="220" w:hanging="4"/>
        <w:spacing w:after="0" w:line="252"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$7.5 million increase in revenue from the Port Terminal Business due to higher volumes transshipped in the Grain Port Terminal mainly due to increased Uruguayan soybean production and exports, and higher tariffs and volumes transshipped in the Iron Ore Port Terminal; (ii) a $5.6 million increase in revenue from the Cabotage Business mainly due to more operating days; and (iii) a $2.6 million increase in revenue from the Barge Business, mainly due to a $3.5 million increase in CoA/voyage revenues, partially mitigated by a $0.9 million decrease in time charter revenues. The overall increase was partially mitigated by a $4.9 million decrease in sales of products due to the decrease in the Paraguayan liquid port’s volume of products sold.</w:t>
      </w:r>
    </w:p>
    <w:p>
      <w:pPr>
        <w:sectPr>
          <w:pgSz w:w="11900" w:h="16838" w:orient="portrait"/>
          <w:cols w:equalWidth="0" w:num="1">
            <w:col w:w="11060"/>
          </w:cols>
          <w:pgMar w:left="320" w:top="459" w:right="519" w:bottom="1440" w:gutter="0" w:footer="0" w:header="0"/>
        </w:sectPr>
      </w:pP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060"/>
          </w:cols>
          <w:pgMar w:left="320" w:top="459" w:right="5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b w:val="1"/>
          <w:bCs w:val="1"/>
          <w:i w:val="1"/>
          <w:iCs w:val="1"/>
          <w:color w:val="auto"/>
        </w:rPr>
        <w:t xml:space="preserve">Time charter, voyage and logistics business expenses: </w:t>
      </w:r>
      <w:r>
        <w:rPr>
          <w:rFonts w:ascii="Arial" w:cs="Arial" w:eastAsia="Arial" w:hAnsi="Arial"/>
          <w:sz w:val="18"/>
          <w:szCs w:val="18"/>
          <w:color w:val="auto"/>
        </w:rPr>
        <w:t>Time charter, voyage and logistics business expenses from continuing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decreased by $0.7 million, or 3.1%, to $20.1 million for the three month period ended September 30, 2022, as compared to $20.7 million for the three month period ended September 30, 2021. The decrease was attributable to (i) a $4.8 million decrease in sales of products due to the decrease in the Paraguayan liquid port’s volume of products sold; and (ii) a $0.6 million decrease in time charter and voyage expenses of the Cabotage Business. The decrease was partially mitigated by (i) a $3.4 million increase in time charter and voyage expenses of the Barge Business mainly due to higher fuel prices; and (ii) a $1.2 million increase in port terminal expenses mainly due to higher volumes transshipped in the Grain Port Terminal and the Iron Ore Port Terminal.</w:t>
      </w:r>
    </w:p>
    <w:p>
      <w:pPr>
        <w:spacing w:after="0" w:line="195" w:lineRule="exact"/>
        <w:rPr>
          <w:sz w:val="20"/>
          <w:szCs w:val="20"/>
          <w:color w:val="auto"/>
        </w:rPr>
      </w:pPr>
    </w:p>
    <w:p>
      <w:pPr>
        <w:ind w:left="120" w:right="300" w:firstLine="440"/>
        <w:spacing w:after="0" w:line="273" w:lineRule="auto"/>
        <w:rPr>
          <w:sz w:val="20"/>
          <w:szCs w:val="20"/>
          <w:color w:val="auto"/>
        </w:rPr>
      </w:pPr>
      <w:r>
        <w:rPr>
          <w:rFonts w:ascii="Arial" w:cs="Arial" w:eastAsia="Arial" w:hAnsi="Arial"/>
          <w:sz w:val="17"/>
          <w:szCs w:val="17"/>
          <w:b w:val="1"/>
          <w:bCs w:val="1"/>
          <w:i w:val="1"/>
          <w:iCs w:val="1"/>
          <w:color w:val="auto"/>
        </w:rPr>
        <w:t xml:space="preserve">Direct vessel expenses: </w:t>
      </w:r>
      <w:r>
        <w:rPr>
          <w:rFonts w:ascii="Arial" w:cs="Arial" w:eastAsia="Arial" w:hAnsi="Arial"/>
          <w:sz w:val="17"/>
          <w:szCs w:val="17"/>
          <w:color w:val="auto"/>
        </w:rPr>
        <w:t>Direct vessel expenses from continuing operations increased by $4.2 million, or 25.5%, to $20.7 million for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 period ended September 30, 2022, as compared to $16.5 million for the three month period ended September 30, 2021. The increase was attributable to a $4.8 million increase in direct vessel expenses of the Cabotage Business mainly due to increased crew payroll and related costs; partially mitigated by a $0.6 million decrease in direct vessel expenses of the Barge Business. Drydocking and special survey amortization remained stable at $1.2 million for each of the three month periods ended September 30, 2022 and 2021. Direct vessel expenses from Navios Logistics include crew costs, victual costs, dockage expenses, lubricants, spares, insurance, maintenance and repairs.</w:t>
      </w:r>
    </w:p>
    <w:p>
      <w:pPr>
        <w:spacing w:after="0" w:line="17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from continuing operations increased by $0.4 million, or 8.7%,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$4.7 million for the three month period ended September 30, 2022, as compared to $4.3 million for the three month period ended September 30, 2021. The increase was mainly attributable to a $0.5 million increase in general and administrative expenses related to Navios Logistics due to an increase in payroll and related costs, partially mitigated by a $0.1 million decrease in general and administrative expenses related to Navios Holdings for continuing operations. For each of the three month periods ended September 30, 2022 and 2021, general and administrative expenses, related to Navios Holdings for continuing operations, under the Administrative Services Agreement (as defined herein), amounted to $0.1 million.</w:t>
      </w:r>
    </w:p>
    <w:p>
      <w:pPr>
        <w:spacing w:after="0" w:line="16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from continuing operations remained stable at $8.1 million for each of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 periods ended September 30, 2022 and 2021.</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Interest expense and finance cost, net: </w:t>
      </w:r>
      <w:r>
        <w:rPr>
          <w:rFonts w:ascii="Arial" w:cs="Arial" w:eastAsia="Arial" w:hAnsi="Arial"/>
          <w:sz w:val="16"/>
          <w:szCs w:val="16"/>
          <w:color w:val="auto"/>
        </w:rPr>
        <w:t>Interest expense and finance cost, net from continuing operations increased by $0.9 million, or 5.7%,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$16.1 million for the three month period ended September 30, 2022, as compared to $15.2 million for the same period in 2021. This increase was mainly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due to (i) a $0.7 million increase in interest expenses and finance cost, net, from Navios Holdings for continuing operations, mainly due to the 4% PIK</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interest on the Convertible Debenture (as defined herein) entered into with NSM (as defined herein), which occurred during the first quarter of 2022;</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(ii) a $0.1 million increase in interest expense and finance cost, net from Navios Logistics, mainly due to the higher weighted average interest rate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Navios Logistics for the three month period ended September 30, 2022.</w:t>
      </w:r>
    </w:p>
    <w:p>
      <w:pPr>
        <w:spacing w:after="0" w:line="21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Impairment loss: </w:t>
      </w:r>
      <w:r>
        <w:rPr>
          <w:rFonts w:ascii="Arial" w:cs="Arial" w:eastAsia="Arial" w:hAnsi="Arial"/>
          <w:sz w:val="18"/>
          <w:szCs w:val="18"/>
          <w:color w:val="auto"/>
        </w:rPr>
        <w:t>Impairment loss from continuing operations incurred in the three month period ended September 30, 2022 was $3.2 million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nil for the same period in 2021. Impairment loss was due to (i) $0.8 million incurred in the Cabotage Business resulting from the sale of the vessel Malva H; and (ii) $2.4 million incurred in the Barge Business in relation to certain barges. Please also refer to Note 4 “Vessels, Port Terminal and other fixed assets, net” included elsewhere in this Report.</w:t>
      </w:r>
    </w:p>
    <w:p>
      <w:pPr>
        <w:spacing w:after="0" w:line="18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b w:val="1"/>
          <w:bCs w:val="1"/>
          <w:i w:val="1"/>
          <w:iCs w:val="1"/>
          <w:color w:val="auto"/>
        </w:rPr>
        <w:t xml:space="preserve">Other expense, net: </w:t>
      </w:r>
      <w:r>
        <w:rPr>
          <w:rFonts w:ascii="Arial" w:cs="Arial" w:eastAsia="Arial" w:hAnsi="Arial"/>
          <w:sz w:val="17"/>
          <w:szCs w:val="17"/>
          <w:color w:val="auto"/>
        </w:rPr>
        <w:t>Other expense, net from continuing operations increased by $1.2 million, to $1.9 million for the three month period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2022, as compared to $0.7 million for the same period in 2021. This increase was due to (i) a 0.8 million increase in the Barge Business mainly due to negative foreign exchange differences; partially mitigated by a decrease in taxes other than income tax; and (ii) a $0.5 million increase in the Cabotage Business mainly due to increased taxes other than income taxes derived from an increase in revenues. This overall increase was partially mitigated by a less than $0.1 million decrease in other expenses, net in the Port Terminal Business.</w:t>
      </w:r>
    </w:p>
    <w:p>
      <w:pPr>
        <w:spacing w:after="0" w:line="176"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b w:val="1"/>
          <w:bCs w:val="1"/>
          <w:i w:val="1"/>
          <w:iCs w:val="1"/>
          <w:color w:val="auto"/>
        </w:rPr>
        <w:t xml:space="preserve">Equity in net (losses)/earnings of affiliate companies: </w:t>
      </w:r>
      <w:r>
        <w:rPr>
          <w:rFonts w:ascii="Arial" w:cs="Arial" w:eastAsia="Arial" w:hAnsi="Arial"/>
          <w:sz w:val="16"/>
          <w:szCs w:val="16"/>
          <w:color w:val="auto"/>
        </w:rPr>
        <w:t>Equity in net losses of affiliate companies increased by $84.5 million, to $70.2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 period ended September 30, 2022, as compared to $14.3 million equity in net earnings for the same period in 2021, due to a</w:t>
      </w:r>
    </w:p>
    <w:p>
      <w:pPr>
        <w:ind w:left="120" w:right="300"/>
        <w:spacing w:after="0" w:line="260" w:lineRule="auto"/>
        <w:rPr>
          <w:sz w:val="20"/>
          <w:szCs w:val="20"/>
          <w:color w:val="auto"/>
        </w:rPr>
      </w:pPr>
      <w:r>
        <w:rPr>
          <w:rFonts w:ascii="Arial" w:cs="Arial" w:eastAsia="Arial" w:hAnsi="Arial"/>
          <w:sz w:val="18"/>
          <w:szCs w:val="18"/>
          <w:color w:val="auto"/>
        </w:rPr>
        <w:t>$97.7 million other-than- temporary impairment (“OTTI”) loss related to our investment in Navios Partners, mitigated by a $13.2 million increase in equity method income from subsidiaries.</w:t>
      </w:r>
    </w:p>
    <w:p>
      <w:pPr>
        <w:spacing w:after="0" w:line="185"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Income tax benefit/(expense): </w:t>
      </w:r>
      <w:r>
        <w:rPr>
          <w:rFonts w:ascii="Arial" w:cs="Arial" w:eastAsia="Arial" w:hAnsi="Arial"/>
          <w:sz w:val="17"/>
          <w:szCs w:val="17"/>
          <w:color w:val="auto"/>
        </w:rPr>
        <w:t>Income tax benefit from continuing operations for the three month period ended September 30, 2022 increased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$4.2 million to $0.5 million for the three month period ended September 30, 2022, as compared to $3.7 million income tax expense for the same period in 2021. The total change in income tax was mainly attributable to Navios Logistics due to a (i) $2.3 million decrease in income tax expense of the Cabotage Business; and (ii) a $1.9 million increase in income tax benefit of the Barge Business.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b w:val="1"/>
          <w:bCs w:val="1"/>
          <w:i w:val="1"/>
          <w:iCs w:val="1"/>
          <w:color w:val="auto"/>
        </w:rPr>
        <w:t xml:space="preserve">Net income from discontinued operations: </w:t>
      </w:r>
      <w:r>
        <w:rPr>
          <w:rFonts w:ascii="Arial" w:cs="Arial" w:eastAsia="Arial" w:hAnsi="Arial"/>
          <w:sz w:val="18"/>
          <w:szCs w:val="18"/>
          <w:color w:val="auto"/>
        </w:rPr>
        <w:t>Net income from discontinued operations, increased by $68.7 million to $109.6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 period ended September 30, 2022, as compared to $41.0 million for the same period in 2021.</w:t>
      </w:r>
    </w:p>
    <w:p>
      <w:pPr>
        <w:spacing w:after="0" w:line="170"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An analysis of the amounts recorded in respect of discontinued operations in the three month periods ended September 30, 2022 and 2021, respectively are presented as follows: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7"/>
              </w:rPr>
              <w:t>Three Month</w:t>
            </w: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9"/>
              </w:rPr>
              <w:t>Three Month</w:t>
            </w:r>
          </w:p>
        </w:tc>
      </w:tr>
      <w:tr>
        <w:trPr>
          <w:trHeight w:val="148"/>
        </w:trPr>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Period Ended</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Period Ended</w:t>
            </w:r>
          </w:p>
        </w:tc>
      </w:tr>
      <w:tr>
        <w:trPr>
          <w:trHeight w:val="148"/>
        </w:trPr>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60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46,309</w:t>
            </w:r>
          </w:p>
        </w:tc>
        <w:tc>
          <w:tcPr>
            <w:tcW w:w="5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104,925</w:t>
            </w: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Time charter, voyage and logistics business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(6,255)</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(20,802)</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Direct vessel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(7,904)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(12,048)</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(2,269)</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(2,519)</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(5,064)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(6,432)</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Interest expense and finance cost,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(17,680)</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(19,881)</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Loss on bond extinguishment,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(822)</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Non-operating other expense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(61,730)</w:t>
            </w:r>
          </w:p>
        </w:tc>
        <w:tc>
          <w:tcPr>
            <w:tcW w:w="2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169,631</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Other expense,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(5,387)</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(1,439)</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23"/>
        </w:trPr>
        <w:tc>
          <w:tcPr>
            <w:tcW w:w="6000" w:type="dxa"/>
            <w:vAlign w:val="bottom"/>
          </w:tcPr>
          <w:p>
            <w:pPr>
              <w:spacing w:after="0"/>
              <w:rPr>
                <w:sz w:val="20"/>
                <w:szCs w:val="20"/>
                <w:color w:val="auto"/>
              </w:rPr>
            </w:pPr>
            <w:r>
              <w:rPr>
                <w:rFonts w:ascii="Arial" w:cs="Arial" w:eastAsia="Arial" w:hAnsi="Arial"/>
                <w:sz w:val="18"/>
                <w:szCs w:val="18"/>
                <w:b w:val="1"/>
                <w:bCs w:val="1"/>
                <w:color w:val="auto"/>
              </w:rPr>
              <w:t>Net income from discontinued operations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109,638</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40,958</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 xml:space="preserve">Net (income)/loss attributable to the noncontrolling interest: </w:t>
      </w:r>
      <w:r>
        <w:rPr>
          <w:rFonts w:ascii="Arial" w:cs="Arial" w:eastAsia="Arial" w:hAnsi="Arial"/>
          <w:sz w:val="17"/>
          <w:szCs w:val="17"/>
          <w:color w:val="auto"/>
        </w:rPr>
        <w:t>Net (income)/loss attributable to the noncontrolling interest increased by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$10.9 million to $0.6 million net income for the three month period ended September 30, 2022, as compared to $10.3 million net loss for the same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period in 2021. This increase was mainly due to an increase in net income from Navios Logistics for the three month period ended September 30, 2022,</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compared to the same period in 2021, which translates into a higher amount allocated to non-controlling interest.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Nine Month Period Ended September 30, 2022 Compared to the Nine Month Period Ended September 30, 2021</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following table presents consolidated revenue and expense information for the nine month periods ended September 30, 2022 and 2021, respectively. This information was derived from the unaudited interim condensed consolidated statement of comprehensive income/ (loss) of Navios Holdings for the respective periods. Following the closing of the Transaction (as defined herein), the results of the dry bulk vessel operations have been reported as discontinued operations for all periods presented.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459" w:right="5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Nine Month</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Nine Month</w:t>
            </w:r>
          </w:p>
        </w:tc>
      </w:tr>
      <w:tr>
        <w:trPr>
          <w:trHeight w:val="148"/>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Period Ended</w:t>
            </w:r>
          </w:p>
        </w:tc>
      </w:tr>
      <w:tr>
        <w:trPr>
          <w:trHeight w:val="171"/>
        </w:trPr>
        <w:tc>
          <w:tcPr>
            <w:tcW w:w="508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September 30, 2022</w:t>
            </w:r>
          </w:p>
        </w:tc>
        <w:tc>
          <w:tcPr>
            <w:tcW w:w="3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7"/>
              </w:rPr>
              <w:t>September 30, 2021</w:t>
            </w:r>
          </w:p>
        </w:tc>
      </w:tr>
      <w:tr>
        <w:trPr>
          <w:trHeight w:val="180"/>
        </w:trPr>
        <w:tc>
          <w:tcPr>
            <w:tcW w:w="50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4"/>
              </w:rPr>
              <w:t>(unaudited)</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5"/>
                <w:szCs w:val="15"/>
                <w:color w:val="auto"/>
              </w:rPr>
            </w:pPr>
          </w:p>
        </w:tc>
      </w:tr>
      <w:tr>
        <w:trPr>
          <w:trHeight w:val="70"/>
        </w:trPr>
        <w:tc>
          <w:tcPr>
            <w:tcW w:w="5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202,776</w:t>
            </w:r>
          </w:p>
        </w:tc>
        <w:tc>
          <w:tcPr>
            <w:tcW w:w="42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174,318</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Time charter, voyage and logistics business expenses</w:t>
            </w:r>
          </w:p>
        </w:tc>
        <w:tc>
          <w:tcPr>
            <w:tcW w:w="12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(52,979)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(51,206)</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Direct vessel expenses</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(56,458)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(47,597)</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(13,461)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(12,580)</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(24,157)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(23,647)</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Interest expense and finance cost, net</w:t>
            </w:r>
          </w:p>
        </w:tc>
        <w:tc>
          <w:tcPr>
            <w:tcW w:w="12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(47,866)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(45,143)</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(3,195)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Non-operating other finance cost</w:t>
            </w:r>
          </w:p>
        </w:tc>
        <w:tc>
          <w:tcPr>
            <w:tcW w:w="12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(24,000)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w:t>
            </w:r>
          </w:p>
        </w:tc>
      </w:tr>
      <w:tr>
        <w:trPr>
          <w:trHeight w:val="205"/>
        </w:trPr>
        <w:tc>
          <w:tcPr>
            <w:tcW w:w="5080" w:type="dxa"/>
            <w:vAlign w:val="bottom"/>
          </w:tcPr>
          <w:p>
            <w:pPr>
              <w:spacing w:after="0" w:line="205" w:lineRule="exact"/>
              <w:rPr>
                <w:sz w:val="20"/>
                <w:szCs w:val="20"/>
                <w:color w:val="auto"/>
              </w:rPr>
            </w:pPr>
            <w:r>
              <w:rPr>
                <w:rFonts w:ascii="Arial" w:cs="Arial" w:eastAsia="Arial" w:hAnsi="Arial"/>
                <w:sz w:val="18"/>
                <w:szCs w:val="18"/>
                <w:b w:val="1"/>
                <w:bCs w:val="1"/>
                <w:color w:val="auto"/>
              </w:rPr>
              <w:t>Loss before equity in net (losses)/earnings of affiliate</w:t>
            </w: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080" w:type="dxa"/>
            <w:vAlign w:val="bottom"/>
          </w:tcPr>
          <w:p>
            <w:pPr>
              <w:ind w:left="180"/>
              <w:spacing w:after="0"/>
              <w:rPr>
                <w:sz w:val="20"/>
                <w:szCs w:val="20"/>
                <w:color w:val="auto"/>
              </w:rPr>
            </w:pPr>
            <w:r>
              <w:rPr>
                <w:rFonts w:ascii="Arial" w:cs="Arial" w:eastAsia="Arial" w:hAnsi="Arial"/>
                <w:sz w:val="18"/>
                <w:szCs w:val="18"/>
                <w:b w:val="1"/>
                <w:bCs w:val="1"/>
                <w:color w:val="auto"/>
              </w:rPr>
              <w:t>companies</w:t>
            </w:r>
          </w:p>
        </w:tc>
        <w:tc>
          <w:tcPr>
            <w:tcW w:w="120" w:type="dxa"/>
            <w:vAlign w:val="bottom"/>
          </w:tcPr>
          <w:p>
            <w:pPr>
              <w:spacing w:after="0"/>
              <w:rPr>
                <w:sz w:val="20"/>
                <w:szCs w:val="20"/>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(19,871)</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(6,146)</w:t>
            </w:r>
          </w:p>
        </w:tc>
      </w:tr>
      <w:tr>
        <w:trPr>
          <w:trHeight w:val="27"/>
        </w:trPr>
        <w:tc>
          <w:tcPr>
            <w:tcW w:w="5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Equity in net (losses)/earnings of affiliate companies</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(47,214)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54,923</w:t>
            </w:r>
          </w:p>
        </w:tc>
      </w:tr>
      <w:tr>
        <w:trPr>
          <w:trHeight w:val="230"/>
        </w:trPr>
        <w:tc>
          <w:tcPr>
            <w:tcW w:w="5080" w:type="dxa"/>
            <w:vAlign w:val="bottom"/>
          </w:tcPr>
          <w:p>
            <w:pPr>
              <w:spacing w:after="0"/>
              <w:rPr>
                <w:sz w:val="20"/>
                <w:szCs w:val="20"/>
                <w:color w:val="auto"/>
              </w:rPr>
            </w:pPr>
            <w:r>
              <w:rPr>
                <w:rFonts w:ascii="Arial" w:cs="Arial" w:eastAsia="Arial" w:hAnsi="Arial"/>
                <w:sz w:val="18"/>
                <w:szCs w:val="18"/>
                <w:b w:val="1"/>
                <w:bCs w:val="1"/>
                <w:color w:val="auto"/>
              </w:rPr>
              <w:t>(Loss)/income before taxes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(67,085)</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48,777</w:t>
            </w:r>
          </w:p>
        </w:tc>
        <w:tc>
          <w:tcPr>
            <w:tcW w:w="100" w:type="dxa"/>
            <w:vAlign w:val="bottom"/>
          </w:tcPr>
          <w:p>
            <w:pPr>
              <w:spacing w:after="0"/>
              <w:rPr>
                <w:sz w:val="20"/>
                <w:szCs w:val="20"/>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(3,396)</w:t>
            </w:r>
          </w:p>
        </w:tc>
      </w:tr>
      <w:tr>
        <w:trPr>
          <w:trHeight w:val="230"/>
        </w:trPr>
        <w:tc>
          <w:tcPr>
            <w:tcW w:w="5080" w:type="dxa"/>
            <w:vAlign w:val="bottom"/>
          </w:tcPr>
          <w:p>
            <w:pPr>
              <w:spacing w:after="0"/>
              <w:rPr>
                <w:sz w:val="20"/>
                <w:szCs w:val="20"/>
                <w:color w:val="auto"/>
              </w:rPr>
            </w:pPr>
            <w:r>
              <w:rPr>
                <w:rFonts w:ascii="Arial" w:cs="Arial" w:eastAsia="Arial" w:hAnsi="Arial"/>
                <w:sz w:val="18"/>
                <w:szCs w:val="18"/>
                <w:b w:val="1"/>
                <w:bCs w:val="1"/>
                <w:color w:val="auto"/>
              </w:rPr>
              <w:t>Net (loss)/income from continuing operations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(67,268)</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45,381</w:t>
            </w:r>
          </w:p>
        </w:tc>
        <w:tc>
          <w:tcPr>
            <w:tcW w:w="100" w:type="dxa"/>
            <w:vAlign w:val="bottom"/>
          </w:tcPr>
          <w:p>
            <w:pPr>
              <w:spacing w:after="0"/>
              <w:rPr>
                <w:sz w:val="20"/>
                <w:szCs w:val="20"/>
                <w:color w:val="auto"/>
              </w:rPr>
            </w:pPr>
          </w:p>
        </w:tc>
      </w:tr>
      <w:tr>
        <w:trPr>
          <w:trHeight w:val="202"/>
        </w:trPr>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from discontinued operations (including gain</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tcBorders>
              <w:lef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sale of $169,631)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148,973</w:t>
            </w:r>
          </w:p>
        </w:tc>
        <w:tc>
          <w:tcPr>
            <w:tcW w:w="420" w:type="dxa"/>
            <w:vAlign w:val="bottom"/>
            <w:tcBorders>
              <w:left w:val="single" w:sz="8" w:color="CCEEFF"/>
            </w:tcBorders>
            <w:shd w:val="clear" w:color="auto" w:fill="CCEEFF"/>
          </w:tcPr>
          <w:p>
            <w:pPr>
              <w:spacing w:after="0"/>
              <w:rPr>
                <w:sz w:val="20"/>
                <w:szCs w:val="20"/>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29,947</w:t>
            </w:r>
          </w:p>
        </w:tc>
      </w:tr>
      <w:tr>
        <w:trPr>
          <w:trHeight w:val="230"/>
        </w:trPr>
        <w:tc>
          <w:tcPr>
            <w:tcW w:w="50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81,705</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75,328</w:t>
            </w:r>
          </w:p>
        </w:tc>
        <w:tc>
          <w:tcPr>
            <w:tcW w:w="100" w:type="dxa"/>
            <w:vAlign w:val="bottom"/>
          </w:tcPr>
          <w:p>
            <w:pPr>
              <w:spacing w:after="0"/>
              <w:rPr>
                <w:sz w:val="20"/>
                <w:szCs w:val="20"/>
                <w:color w:val="auto"/>
              </w:rPr>
            </w:pPr>
          </w:p>
        </w:tc>
      </w:tr>
      <w:tr>
        <w:trPr>
          <w:trHeight w:val="202"/>
        </w:trPr>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(income)/loss attributable to the noncontrolling</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tcBorders>
              <w:lef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(2,787)</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9,578</w:t>
            </w:r>
          </w:p>
        </w:tc>
      </w:tr>
      <w:tr>
        <w:trPr>
          <w:trHeight w:val="205"/>
        </w:trPr>
        <w:tc>
          <w:tcPr>
            <w:tcW w:w="5080" w:type="dxa"/>
            <w:vAlign w:val="bottom"/>
          </w:tcPr>
          <w:p>
            <w:pPr>
              <w:spacing w:after="0" w:line="205" w:lineRule="exact"/>
              <w:rPr>
                <w:sz w:val="20"/>
                <w:szCs w:val="20"/>
                <w:color w:val="auto"/>
              </w:rPr>
            </w:pPr>
            <w:r>
              <w:rPr>
                <w:rFonts w:ascii="Arial" w:cs="Arial" w:eastAsia="Arial" w:hAnsi="Arial"/>
                <w:sz w:val="18"/>
                <w:szCs w:val="18"/>
                <w:b w:val="1"/>
                <w:bCs w:val="1"/>
                <w:color w:val="auto"/>
              </w:rPr>
              <w:t>Net income attributable to Navios Holdings common</w:t>
            </w: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080" w:type="dxa"/>
            <w:vAlign w:val="bottom"/>
          </w:tcPr>
          <w:p>
            <w:pPr>
              <w:ind w:left="180"/>
              <w:spacing w:after="0"/>
              <w:rPr>
                <w:sz w:val="20"/>
                <w:szCs w:val="20"/>
                <w:color w:val="auto"/>
              </w:rPr>
            </w:pPr>
            <w:r>
              <w:rPr>
                <w:rFonts w:ascii="Arial" w:cs="Arial" w:eastAsia="Arial" w:hAnsi="Arial"/>
                <w:sz w:val="18"/>
                <w:szCs w:val="18"/>
                <w:b w:val="1"/>
                <w:bCs w:val="1"/>
                <w:color w:val="auto"/>
              </w:rPr>
              <w:t>stockholders</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79,918</w:t>
            </w:r>
          </w:p>
        </w:tc>
        <w:tc>
          <w:tcPr>
            <w:tcW w:w="420" w:type="dxa"/>
            <w:vAlign w:val="bottom"/>
          </w:tcPr>
          <w:p>
            <w:pPr>
              <w:spacing w:after="0"/>
              <w:rPr>
                <w:sz w:val="20"/>
                <w:szCs w:val="20"/>
                <w:color w:val="auto"/>
              </w:rPr>
            </w:pPr>
          </w:p>
        </w:tc>
        <w:tc>
          <w:tcPr>
            <w:tcW w:w="50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84,906</w:t>
            </w:r>
          </w:p>
        </w:tc>
      </w:tr>
      <w:tr>
        <w:trPr>
          <w:trHeight w:val="20"/>
        </w:trPr>
        <w:tc>
          <w:tcPr>
            <w:tcW w:w="5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Revenue from continuing operations, generated solely from Navios Logistics, increased by $28.5 million, or 16.3% to $202.8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nine month period ended September 30, 2022, as compared to $174.3 million for the same period in 2021. The increase was mainly attributable to (i) a $18.6 million increase in revenue from the Port Terminal Business due to higher volumes transshipped in the Grain Port Terminal mainly due to increased Uruguayan soybean production and exports, and higher tariffs and volumes transshipped in the Iron Ore Port Terminal; (ii) a $12.3 million increase in revenue from the Cabotage Business mainly due to more operating days; and (iii) a $4.0 million increase in revenue from the Barge Business, mainly due to a $7.5 million increase in CoA/voyage revenues, partially mitigated by a $3.5 million decrease in time charter revenues. The overall increase was partially mitigated by a $6.5 million decrease in sales of products due to the decrease in the Paraguayan liquid port’s volume of products sold.</w:t>
      </w:r>
    </w:p>
    <w:p>
      <w:pPr>
        <w:spacing w:after="0" w:line="192"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b w:val="1"/>
          <w:bCs w:val="1"/>
          <w:i w:val="1"/>
          <w:iCs w:val="1"/>
          <w:color w:val="auto"/>
        </w:rPr>
        <w:t xml:space="preserve">Time charter, voyage and logistics business expenses: </w:t>
      </w:r>
      <w:r>
        <w:rPr>
          <w:rFonts w:ascii="Arial" w:cs="Arial" w:eastAsia="Arial" w:hAnsi="Arial"/>
          <w:sz w:val="18"/>
          <w:szCs w:val="18"/>
          <w:color w:val="auto"/>
        </w:rPr>
        <w:t>Time charter, voyage and logistics business expenses, from continuing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$1.8 million, or 3.5%, to $53.0 million for the nine month period ended September 30, 2022, as compared to $51.2 million for the nine month period ended September 30, 2021. The increase was attributable to (i) a $6.8 million increase in time charter and voyage expenses of the Barge Business mainly due to higher fuel prices; and (ii) a $2.4 million increase in port terminal expenses mainly due to higher volumes transshipped in the Grain Port Terminal and the Iron Ore Port Terminal. The increase was partially mitigated by (i) a $6.4 million decrease in sales of products due to the decrease in the Paraguayan liquid port’s volume of products sold; and (ii) a $1.0 million decrease in time charter and voyage expenses of the Cabotage Business.</w:t>
      </w:r>
    </w:p>
    <w:p>
      <w:pPr>
        <w:spacing w:after="0" w:line="19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Direct vessel expenses: </w:t>
      </w:r>
      <w:r>
        <w:rPr>
          <w:rFonts w:ascii="Arial" w:cs="Arial" w:eastAsia="Arial" w:hAnsi="Arial"/>
          <w:sz w:val="18"/>
          <w:szCs w:val="18"/>
          <w:color w:val="auto"/>
        </w:rPr>
        <w:t>Direct vessel expenses, from continuing operations increased by $8.9 million, or 18.6%, to $56.5 million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 period ended September 30, 2022, as compared to $47.6 million for the same period in 2021. The increase was attributable to a $9.3 million increase in direct vessel expenses of the Cabotage Business mainly due to increased crew payroll and related costs; partially mitigated by a $0.4 million decrease in direct vessel expenses of the Barge Business. Direct vessel expenses from Navios Logistics include crew costs, victual costs, dockage expenses, lubricants, spares, insurance, maintenance and repairs.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from continuing operations increased by $0.9 million, or 7.0%,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$13.5 million for the nine month period ended September 30, 2022, as compared to $12.6 million for the nine month period ended September 30, 2021.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increase was mainly attributable to a $1.3 million increase in general and administrative expenses related to Navios Logistics due to an increase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professional fees, salaries and travel expense, partially mitigated by a $0.4 million decrease in general and administrative expenses related to Navios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Holdings for continuing operations. For each of the nine month periods ended September 30, 2022 and 2021, general and administrative expenses,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related to Navios Holdings for continuing operations, under the Administrative Services Agreement (as defined herein), amounted to $0.4 million.</w:t>
      </w:r>
    </w:p>
    <w:p>
      <w:pPr>
        <w:spacing w:after="0" w:line="222"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For the nine month period ended September 30, 2022, depreciation and amortization expense, from continuing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increased by $0.5 million, or 2.2%, to $24.2 million, as compared to $23.6 million for the same period in 2021. The increase was primarily due to (i) a $0.9 million increase in the Barge Business mainly due to the delivery of the three</w:t>
      </w:r>
    </w:p>
    <w:p>
      <w:pPr>
        <w:sectPr>
          <w:pgSz w:w="11900" w:h="16838" w:orient="portrait"/>
          <w:cols w:equalWidth="0" w:num="1">
            <w:col w:w="11040"/>
          </w:cols>
          <w:pgMar w:left="320" w:top="459" w:right="539" w:bottom="1440" w:gutter="0" w:footer="0" w:header="0"/>
        </w:sectPr>
      </w:pP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040"/>
          </w:cols>
          <w:pgMar w:left="320" w:top="459" w:right="5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308" w:lineRule="auto"/>
        <w:rPr>
          <w:sz w:val="20"/>
          <w:szCs w:val="20"/>
          <w:color w:val="auto"/>
        </w:rPr>
      </w:pPr>
      <w:r>
        <w:rPr>
          <w:rFonts w:ascii="Arial" w:cs="Arial" w:eastAsia="Arial" w:hAnsi="Arial"/>
          <w:sz w:val="17"/>
          <w:szCs w:val="17"/>
          <w:color w:val="auto"/>
        </w:rPr>
        <w:t>pushboats and 18 tank barges acquired in the first quarter of 2021 (the “2020 Fleet”); and (ii) a $0.1 million increase in the Port Terminal Business; partially mitigated by a $0.5 million decrease in the Cabotage Business, mainly due to reduced amortization of dry dock expenses.</w:t>
      </w:r>
    </w:p>
    <w:p>
      <w:pPr>
        <w:spacing w:after="0" w:line="146"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b w:val="1"/>
          <w:bCs w:val="1"/>
          <w:i w:val="1"/>
          <w:iCs w:val="1"/>
          <w:color w:val="auto"/>
        </w:rPr>
        <w:t xml:space="preserve">Interest expense and finance cost, net: </w:t>
      </w:r>
      <w:r>
        <w:rPr>
          <w:rFonts w:ascii="Arial" w:cs="Arial" w:eastAsia="Arial" w:hAnsi="Arial"/>
          <w:sz w:val="16"/>
          <w:szCs w:val="16"/>
          <w:color w:val="auto"/>
        </w:rPr>
        <w:t>Interest expense and finance cost, net from continuing operations increased by $2.7 million, or 6.0%,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$47.9 million for the nine month period ended September 30, 2022, as compared to $45.1 million for the same period in 2021. This increase was mainly due to (i) a $1.4 million increase in interest expense and finance cost, net from Navios Logistics, mainly due to the higher weighted average interest rate of Navios Logistics for the nine month period ended September 30, 2022, due to the drawdowns of (a) the 2022 BBVA Facility (as defined herein) and</w:t>
      </w:r>
    </w:p>
    <w:p>
      <w:pPr>
        <w:spacing w:after="0" w:line="1" w:lineRule="exact"/>
        <w:rPr>
          <w:sz w:val="20"/>
          <w:szCs w:val="20"/>
          <w:color w:val="auto"/>
        </w:rPr>
      </w:pPr>
    </w:p>
    <w:p>
      <w:pPr>
        <w:ind w:left="120" w:right="100" w:hanging="4"/>
        <w:spacing w:after="0" w:line="255" w:lineRule="auto"/>
        <w:tabs>
          <w:tab w:leader="none" w:pos="3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Santander Facility (as defined herein); and (ii) a $1.3 million increase in interest expenses and finance cost, net, from Navios Holdings for continuing operations, mainly due the 4% PIK interest on the Convertible Debenture (as defined herein) entered into with NSM, which occurred during the first quarter of 2022.</w:t>
      </w:r>
    </w:p>
    <w:p>
      <w:pPr>
        <w:spacing w:after="0" w:line="19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Impairment loss: </w:t>
      </w:r>
      <w:r>
        <w:rPr>
          <w:rFonts w:ascii="Arial" w:cs="Arial" w:eastAsia="Arial" w:hAnsi="Arial"/>
          <w:sz w:val="18"/>
          <w:szCs w:val="18"/>
          <w:color w:val="auto"/>
        </w:rPr>
        <w:t>Impairment loss from continuing operations incurred in the nine month period ended September 30, 2022 was $3.2 million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nil for the same period in 2021. Impairment loss was due to (i) $0.8 million incurred in the Cabotage Business resulting from the sale of the vessel Malva H; and (ii) $2.4 million incurred in the Barge Business in relation to certain barges. Please also refer to Note 4 “Vessels, Port Terminal and other fixed assets, net” included elsewhere in this Report.</w:t>
      </w:r>
    </w:p>
    <w:p>
      <w:pPr>
        <w:spacing w:after="0" w:line="18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b w:val="1"/>
          <w:bCs w:val="1"/>
          <w:i w:val="1"/>
          <w:iCs w:val="1"/>
          <w:color w:val="auto"/>
        </w:rPr>
        <w:t xml:space="preserve">Non-operating other finance cost: </w:t>
      </w:r>
      <w:r>
        <w:rPr>
          <w:rFonts w:ascii="Arial" w:cs="Arial" w:eastAsia="Arial" w:hAnsi="Arial"/>
          <w:sz w:val="16"/>
          <w:szCs w:val="16"/>
          <w:color w:val="auto"/>
        </w:rPr>
        <w:t>In respect of NSM Loan I (as defined herein) and NSM Loan II (as defined herein), each drawn down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2022, Navios Holdings paid a $24.0 million upfront fee in the form of a Convertible Debenture. For information on the Convertible Debenture, see Note 9 “Transactions with Related Parties” to the interim condensed consolidated financial statements included elsewhere in this Report.</w:t>
      </w:r>
    </w:p>
    <w:p>
      <w:pPr>
        <w:spacing w:after="0" w:line="14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i w:val="1"/>
          <w:iCs w:val="1"/>
          <w:color w:val="auto"/>
        </w:rPr>
        <w:t xml:space="preserve">Other expense, net: </w:t>
      </w:r>
      <w:r>
        <w:rPr>
          <w:rFonts w:ascii="Arial" w:cs="Arial" w:eastAsia="Arial" w:hAnsi="Arial"/>
          <w:sz w:val="17"/>
          <w:szCs w:val="17"/>
          <w:color w:val="auto"/>
        </w:rPr>
        <w:t>Other expense, net from continuing operations increased by $0.2 million to $0.5 million for the nine month period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2022, as compared to $0.3 million for the same period in 2021. This increase was due to (i) a $0.7 million increase in other expense in the port Terminal Business mainly due to an insurance claim settlement during the nine month period ended September 30, 2021; and (ii) a $0.3 million increase in other expense in the Cabotage Business mainly due to increased taxes other than income taxes, derived from an increase in revenues during the same period, partially mitigated by negative foreign exchange differences. The increase was partially mitigated by a $0.8 million increase in other income in the Barge Business mainly deriving from positive foreign exchange differences.</w:t>
      </w:r>
    </w:p>
    <w:p>
      <w:pPr>
        <w:spacing w:after="0" w:line="17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Equity in net (losses)/earnings of affiliate companies: </w:t>
      </w:r>
      <w:r>
        <w:rPr>
          <w:rFonts w:ascii="Arial" w:cs="Arial" w:eastAsia="Arial" w:hAnsi="Arial"/>
          <w:sz w:val="18"/>
          <w:szCs w:val="18"/>
          <w:color w:val="auto"/>
        </w:rPr>
        <w:t>Equity in net losses of affiliate companies increased by $102.1 million to $47.2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nine month period ended September 30, 2022, as compared to $54.9 million equity in net earnings of affiliate companies for the same period in 2021, mainly due to (i) a $97.7 million OTTI loss related to our investment in Navios Partners incurred during the nine month period ended September 30, 2022; and (ii) a $4.4 million decrease in equity method income from subsidiaries.</w:t>
      </w:r>
    </w:p>
    <w:p>
      <w:pPr>
        <w:spacing w:after="0" w:line="187"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i w:val="1"/>
          <w:iCs w:val="1"/>
          <w:color w:val="auto"/>
        </w:rPr>
        <w:t xml:space="preserve">Income tax expense: </w:t>
      </w:r>
      <w:r>
        <w:rPr>
          <w:rFonts w:ascii="Arial" w:cs="Arial" w:eastAsia="Arial" w:hAnsi="Arial"/>
          <w:sz w:val="17"/>
          <w:szCs w:val="17"/>
          <w:color w:val="auto"/>
        </w:rPr>
        <w:t>Income tax expense from continuing operations for the nine month period ended September 30, 2022 decreased by</w:t>
      </w:r>
    </w:p>
    <w:p>
      <w:pPr>
        <w:spacing w:after="0" w:line="3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$3.2 million to $0.2 million for the nine month period ended September 30, 2022, as compared to $3.4 million for the same period in 2021. The total change in income tax was mainly attributable to Navios Logistics due to a (i) $2.5 million decrease in income tax expense of the Cabotage Business; and (ii) a $0.7 million in increase in income tax benefit of the Barge Business.</w:t>
      </w:r>
    </w:p>
    <w:p>
      <w:pPr>
        <w:spacing w:after="0" w:line="19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b w:val="1"/>
          <w:bCs w:val="1"/>
          <w:i w:val="1"/>
          <w:iCs w:val="1"/>
          <w:color w:val="auto"/>
        </w:rPr>
        <w:t xml:space="preserve">Net income from discontinued operations: </w:t>
      </w:r>
      <w:r>
        <w:rPr>
          <w:rFonts w:ascii="Arial" w:cs="Arial" w:eastAsia="Arial" w:hAnsi="Arial"/>
          <w:sz w:val="18"/>
          <w:szCs w:val="18"/>
          <w:color w:val="auto"/>
        </w:rPr>
        <w:t>Net income from discontinued operations increased by $119.0 million to $149.0 million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 period ended September 30, 2022, as compared to $29.9 million for the same period in 2021.</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An analysis of the amounts recorded in respect of discontinued operations in the nine month periods ended September 30, 2022 and 2021, respectively are presented as follows: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Nine Month</w:t>
            </w:r>
          </w:p>
        </w:tc>
        <w:tc>
          <w:tcPr>
            <w:tcW w:w="9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Nine Month</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Period Ended</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Period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204,981</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Time charter, voyage and logistics business expenses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(38,515)</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(65,513)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Direct vessel expenses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(30,686)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(9,429)</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(18,135)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expense and finance cost, net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(58,791)</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(62,316)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loss/loss on sale of vessels, net</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(Loss)/gain on bond extinguishment, net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Non-operating other expense</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(61,730)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Gain from discontinued operations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169,631</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(8,079)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Income tax expense</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from discontinued operations</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148,973</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29,947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 xml:space="preserve">Net (income)/loss attributable to the noncontrolling interest: </w:t>
      </w:r>
      <w:r>
        <w:rPr>
          <w:rFonts w:ascii="Arial" w:cs="Arial" w:eastAsia="Arial" w:hAnsi="Arial"/>
          <w:sz w:val="17"/>
          <w:szCs w:val="17"/>
          <w:color w:val="auto"/>
        </w:rPr>
        <w:t>Net (income)/loss attributable to the noncontrolling interest increased by</w:t>
      </w:r>
    </w:p>
    <w:p>
      <w:pPr>
        <w:spacing w:after="0" w:line="3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$12.4 million to $2.8 million net income for the nine month period ended September 30, 2022, as compared to $9.6 million net loss for the same period in 2021. This increase in net income attributable to the noncontrolling interest was mainly due to an increase in net income from Navios Logistics for the nine month period ended September 30, 2022, as compared to the same period in 2021, which translates into a higher amount allocated to non-controlling interest.</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On July 26, 2022, Navios Holdings agreed to sell its 36-vessel dry bulk fleet to Navios Partners consisting of cash and the assumption of bank debt and finance leases related to the vessels, and subject to working capital adjustment at closing. On September 8, 2022, the Company completed the sale of its drybulk vessels to Navios Partners. For further information see Note 15 “Discontinued operations” in the condensed consolidated financial statements, included elsewhere in the report.</w:t>
      </w:r>
    </w:p>
    <w:p>
      <w:pPr>
        <w:spacing w:after="0" w:line="18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Navios Holdings has historically financed its capital requirements with cash flows from operations, issuances of debt securities and borrowings under bank credit facilities. Main uses of funds have been refinancing of outstanding debt, capital expenditures for the acquisition of new assets, new construction and upgrades at the port terminals and expenditures incurred in connection with ensuring that the owned assets comply with international and regulatory standards. Navios Holdings may from time to time, subject to restrictions under its debt and equity instruments, including limitations on dividends and repurchases under its preferred stock, depending upon market conditions and financing needs, use available funds to refinance or repurchase its debt or equity in privately negotiated or open market transactions, by tender offer or otherwise, in compliance with applicable laws, rules and regulations, at prices and on terms Navios Holdings deems appropriate (which may be below par) and subject to our cash requirements for other purposes, compliance with the covenants under our debt agreements, and other factors that our management deems relevant. In addition, Navios Logistics’ regularly reviews options for refinancing its outstanding indebtedness and opportunities for acquisition of businesses and additional vessels, assets, development of new facilities and infrastructure, joint ventures, and other corporate transactions that may be material to it. Generally, our sources of funds may be from cash flows from operations, long-term borrowings, other debt or equity financings, proceeds from asset sales, and proceeds from dispositions of our stakes in our investments. We cannot provide any assurance that we will be able to secure adequate financing or obtain additional funds on favorable terms to meet our liquidity needs.</w:t>
      </w:r>
    </w:p>
    <w:p>
      <w:pPr>
        <w:spacing w:after="0" w:line="17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See “Working Capital Position” and “Long-Term Debt Obligations and Credit Arrangements” for further discussion of Navios Holdings’ working capital position.</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presents cash flow information derived from the unaudited interim condensed consolidated statements of cash flows of Navios Holdings for the nine month periods ended September 30, 2022 and 2021.</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52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7"/>
              </w:rPr>
              <w:t>Nine Month</w:t>
            </w: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Nine Month</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52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52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U.S. dollars)</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vMerge w:val="continue"/>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640" w:type="dxa"/>
            <w:vAlign w:val="bottom"/>
            <w:gridSpan w:val="2"/>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127,441</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31,668</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333,549</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119,709</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8"/>
              </w:rPr>
              <w:t>(507,767)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(215,821)</w:t>
            </w:r>
          </w:p>
        </w:tc>
        <w:tc>
          <w:tcPr>
            <w:tcW w:w="0" w:type="dxa"/>
            <w:vAlign w:val="bottom"/>
          </w:tcPr>
          <w:p>
            <w:pPr>
              <w:spacing w:after="0"/>
              <w:rPr>
                <w:sz w:val="1"/>
                <w:szCs w:val="1"/>
                <w:color w:val="auto"/>
              </w:rPr>
            </w:pPr>
          </w:p>
        </w:tc>
      </w:tr>
      <w:tr>
        <w:trPr>
          <w:trHeight w:val="205"/>
        </w:trPr>
        <w:tc>
          <w:tcPr>
            <w:tcW w:w="4980" w:type="dxa"/>
            <w:vAlign w:val="bottom"/>
          </w:tcPr>
          <w:p>
            <w:pPr>
              <w:spacing w:after="0" w:line="205" w:lineRule="exact"/>
              <w:rPr>
                <w:sz w:val="20"/>
                <w:szCs w:val="20"/>
                <w:color w:val="auto"/>
              </w:rPr>
            </w:pPr>
            <w:r>
              <w:rPr>
                <w:rFonts w:ascii="Arial" w:cs="Arial" w:eastAsia="Arial" w:hAnsi="Arial"/>
                <w:sz w:val="18"/>
                <w:szCs w:val="18"/>
                <w:b w:val="1"/>
                <w:bCs w:val="1"/>
                <w:color w:val="auto"/>
              </w:rPr>
              <w:t>Decrease in cash and cash equivalents and restricted</w:t>
            </w: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180"/>
              <w:spacing w:after="0"/>
              <w:rPr>
                <w:sz w:val="20"/>
                <w:szCs w:val="20"/>
                <w:color w:val="auto"/>
              </w:rPr>
            </w:pPr>
            <w:r>
              <w:rPr>
                <w:rFonts w:ascii="Arial" w:cs="Arial" w:eastAsia="Arial" w:hAnsi="Arial"/>
                <w:sz w:val="18"/>
                <w:szCs w:val="18"/>
                <w:b w:val="1"/>
                <w:bCs w:val="1"/>
                <w:color w:val="auto"/>
              </w:rPr>
              <w:t>cash</w:t>
            </w:r>
          </w:p>
        </w:tc>
        <w:tc>
          <w:tcPr>
            <w:tcW w:w="160" w:type="dxa"/>
            <w:vAlign w:val="bottom"/>
          </w:tcPr>
          <w:p>
            <w:pPr>
              <w:spacing w:after="0"/>
              <w:rPr>
                <w:sz w:val="20"/>
                <w:szCs w:val="20"/>
                <w:color w:val="auto"/>
              </w:rPr>
            </w:pPr>
          </w:p>
        </w:tc>
        <w:tc>
          <w:tcPr>
            <w:tcW w:w="136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(46,777)</w:t>
            </w:r>
          </w:p>
        </w:tc>
        <w:tc>
          <w:tcPr>
            <w:tcW w:w="16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(64,444)</w:t>
            </w:r>
          </w:p>
        </w:tc>
        <w:tc>
          <w:tcPr>
            <w:tcW w:w="0" w:type="dxa"/>
            <w:vAlign w:val="bottom"/>
          </w:tcPr>
          <w:p>
            <w:pPr>
              <w:spacing w:after="0"/>
              <w:rPr>
                <w:sz w:val="1"/>
                <w:szCs w:val="1"/>
                <w:color w:val="auto"/>
              </w:rPr>
            </w:pPr>
          </w:p>
        </w:tc>
      </w:tr>
      <w:tr>
        <w:trPr>
          <w:trHeight w:val="202"/>
        </w:trPr>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 and restricted cash, beginning of</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137,851</w:t>
            </w: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111,184</w:t>
            </w:r>
          </w:p>
        </w:tc>
        <w:tc>
          <w:tcPr>
            <w:tcW w:w="0" w:type="dxa"/>
            <w:vAlign w:val="bottom"/>
          </w:tcPr>
          <w:p>
            <w:pPr>
              <w:spacing w:after="0"/>
              <w:rPr>
                <w:sz w:val="1"/>
                <w:szCs w:val="1"/>
                <w:color w:val="auto"/>
              </w:rPr>
            </w:pPr>
          </w:p>
        </w:tc>
      </w:tr>
      <w:tr>
        <w:trPr>
          <w:trHeight w:val="205"/>
        </w:trPr>
        <w:tc>
          <w:tcPr>
            <w:tcW w:w="4980" w:type="dxa"/>
            <w:vAlign w:val="bottom"/>
          </w:tcPr>
          <w:p>
            <w:pPr>
              <w:spacing w:after="0" w:line="205" w:lineRule="exact"/>
              <w:rPr>
                <w:sz w:val="20"/>
                <w:szCs w:val="20"/>
                <w:color w:val="auto"/>
              </w:rPr>
            </w:pPr>
            <w:r>
              <w:rPr>
                <w:rFonts w:ascii="Arial" w:cs="Arial" w:eastAsia="Arial" w:hAnsi="Arial"/>
                <w:sz w:val="18"/>
                <w:szCs w:val="18"/>
                <w:b w:val="1"/>
                <w:bCs w:val="1"/>
                <w:color w:val="auto"/>
              </w:rPr>
              <w:t>Cash and cash equivalents and restricted cash, end of</w:t>
            </w: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180"/>
              <w:spacing w:after="0"/>
              <w:rPr>
                <w:sz w:val="20"/>
                <w:szCs w:val="20"/>
                <w:color w:val="auto"/>
              </w:rPr>
            </w:pPr>
            <w:r>
              <w:rPr>
                <w:rFonts w:ascii="Arial" w:cs="Arial" w:eastAsia="Arial" w:hAnsi="Arial"/>
                <w:sz w:val="18"/>
                <w:szCs w:val="18"/>
                <w:b w:val="1"/>
                <w:bCs w:val="1"/>
                <w:color w:val="auto"/>
              </w:rPr>
              <w:t>period</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91,074</w:t>
            </w:r>
          </w:p>
        </w:tc>
        <w:tc>
          <w:tcPr>
            <w:tcW w:w="620" w:type="dxa"/>
            <w:vAlign w:val="bottom"/>
          </w:tcPr>
          <w:p>
            <w:pPr>
              <w:spacing w:after="0"/>
              <w:rPr>
                <w:sz w:val="20"/>
                <w:szCs w:val="20"/>
                <w:color w:val="auto"/>
              </w:rPr>
            </w:pPr>
          </w:p>
        </w:tc>
        <w:tc>
          <w:tcPr>
            <w:tcW w:w="160" w:type="dxa"/>
            <w:vAlign w:val="bottom"/>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46,740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Cash provided by operating activities for the nine month period ended September 30, 2022, as compared to nine month period ended</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September 30, 2021:</w:t>
      </w:r>
    </w:p>
    <w:p>
      <w:pPr>
        <w:spacing w:after="0" w:line="103"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Net cash provided by operating activities increased by $95.8 million to $127.4 million for the nine month period ended September 30, 2022, as compared to $31.7 million for the nine month period ended September 30, 2021. In determining net cash provided by operating activities, net income is adjusted for the effects of certain non-cash items as discussed below.</w:t>
      </w:r>
    </w:p>
    <w:p>
      <w:pPr>
        <w:spacing w:after="0" w:line="184" w:lineRule="exact"/>
        <w:rPr>
          <w:sz w:val="20"/>
          <w:szCs w:val="20"/>
          <w:color w:val="auto"/>
        </w:rPr>
      </w:pPr>
    </w:p>
    <w:p>
      <w:pPr>
        <w:ind w:left="120" w:right="80" w:firstLine="440"/>
        <w:spacing w:after="0" w:line="284" w:lineRule="auto"/>
        <w:rPr>
          <w:sz w:val="20"/>
          <w:szCs w:val="20"/>
          <w:color w:val="auto"/>
        </w:rPr>
      </w:pPr>
      <w:r>
        <w:rPr>
          <w:rFonts w:ascii="Arial" w:cs="Arial" w:eastAsia="Arial" w:hAnsi="Arial"/>
          <w:sz w:val="16"/>
          <w:szCs w:val="16"/>
          <w:color w:val="auto"/>
        </w:rPr>
        <w:t>The aggregate adjustments to reconcile net income to net cash provided by operating activities was $29.0 million of non-cash adjustments for the nine month period ended September 30, 2022, which consisted mainly of the following adjustments: (i) $61.7 million in prepayment fee incurred in connection with the repayments of the NSM Loan I and NSM Loan II paid via increase of the outstanding principal amount of the Convertible Debenture, as described elsewhere in this Report; (ii) $24.0 million upfront fee paid in the form of a Convertible Debenture in respect of NSM Loan I and NSM Loan II drawn in January 2022; (iii) $47.7 million movement in earnings in affiliate companies, net of dividends received; (iv) $42.3 million depreciation and amortization; (v) $9.7 million amortization of deferred financing costs; (vi) $8.5 million amortization of deferred drydock expenses;</w:t>
      </w:r>
    </w:p>
    <w:p>
      <w:pPr>
        <w:spacing w:after="0" w:line="4" w:lineRule="exact"/>
        <w:rPr>
          <w:sz w:val="20"/>
          <w:szCs w:val="20"/>
          <w:color w:val="auto"/>
        </w:rPr>
      </w:pPr>
    </w:p>
    <w:p>
      <w:pPr>
        <w:ind w:left="120" w:right="140" w:hanging="4"/>
        <w:spacing w:after="0" w:line="302" w:lineRule="auto"/>
        <w:tabs>
          <w:tab w:leader="none" w:pos="475" w:val="left"/>
        </w:tabs>
        <w:numPr>
          <w:ilvl w:val="0"/>
          <w:numId w:val="5"/>
        </w:numPr>
        <w:rPr>
          <w:rFonts w:ascii="Arial" w:cs="Arial" w:eastAsia="Arial" w:hAnsi="Arial"/>
          <w:sz w:val="16"/>
          <w:szCs w:val="16"/>
          <w:color w:val="auto"/>
        </w:rPr>
      </w:pPr>
      <w:r>
        <w:rPr>
          <w:rFonts w:ascii="Arial" w:cs="Arial" w:eastAsia="Arial" w:hAnsi="Arial"/>
          <w:sz w:val="16"/>
          <w:szCs w:val="16"/>
          <w:color w:val="auto"/>
        </w:rPr>
        <w:t>$3.2 million impairment loss/loss on sale of vessels; (viii) $0.8 million allowance for credit losses; (ix) $0.2 million loss on bond extinguishment, net; (x) $0.2 million income taxes; (xi) $0.1 million relating to unwinding of discount; and (xii) $0.1 million relating to stock-based compensation. These adjustments were partially mitigated by a $169.6 million gain from discontinued operations, following the completion of the Transaction.</w:t>
      </w:r>
    </w:p>
    <w:p>
      <w:pPr>
        <w:spacing w:after="0" w:line="155"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The net cash inflow resulting from the change in operating assets and liabilities of $16.8 million for the nine month period ended September 30, 2022 resulted from: (i) a $33.6 million increase in due to affiliate companies; (ii) a $31.9 million increase in interest expense relating to the issuance of the Convertible Debenture, as described elsewhere in this Report; (iii) a $7.7 million decrease in prepaid expenses and other assets; and (iv) a</w:t>
      </w:r>
    </w:p>
    <w:p>
      <w:pPr>
        <w:spacing w:after="0" w:line="2"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$2.5 million decrease in accounts receivable, net. These were partially mitigated by (i) a $34.9 million decrease in accrued expenses; (ii) $9.3 million in payments for drydock and special survey costs; (iii) a $5.6 million decrease in operating lease liabilities; (iv) a $5.0 million decrease in accounts payable; (v) a $0.9 million decrease in accrued interest payable to affiliate companies; (vi) a $2.9 million decrease in deferred revenue; (vii) a $0.2 million increase in inventories; and (vii) a $0.1 million decrease in other long term liabilities.</w:t>
      </w:r>
    </w:p>
    <w:p>
      <w:pPr>
        <w:spacing w:after="0" w:line="193"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aggregate adjustments to reconcile net income to net cash provided by operating activities was $36.6 million gain for the nine month period ended September 30, 2021, which consisted mainly of the following adjustments: (i) $46.8 million depreciation and amortization; (ii) $25.9 million impairment loss/loss on sale of vessels; (iii) $8.2 million amortization of deferred drydock expenses; (iv) $6.9 million amortization of deferred financing costs; (v) a $3.5 million movement in income tax expense; (vi) $0.6 million allowance for credit losses; and (vii) $0.5 million relating to stock-based compensation. These adjustments were partially mitigated by (i) a $54.6 million movement in earnings in affiliate companies, net of dividends received; (ii) a $1.1 million movement in gain on bond extinguishment; and (iii) a less than $0.1 million movement in unwinding of discount.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net cash outflow resulting from the change in operating assets and liabilities of $80.2 million for the nine month period ended September 30,</w:t>
      </w:r>
    </w:p>
    <w:p>
      <w:pPr>
        <w:spacing w:after="0" w:line="46" w:lineRule="exact"/>
        <w:rPr>
          <w:sz w:val="20"/>
          <w:szCs w:val="20"/>
          <w:color w:val="auto"/>
        </w:rPr>
      </w:pPr>
    </w:p>
    <w:p>
      <w:pPr>
        <w:ind w:left="120" w:right="300"/>
        <w:spacing w:after="0" w:line="271" w:lineRule="auto"/>
        <w:rPr>
          <w:sz w:val="20"/>
          <w:szCs w:val="20"/>
          <w:color w:val="auto"/>
        </w:rPr>
      </w:pPr>
      <w:r>
        <w:rPr>
          <w:rFonts w:ascii="Arial" w:cs="Arial" w:eastAsia="Arial" w:hAnsi="Arial"/>
          <w:sz w:val="17"/>
          <w:szCs w:val="17"/>
          <w:color w:val="auto"/>
        </w:rPr>
        <w:t>2021 resulted from (i) a $35.0 million decrease in accrued expenses mainly related to the decrease in accrued interest expense; (ii) $17.6 million payments for drydock and special survey costs; (iii) a $14.8 million decrease in due to affiliate companies; (iv) a $13.1 million decrease in operating lease liabilities; (v) a $7.3 million increase in accounts receivable, net; (vi) a $4.7 million increase in prepaid expenses and other assets; and (vii) a $2.4 million increase in inventories. These were partially mitigated by (i) a $7.9 million increase in accounts payable; (ii) a $6.5 million increase in deferred income; and (iii) a $0.3 million increase in accrued interest payable to affiliate companies.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Cash provided by investing activities for the nine month period ended September 30, 2022 as compared to the nine month period ended</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September 30, 2021:</w:t>
      </w:r>
    </w:p>
    <w:p>
      <w:pPr>
        <w:spacing w:after="0" w:line="103"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Cash provided by investing activities was $333.5 million for the nine month period ended September 30, 2022 as compared to $119.7 million cash used in investing activities for the same period in 2021.</w:t>
      </w:r>
    </w:p>
    <w:p>
      <w:pPr>
        <w:spacing w:after="0" w:line="170"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Cash provided by investing activities for the nine months ended September 30, 2022 was the result of $370.6 million in proceeds from the sale of the 36-vessel dry bulk fleet; partially mitigated by (i) $21.4 million in payments made by Navios Holdings for the acquisition of Navios Sky and additions to vessels; (ii) $9.9 million of cash disposed of as a result of the sale of the 36-vessel dry bulk fleet; (iii) $5.5 million in payments for the acquisition of fixed assets made by Navios Logistics, (iv) $0.3 million in payments for the construction of a new stockpile in Navios Logistics’ Iron Ore Port Terminal and (iv) $0.1 million in payments for the development of Navios Logistics’ port operations in Port Murtinho, Brazil.</w:t>
      </w:r>
    </w:p>
    <w:p>
      <w:pPr>
        <w:spacing w:after="0" w:line="17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Cash provided by investing activities for the nine months ended September 30, 2021 was the result of (i) $167.0 million in proceeds from sale of Navios Astra, Navios Centaurus, Navios Avior, Navios Serenity, Navios Ray, Navios Bonavis, Navios Koyo which was a previously chartered-in vessel and Navios Azimuth; and (ii) $0.2 million in dividends received from Navios Acquisition; partially mitigated by (i) $24.5 million in payments made by Navios Holdings for acquisition of/additions to vessels; (ii) $17.0 million in payments for the acquisition of Navios Logistics’ three pushboats and 18 liquid barges, (iii) $3.1 million for the construction of a crane in Navios Logistics’ Grain Port Terminal, (iv) $1.6 million in payments for the purchase of Navios Logistics fixed assets, (v) $1.2 million in payments for the construction of Navios Logistics’ six new liquid barges; (vi) $0.2 million in payments for the construction of Navios Logistics’ two new tanks; and (vii) $0.1 million in payments for the development of Navios Logistics’ port operations in Port Murtinho, Brazil.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Cash used in financing activities for the nine month period ended September 30, 2022 as compared to the nine month period ended</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September 30, 2021:</w:t>
      </w:r>
    </w:p>
    <w:p>
      <w:pPr>
        <w:spacing w:after="0" w:line="103"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Cash used in financing activities was $507.8 million for the nine month period ended September 30, 2022, as compared to $215.8 million for the same period in 2021.</w:t>
      </w:r>
    </w:p>
    <w:p>
      <w:pPr>
        <w:spacing w:after="0" w:line="170"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Cash used in financing activities for the nine months ended September 30, 2022 was the result of (i) $610.5 million in payments made for the repayment of the $650.0 million of 7.375% First Priority Ship Mortgage Notes due 2022 (the “2022 Notes”), completed On November 29, 2013 and the 2022 Senior Secured Notes (as defined herein); (ii) $375.3 million in repayments of loans payable to affiliate companies; (iii) $42.5 million in payments made in connection with Navios Holdings outstanding indebtedness; (iv) $32.0 million in payments made in connection with Navios Logistics’ outstanding indebtedness; (v) $5.0 million in payments made in connection with the promissory note (as defined herein); (vi) $1.6 million in payments of deferred financing costs; and (vii) $0.2 million in payments made in connection with the finance lease liability. These increases were partially mitigated by the receipt of: (i) $262.6 million in proceeds from loans payable to affiliate companies; (ii) $206.7 million in proceeds from long term debt from Navios Holdings; and (iii) $53.0 million in proceeds from three sale and leaseback agreements; (iv) $37.0 million in proceeds from Navios Logistics’ long term debt.</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Cash used in financing activities for the nine months ended September 30, 2021 was the result of (i) $158.6 million in payments for the repayment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the 2022 Notes and 2022 Senior secured Notes; (ii) $101.2 million in payments made in connection of loans payable to affiliate companies; (iii)</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$74.2 million in payments made in connection with Navios Holdings outstanding indebtedness; (iv) $21.0 million in payments made in connection with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redemption to the noncontrolling shareholders, including $5.0 million relating to promissory note; (v) $12.6 million in payments made in connection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 Navios Logistics’ outstanding indebtedness; and (v) $3.6 million in payments for the repayment of Navios Logistics’ Notes Payable (as defined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herein). These increases were partially mitigated by the receipt of: (i) $113.6 million in net proceeds in connection with the drawdown of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$115.0 million NSM loan (as defined herein); and (ii) $41.8 million in proceeds from the sale of shares, net.</w:t>
      </w:r>
    </w:p>
    <w:p>
      <w:pPr>
        <w:spacing w:after="0" w:line="21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EBITDA represents net income attributable to Navios Holdings’ common stockholders before interest and finance costs,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depreciation and amortization and income taxes. Adjusted EBITDA represents EBITDA before stock based compensation. We use Adjusted EBITDA as a liquidity measure and reconcile Adjusted EBITDA to net cash provided by operating activities, the most comparable U.S. GAAP liquidity measure. Adjusted EBITDA is calculated as follows: net cash provided by operating activities, adding back, when applicable and as the case may be, the effect of:</w:t>
      </w:r>
    </w:p>
    <w:p>
      <w:pPr>
        <w:spacing w:after="0" w:line="1" w:lineRule="exact"/>
        <w:rPr>
          <w:sz w:val="20"/>
          <w:szCs w:val="20"/>
          <w:color w:val="auto"/>
        </w:rPr>
      </w:pPr>
    </w:p>
    <w:p>
      <w:pPr>
        <w:ind w:left="120" w:right="100" w:hanging="4"/>
        <w:spacing w:after="0" w:line="271" w:lineRule="auto"/>
        <w:tabs>
          <w:tab w:leader="none" w:pos="335" w:val="left"/>
        </w:tabs>
        <w:numPr>
          <w:ilvl w:val="0"/>
          <w:numId w:val="6"/>
        </w:numPr>
        <w:rPr>
          <w:rFonts w:ascii="Arial" w:cs="Arial" w:eastAsia="Arial" w:hAnsi="Arial"/>
          <w:sz w:val="17"/>
          <w:szCs w:val="17"/>
          <w:color w:val="auto"/>
        </w:rPr>
      </w:pPr>
      <w:r>
        <w:rPr>
          <w:rFonts w:ascii="Arial" w:cs="Arial" w:eastAsia="Arial" w:hAnsi="Arial"/>
          <w:sz w:val="17"/>
          <w:szCs w:val="17"/>
          <w:color w:val="auto"/>
        </w:rPr>
        <w:t>net increase/(decrease) in operating assets; (ii) net (increase)/decrease in operating liabilities; (iii) net interest cost; (iv) deferred financing costs and gains/(losses) on bond and debt extinguishment, net; (v) allowance for credit losses; (vi) earnings/(losses) in affiliate companies and joint ventures, net of dividends received; (vii) payments for drydock and special survey costs; (viii) noncontrolling interest; (ix) gain/ (loss) on sale of assets/ subsidiaries/businesses, on loss of control and bargain gain; (x) unrealized (loss)/gain on derivatives; (xi) loss on sale and reclassification to earnings of available-for-sale securities; and (xii) impairment losses. Navios Holdings believes that Adjusted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EBITDA is a basis upon which liquidity can be assessed and represents useful information to investors regarding Navios Holdings’ ability to service and/or incur indebtedness, pay capital expenditures and meet working capital requirements. Navios Holdings also believes that Adjusted EBITDA is used (i) by prospective and current lessors as well as potential lenders to evaluate potential transactions; (ii) to evaluate and price potential acquisition candidates; and (iii) by securities analysts, investors and other interested parties in the evaluation of Navios Holdings and other companies in our industry.</w:t>
      </w:r>
    </w:p>
    <w:p>
      <w:pPr>
        <w:spacing w:after="0" w:line="18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Adjusted EBITDA has limitations as an analytical tool, and therefore, should not be considered in isolation or as a substitute for the analysis of Navios Holdings’ results as reported under U.S. GAAP. Some of these limitations are: (i) Adjusted EBITDA does not reflect changes in, or cash requirements for, working capital needs; (ii) Adjusted EBITDA does not reflect the amounts necessary to service interest or principal payments on our debt and other financing arrangements; and (iii) although depreciation and amortization are non-cash charges, the assets being depreciated and amortized may have to be replaced in the future. Adjusted EBITDA does not reflect any cash requirements for such capital expenditures. Because of these limitations, among others, Adjusted EBITDA should not be considered as a principal indicator of Navios Holdings’ performance. Furthermore, our calculation of Adjusted EBITDA may not be comparable to that reported by other companies due to differences in methods of calculation.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Adjusted EBITDA Reconciliation to Cash from Operations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9"/>
              </w:rPr>
              <w:t>Three Month Period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of U.S. dollars)</w:t>
            </w:r>
          </w:p>
        </w:tc>
        <w:tc>
          <w:tcPr>
            <w:tcW w:w="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41,348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increase in operating assets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(18,241)</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operating liabilities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Interest expense and finance cost, net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33,749</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(6,749)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(372)</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Equity in affiliate companies, net of dividends received</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(70,385)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Payments for drydock and special survey costs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2,439</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(597)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Loss on bond extinguishment, net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169,631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Impairment loss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(3,195)</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149,852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116,143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Nine Month Period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of U.S. dollars)</w:t>
            </w:r>
          </w:p>
        </w:tc>
        <w:tc>
          <w:tcPr>
            <w:tcW w:w="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94"/>
              </w:rPr>
              <w:t>(unaudited)</w:t>
            </w:r>
          </w:p>
        </w:tc>
        <w:tc>
          <w:tcPr>
            <w:tcW w:w="54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127,441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(increase)/decrease in operating assets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(10,320)</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(decrease)/increase in operating liabilities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(15,772)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Interest expense and finance cost, net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560"/>
              <w:spacing w:after="0"/>
              <w:rPr>
                <w:sz w:val="20"/>
                <w:szCs w:val="20"/>
                <w:color w:val="auto"/>
              </w:rPr>
            </w:pPr>
            <w:r>
              <w:rPr>
                <w:rFonts w:ascii="Arial" w:cs="Arial" w:eastAsia="Arial" w:hAnsi="Arial"/>
                <w:sz w:val="18"/>
                <w:szCs w:val="18"/>
                <w:color w:val="auto"/>
              </w:rPr>
              <w:t>106,657</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107,459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(9,828)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(705)</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Equity in affiliate companies, net of dividends received</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(47,743)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Payments for drydock and special survey costs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560"/>
              <w:spacing w:after="0"/>
              <w:rPr>
                <w:sz w:val="20"/>
                <w:szCs w:val="20"/>
                <w:color w:val="auto"/>
              </w:rPr>
            </w:pPr>
            <w:r>
              <w:rPr>
                <w:rFonts w:ascii="Arial" w:cs="Arial" w:eastAsia="Arial" w:hAnsi="Arial"/>
                <w:sz w:val="18"/>
                <w:szCs w:val="18"/>
                <w:color w:val="auto"/>
              </w:rPr>
              <w:t>9,344</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(2,787)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(Loss)/gain on bond extinguishment, net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169,631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Impairment loss/loss on sale of vessels, net</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(3,195)</w:t>
            </w: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(25,861)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5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322,502</w:t>
            </w: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251,271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200" w:firstLine="440"/>
        <w:spacing w:after="0" w:line="271" w:lineRule="auto"/>
        <w:rPr>
          <w:sz w:val="20"/>
          <w:szCs w:val="20"/>
          <w:color w:val="auto"/>
        </w:rPr>
      </w:pPr>
      <w:r>
        <w:rPr>
          <w:rFonts w:ascii="Arial" w:cs="Arial" w:eastAsia="Arial" w:hAnsi="Arial"/>
          <w:sz w:val="17"/>
          <w:szCs w:val="17"/>
          <w:color w:val="auto"/>
        </w:rPr>
        <w:t>Adjusted EBITDA of Navios Holdings from continuing and discontinued operations for the three month period ended September 30, 2022 increased by $33.7 million to $149.9 million, as compared to $116.1 million for the same period in 2021. The increase in Adjusted EBITDA was primarily due to (i) a $169.6 million gain from discontinued operations, following the completion of the Transaction; (ii) a $15.2 million decrease in time charter, voyage and logistics business expenses mainly as a result of the Transaction; and (iii) a $0.8 million decrease in loss on bond extinguishment, net. This overall increase was partially mitigated by (i) a $84.5 million net decrease in equity in net earnings from affiliate companies due to a $97.7 million OTTI loss related to our investment in Navios Partners, mitigated by a $13.2 million increase in equity method income from subsidiaries; (ii) a $47.7 million decrease in revenue mainly due to the decrease in revenue from shipping business by $58.6 million as a result of the Transaction partially mitigated by a $10.9 million increase in revenue from</w:t>
      </w:r>
    </w:p>
    <w:p>
      <w:pPr>
        <w:sectPr>
          <w:pgSz w:w="11900" w:h="16838" w:orient="portrait"/>
          <w:cols w:equalWidth="0" w:num="1">
            <w:col w:w="11120"/>
          </w:cols>
          <w:pgMar w:left="320" w:top="459" w:right="459" w:bottom="1440" w:gutter="0" w:footer="0" w:header="0"/>
        </w:sectPr>
      </w:pP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20"/>
          </w:cols>
          <w:pgMar w:left="320" w:top="459" w:right="4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91" w:lineRule="auto"/>
        <w:rPr>
          <w:sz w:val="20"/>
          <w:szCs w:val="20"/>
          <w:color w:val="auto"/>
        </w:rPr>
      </w:pPr>
      <w:r>
        <w:rPr>
          <w:rFonts w:ascii="Arial" w:cs="Arial" w:eastAsia="Arial" w:hAnsi="Arial"/>
          <w:sz w:val="16"/>
          <w:szCs w:val="16"/>
          <w:color w:val="auto"/>
        </w:rPr>
        <w:t>Navios Logistics; (iii) a $10.9 million increase in net income attributable to noncontrolling interest; (iv) a $5.1 million increase in other expense, net; (v) a $3.2 million increase in impairment losses incurred by Navios Logistics during the three month period ended September 30, 2022; (vi) a</w:t>
      </w:r>
    </w:p>
    <w:p>
      <w:pPr>
        <w:ind w:left="120" w:right="260"/>
        <w:spacing w:after="0" w:line="290" w:lineRule="auto"/>
        <w:rPr>
          <w:sz w:val="20"/>
          <w:szCs w:val="20"/>
          <w:color w:val="auto"/>
        </w:rPr>
      </w:pPr>
      <w:r>
        <w:rPr>
          <w:rFonts w:ascii="Arial" w:cs="Arial" w:eastAsia="Arial" w:hAnsi="Arial"/>
          <w:sz w:val="17"/>
          <w:szCs w:val="17"/>
          <w:color w:val="auto"/>
        </w:rPr>
        <w:t>$0.2 million increase in direct vessel expenses (excluding the amortization of deferred drydock, special survey costs and other capitalized items); and (vii) a $0.2 million increase in general and administrative expenses (excluding stock-based compensation expenses).</w:t>
      </w:r>
    </w:p>
    <w:p>
      <w:pPr>
        <w:spacing w:after="0" w:line="161" w:lineRule="exact"/>
        <w:rPr>
          <w:sz w:val="20"/>
          <w:szCs w:val="20"/>
          <w:color w:val="auto"/>
        </w:rPr>
      </w:pPr>
    </w:p>
    <w:p>
      <w:pPr>
        <w:ind w:left="120" w:right="160" w:firstLine="440"/>
        <w:spacing w:after="0" w:line="284" w:lineRule="auto"/>
        <w:rPr>
          <w:sz w:val="20"/>
          <w:szCs w:val="20"/>
          <w:color w:val="auto"/>
        </w:rPr>
      </w:pPr>
      <w:r>
        <w:rPr>
          <w:rFonts w:ascii="Arial" w:cs="Arial" w:eastAsia="Arial" w:hAnsi="Arial"/>
          <w:sz w:val="16"/>
          <w:szCs w:val="16"/>
          <w:color w:val="auto"/>
        </w:rPr>
        <w:t>Adjusted EBITDA of Navios Holdings from continuing and discontinued operations for the nine month period ended September 30, 2022 increased by $71.2 million to $322.5 million, as compared to $251.3 million for the same period in 2021. The increase in Adjusted EBITDA was primarily due to (i) a $169.6 million gain from discontinued operations, following the completion of the Transaction; (ii) a $25.2 million decrease in time charter, voyage and logistics business expenses; and (iii) a $22.7 million decrease in impairment losses relating to the sale of assets. This overall increase was partially mitigated by (i) a $102.1 million decrease in equity in net earnings from affiliate companies mainly due to a $97.7 million OTTI loss related to our investment in Navios Partners incurred during the nine month period ended September 30, 2022; (ii) a $21.3 million decrease in revenue mainly due to the decrease in revenue from shipping business by $49.7 million as a result of the Transaction partially mitigated by a</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$28.5 million increase in revenue from Navios Logistics; (iii) a $12.4 million increase in net income attributable to noncontrolling interest; (iv) a</w:t>
      </w:r>
    </w:p>
    <w:p>
      <w:pPr>
        <w:spacing w:after="0" w:line="2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$5.2 million increase in other expense, net; (v) a $3.1 million increase in direct vessel expenses (excluding the amortization of deferred drydock, special survey costs and other capitalized items); (vi) a $1.3 million decrease in gain on bond extinguishment, net; and (vii) a $1.0 million increase in general and administrative expenses (excluding stock-based compensation expenses).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Long-Term Debt Obligations and Credit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2022 Senior Secured Notes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On November 21, 2017, the Company and its wholly owned subsidiary, Navios Maritime Finance II (US) Inc. (together with the Company, the “Co-Issuers”) issued $305.0 million of 11.25% Senior Notes due 2022, at a price of 97% (the “2022 Senior Secured Notes”). During the three and nine month periods ended September 30, 2022, the Company redeemed an aggregate principal amount of $90.0 million and $155.0 million, respectively, of its 2022 Senior Secured Notes at a redemption price equal to 100.00% of the aggregate principal amount thereof, plus accrued and unpaid interest to, but excluding, the respective redemption dates. During each of the three and nine month periods ended September 30, 2021, the Company redeemed an aggregate principal amount of $140.0 million of its 2022 Senior Secured Notes at a redemption price equal to 100.00% of the aggregate principal amount thereof, plus accrued and unpaid interest to, but excluding, the respective redemption dates. For the three and nine month periods ended September 30, 2022, the Company wrote off $0 and $0.2 million, respectively, of deferred financing costs associated with the redemptions and is included in the interim condensed consolidated statement of comprehensive income under the caption “Net income from discontinued operations”. For both the three and nine month periods ended September 30, 2021, the Company wrote off $1.7 million of deferred financing costs associated with the Redemptions discussed above and is included in the interim condensed consolidated statement of comprehensive income within the caption “Net income from discontinued operations”.</w:t>
      </w:r>
    </w:p>
    <w:p>
      <w:pPr>
        <w:spacing w:after="0" w:line="179" w:lineRule="exact"/>
        <w:rPr>
          <w:sz w:val="20"/>
          <w:szCs w:val="20"/>
          <w:color w:val="auto"/>
        </w:rPr>
      </w:pPr>
    </w:p>
    <w:p>
      <w:pPr>
        <w:ind w:left="120" w:right="360" w:firstLine="440"/>
        <w:spacing w:after="0" w:line="286" w:lineRule="auto"/>
        <w:rPr>
          <w:sz w:val="20"/>
          <w:szCs w:val="20"/>
          <w:color w:val="auto"/>
        </w:rPr>
      </w:pPr>
      <w:r>
        <w:rPr>
          <w:rFonts w:ascii="Arial" w:cs="Arial" w:eastAsia="Arial" w:hAnsi="Arial"/>
          <w:sz w:val="17"/>
          <w:szCs w:val="17"/>
          <w:color w:val="auto"/>
        </w:rPr>
        <w:t>In August 2022, the Company fully redeemed the outstanding balance of $80.0 million on the 2022 Senior Secured Notes using cash received from the Transaction and the amount of $0.1 million relating to deferred financing costs was written off. For further information see Note 15 “Discontinued operations” in the interim condensed consolidated financial statements included elsewhere in this Report.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2024 Notes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March 21, 2019, Navios Holdings issued $4.7 million of 9.75% Senior Notes due 2024 (the “2024 Notes”) as an exchange for a total of 10,930 Series H ADSs which were validly tendered as of that date.</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On April 21, 2019, Navios Holdings issued $3.9 million of the 2024 Notes as an exchange for a total of 8,841 Series G ADSs which were validly tendered as of that date.</w:t>
      </w:r>
    </w:p>
    <w:p>
      <w:pPr>
        <w:spacing w:after="0" w:line="170"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2024 Notes are Navios Holdings’ senior unsecured general obligations and rank senior in right of payment to any of Navios Holding’s existing and future debt that expressly provides that it is subordinated to the 2024 Notes, pari passu in right of payment with all of Navios Holding’s existing and future senior obligations, structurally subordinated in right of payment to the obligations of Navios Holding’s subsidiaries, and effectively subordinated in right of payment to any existing and future obligations of Navios Holdings that are secured by property or assets that do not secure the 2024 Notes, including the 2022 Senior Secured Notes and the 2022 Notes, to the extent of the value of any such property and assets securing such other obligations. The 2024 Notes are not guaranteed by any of Navios Holdings’ subsidiaries.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governing the 2024 Notes does not contain restrictive covenants but does include customary events of default.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Navios Holdings has the option to redeem the 2024 Notes, in whole or in part, at any time, at a redemption price equal to 100% of the principal amount of the 2024 Notes to be redeemed, plus accrued interest.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Secured Credit Facilities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NSM Loan I</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December 2021, Navios Holdings entered into an amended and restated loan agreement to the existing NSM Loan (as defined herein) dated August 29, 2019 (the “NSM Loan I”). Pursuant to NSM Loan I, a wholly owned subsidiary of NSM made available to the Company a secured term loan of up to $127.6 million, in two tranches. The first tranche of $48.6 million represented borrowings already made available to the Company under the NSM Loan and the second tranche of $79.1 million represented new borrowings made available, in exchange for the release by NSM of certain existing collateral.</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the third quarter of 2022, the outstanding balance under NSM Loan I was fully repaid using cash received from the Transaction. Such repayment was mandatory as per the terms of the loan agreement. The amount of $14.9 million of accrued payment in kind (“PIK”) interest at 18% is included under the caption “Convertible debenture payable to affiliate companies”. For further information see Note 9 “Transactions with Related Party” in the interim condensed consolidated financial statements included elsewhere in this Report.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NSM Loan II</w:t>
      </w:r>
    </w:p>
    <w:p>
      <w:pPr>
        <w:spacing w:after="0" w:line="117" w:lineRule="exact"/>
        <w:rPr>
          <w:sz w:val="20"/>
          <w:szCs w:val="20"/>
          <w:color w:val="auto"/>
        </w:rPr>
      </w:pPr>
    </w:p>
    <w:p>
      <w:pPr>
        <w:ind w:left="120" w:right="520" w:firstLine="440"/>
        <w:spacing w:after="0" w:line="275" w:lineRule="auto"/>
        <w:rPr>
          <w:sz w:val="20"/>
          <w:szCs w:val="20"/>
          <w:color w:val="auto"/>
        </w:rPr>
      </w:pPr>
      <w:r>
        <w:rPr>
          <w:rFonts w:ascii="Arial" w:cs="Arial" w:eastAsia="Arial" w:hAnsi="Arial"/>
          <w:sz w:val="17"/>
          <w:szCs w:val="17"/>
          <w:color w:val="auto"/>
        </w:rPr>
        <w:t>In December 2021, Navios Holdings entered an amended and restated loan agreement to the existing $115.0 million NSM Loan (as defined herein) dated June 29, 2021 (the “NSM Loan II” and, together with NSM Loan I, the “NSM Loans”). Pursuant to NSM Loan II, a wholly-owned subsidiary of NSM made up to $135.0 million available to the Company under a secured term loan in two tranches. The first tranche of $64.1 million represented outstanding borrowings already made available under the $115.0 million NSM Loan and the second tranche of $70.9 million represented new borrowings made available, in exchange for the release by NSM of certain existing collateral.</w:t>
      </w:r>
    </w:p>
    <w:p>
      <w:pPr>
        <w:spacing w:after="0" w:line="176"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In the third quarter of 2022, the outstanding balance under NSM Loan II was fully repaid using cash received from the Transaction. Such repayment was mandatory as per the terms of the loan agreement. The amount of $15.8 million of accrued PIK interest at 18% is included under the caption “Convertible debenture payable to affiliate companies”. For further information see Note 9 “Transactions with Related Party” in the interim condensed consolidated financial statements included elsewhere in this Report.</w:t>
      </w:r>
    </w:p>
    <w:p>
      <w:pPr>
        <w:spacing w:after="0" w:line="18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Upon completion of the refinancing in January 2022, NSM received an upfront fee of $24.0 million in respect of the NSM Loan I and the NSM Loan II in the form of a Convertible Debenture that is included in the interim condensed consolidated statement of comprehensive income under the caption “Non-operating other finance cost”. The agreements also provided for prepayment premiums ranging from 5%-10% during the first 36 months of the term which was payable in the form of an increase to the outstanding principal amount of Convertible Debenture, as described below.</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Convertible Debenture</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In December 2021, Navios Holdings entered into a convertible debenture with NSM (the “Convertible Debenture”), covering certain payments under the NSM Loans including an upfront fee of $24.0 million, accrued interest, and prepayment fees. NSM has the option to convert any portion of the outstanding balance under the Convertible Debenture into shares of common stock of Navios Holdings pursuant to an agreed-upon mechanism. The Convertible Debenture has a term of five years and bears interest at the rate of 4% PIK interest, payable at maturity, if not earlier converted into shares of our common stock. As of September 30, 2022, the total outstanding balance of the Convertible Debenture amounted to $117.6 million, which consists of (i) the upfront fee of $24.0 million, (ii) $14.9 million being the accrued PIK interest at 18% on the NSM Loan I, (iii) $15.8 million being the accrued PIK interest at 18% on the NSM Loan II, (iv) $1.3 million being the 4% PIK interest on the Convertible Debenture and and (v) $61.7 million being the applicable prepayment fee (as defined in the NSM Loans) incurred in connection with the repayments of the NSM Loan I and NSM Loan II described above, which prepayment fee was paid via increasingthe outstanding principal amount of the Convertible Debenture. The Convertible Debenture is presented under the caption “Convertible debenture payable to affiliate companies”. For information on the Convertible Debenture, see Note 9 “Transactions with Related Parties” in the interim condensed consolidated financial statements included elsewhere in this Report.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Navios Logistics Debt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2025 Logistics Senior Notes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July 8, 2020, Navios Logistics and its wholly-owned subsidiary Navios Logistics Finance (US) Inc. (“Logistics Finance” and, together with Navios Logistics (the “Logistics Co-Issuers”) issued $500.0 million in aggregate principal amount of senior secured notes due on July 1, 2025, at a fixed rate of 10.75% (the “2025 Logistics Senior Notes”).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2025 Co-Issuers have the option to redeem the 2025 Notes in whole or in part, at any time on or after August 1, 2022, at a fixed price of 108.063% of the principal amount, which declines to 102.688% on August 1, 2023 and to par on August 1, 2024. The Logistics Co-Issuers may also redeem all, but not less than all, of the 2025 Logistics Senior Notes at a price equal to 100% of the principal amount plus accrued and unpaid interest, if any, upon certain changes in law that would trigger the payment of withholding taxes. Furthermore, upon the occurrence of certain change of control events, the Logistics Co-Issuers may be required to offer to purchase 2025 Logistics Senior Notes from holders at a price equal to 101% of the principal amount plus accrued and unpaid interest, if any.</w:t>
      </w:r>
    </w:p>
    <w:p>
      <w:pPr>
        <w:spacing w:after="0" w:line="178"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The 2025 Logistics Senior Notes are senior secured obligations of the Logistics Co-Issuers and rank equal in right of payment to all of their existing and future senior indebtedness and senior in right of payment to all of their future subordinated indebtedness. The 2025 Logistics Senior Notes are fully and unconditionally guaranteed, jointly and severally, by all of the Navios Logistics’ direct and indirect subsidiaries, other than the Logistics Co-Issuer. The 2025 Logistics Senior Notes are secured by (i) first priority ship mortgages on four tanker vessels servicing the Navios Logistics’ Cabotage Business (the (1) Elena H, (2) Makenita H, (3) Sara H and (4) He Man H) owned by certain subsidiary guarantors (such guarantors, the “Mortgaged Vessel Guarantors”) and related assignments of earnings and insurance, together with a first priority lien on the capital stock of each Mortgaged Vessel Guarantor; and (ii) an assignment by way of security of the Vale port contract (collectively, the “Collateral”). The 2025 Logistics Senior Notes are effectively senior to all existing and future obligations of the subsidiary guarantors that own Collateral, to the extent of the value of the Collateral but effectively junior to any existing and future secured obligations of the Logistics Co-Issuers and the subsidiary guarantors that are secured by assets other than the Collateral, to the extent of the value of any assets securing such other obligations. The indenture governing the 2025 Logistics Senior Notes contains restrictive covenants that limit, among other things, the ability of the Logistics Co-Issuers and their restricted subsidiaries to incur additional indebtedness, pay dividends and make distributions on common and preferred stock, make other restricted payments, make investments, incur liens, consolidate, merge, sell or otherwise dispose of all or substantially all of their assets and enter into certain transactions with affiliate companies, in each case, subject to exclusions, and other customary covenants. The indenture governing the 2025 Logistics Senior Notes also contains customary events of default.</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Logistics Co-Issuers were in compliance with the covenants as of September 30, 2022.</w:t>
      </w:r>
    </w:p>
    <w:p>
      <w:pPr>
        <w:spacing w:after="0" w:line="225"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As of September 30, 2022 and December 31, 2021, deferred financing costs associated with the 2025 Logistics Senior Notes amounted to $13.0 million and $15.9 million,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Navios Logistics Other Long-term Loans and Notes Payable</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On February 28, 2022, Navios Logistics entered into a $7.0 million loan facility with Alpha Bank (the “2022 Navios Logistics Alpha Bank Loan”) in order to repay existing debt under the Navios Logistics Alpha Bank Loan. The 2022 Navios Logistics Alpha Bank Loan bears interest at a rate of the Secured Overnight Financing Rate (“SOFR”) plus 315 basis points. The 2022 Navios Logistics Alpha Bank Loan is repayable in twelve quarterly installments, beginning on August 18, 2022, with a final balloon payment of $2.8 million on the last repayment date. On May 18, 2022, the amount available under this facility was fully drawn. As of September 30, 2022, the outstanding amount of the 2022 Term Bank Loan was $6.7 million. As of September 30, 2022 and December 31, 2021, unamortized deferred finance costs associated with the 2022 Navios Logistics Alpha Bank Loan amounted to less than $0.1 million and $0.1 million, respectively.</w:t>
      </w:r>
    </w:p>
    <w:p>
      <w:pPr>
        <w:spacing w:after="0" w:line="19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March 23, 2022, Navios Logistics entered into a $25.0 million loan facility with Banco Bilbao Vizcaya Argentaria (the “2022 Navios Logistics BBVA Facility”) which was drawn down in two tranches. The first tranche of $17.0 million was drawn down on March 22, 2022 and the second tranche of $8.0 million was drawn down on September 22, 2022. The 2022 Navios Logistics BBVA Facility was used to repay existing debt with BBVA and for general corporate purposes. The 2022 Navios Logistics BBVA Facility bears interest at a rate of 4.25% per annum, is repayable in quarterly installments with final maturity on July 1, 2025 and is secured by assignments of certain receivables. As of September 30, 2022, the outstanding balance was $23.8 million.</w:t>
      </w:r>
    </w:p>
    <w:p>
      <w:pPr>
        <w:spacing w:after="0" w:line="192"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On March 25, 2022, Navios Logistics entered into a $5.0 million loan facility with Banco Santander S.A. (the “Navios Logistics Santander Facility”) for general corporate purposes. The Navios Logistics Santander Facility bears interest at a rate of 4.20% per annum, is repayable in twelve equal quarterly installments with final maturity on March 7, 2026 and is secured by assignments of certain receivables. As of September 30, 2022, Navios Logistics had drawn the total available amount and the outstanding balance was $4.4 million.</w:t>
      </w:r>
    </w:p>
    <w:p>
      <w:pPr>
        <w:spacing w:after="0" w:line="17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As of September 30, 2022, Navios Logistics had long-term loans and notes payable, with a total outstanding balance of $63.5 million, including the three above mentioned financings. The purpose of the facilities was to finance the construction of its Dry Port Terminal, the acquisition of vessels, or for general corporate purposes. The facilities are mainly denominated in U.S. dollars and bear interest based on the Commercial Interest Reference Rates (“CIRR”) or SOFR plus spread ranging from 3.15% to 8.50% per annum. The Company paid interest based on six-month LIBOR for its notes payable, and currently pays interest based on the CIRR. The facilities are repayable in installments and have maturities ranging from March 2024 to March 2026. See also the maturity table included below. See also the maturity table included below. See also the maturity table included below.</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During the nine month period ended September 30, 2022, the Company paid $74.5 million related to its secured credit facilities, $332.0</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million related to amounts assumed by Navios Partners due to the Transaction as discussed above and $375.3 million related to NSM Loans. During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nine month period ended September 30, 2022, the proceeds from the NSM Loans were $262.6 million, the proceeds from long term debt were</w:t>
      </w:r>
    </w:p>
    <w:p>
      <w:pPr>
        <w:spacing w:after="0" w:line="21"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$243.7 million and the proceeds from the three sale and leaseback agreements were $53.0 million. The above payments and proceeds include debt from continuing and discontinued operations.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nine month period ended September 30, 2021, the Company paid $135.7 million in relation to its secured credit facilities.</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annualized weighted average interest rates of the Company’s total borrowings for the three and nine month periods ended September 30, 2022 were 9.80% and 9.98%, respectively. The annualized weighted average interest rates of the Company’s total borrowings for the three and nine month periods ended September 30, 2021 were 9.90% and 9.51%, respectively.</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maturity table below reflects the principal payments for the next five years and thereafter of all borrowings of Navios Holdings (including Navios Logistics) outstanding as of September 30, 2022, based on the repayment schedules of the respective loan facilities and the outstanding amount due under the debt securities.</w:t>
      </w:r>
    </w:p>
    <w:p>
      <w:pPr>
        <w:spacing w:after="0" w:line="19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w w:val="96"/>
              </w:rPr>
              <w:t>Amounts in</w:t>
            </w:r>
          </w:p>
        </w:tc>
        <w:tc>
          <w:tcPr>
            <w:tcW w:w="0" w:type="dxa"/>
            <w:vAlign w:val="bottom"/>
          </w:tcPr>
          <w:p>
            <w:pPr>
              <w:spacing w:after="0"/>
              <w:rPr>
                <w:sz w:val="1"/>
                <w:szCs w:val="1"/>
                <w:color w:val="auto"/>
              </w:rPr>
            </w:pPr>
          </w:p>
        </w:tc>
      </w:tr>
      <w:tr>
        <w:trPr>
          <w:trHeight w:val="149"/>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w w:val="92"/>
              </w:rPr>
              <w:t>Payment due by period</w:t>
            </w:r>
          </w:p>
        </w:tc>
        <w:tc>
          <w:tcPr>
            <w:tcW w:w="526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millions of</w:t>
            </w:r>
          </w:p>
        </w:tc>
        <w:tc>
          <w:tcPr>
            <w:tcW w:w="0" w:type="dxa"/>
            <w:vAlign w:val="bottom"/>
          </w:tcPr>
          <w:p>
            <w:pPr>
              <w:spacing w:after="0"/>
              <w:rPr>
                <w:sz w:val="1"/>
                <w:szCs w:val="1"/>
                <w:color w:val="auto"/>
              </w:rPr>
            </w:pPr>
          </w:p>
        </w:tc>
      </w:tr>
      <w:tr>
        <w:trPr>
          <w:trHeight w:val="178"/>
        </w:trPr>
        <w:tc>
          <w:tcPr>
            <w:tcW w:w="1440" w:type="dxa"/>
            <w:vAlign w:val="bottom"/>
            <w:tcBorders>
              <w:bottom w:val="single" w:sz="8" w:color="auto"/>
            </w:tcBorders>
            <w:vMerge w:val="continue"/>
          </w:tcPr>
          <w:p>
            <w:pPr>
              <w:spacing w:after="0"/>
              <w:rPr>
                <w:sz w:val="15"/>
                <w:szCs w:val="15"/>
                <w:color w:val="auto"/>
              </w:rPr>
            </w:pPr>
          </w:p>
        </w:tc>
        <w:tc>
          <w:tcPr>
            <w:tcW w:w="52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w w:val="96"/>
              </w:rPr>
              <w:t>U.S. dollars</w:t>
            </w:r>
          </w:p>
        </w:tc>
        <w:tc>
          <w:tcPr>
            <w:tcW w:w="0" w:type="dxa"/>
            <w:vAlign w:val="bottom"/>
          </w:tcPr>
          <w:p>
            <w:pPr>
              <w:spacing w:after="0"/>
              <w:rPr>
                <w:sz w:val="1"/>
                <w:szCs w:val="1"/>
                <w:color w:val="auto"/>
              </w:rPr>
            </w:pPr>
          </w:p>
        </w:tc>
      </w:tr>
      <w:tr>
        <w:trPr>
          <w:trHeight w:val="203"/>
        </w:trPr>
        <w:tc>
          <w:tcPr>
            <w:tcW w:w="6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September 30, 2023</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22.8</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September 30, 2024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September 30, 2026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689.8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Working Capital Position</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As of September 30, 2022, Navios Holdings’ current assets totaled $156.3 million, while current liabilities excluding operating lease liabilities, current portion totaled $90.1 million, resulting in a positive working capital position of $66.2 million.</w:t>
      </w:r>
    </w:p>
    <w:p>
      <w:pPr>
        <w:spacing w:after="0" w:line="170"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Based on internal forecasts and projections that take into account potential changes in the Company’s trading performance and other assets, management believes that the Company has adequate financial resources to continue in operation and meet its financial commitments, including but not limited to capital expenditures and debt service obligations, for a period of at least twelve months from the date of issuance of the interim condensed consolidated financial statements. Although internal forecasts and projections are driven by market data and are subject to future volatility along with other factors outside the control of the Company, with the existence of alternative liquidity sources and management’s ability to utilize them if needed, management concludes that the Company has the ability to continue as a going concern as of the date of the issuance of the interim condensed consolidated financial statements.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Policy</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November 2015, Navios Holdings announced that the Board of Directors decided to suspend the quarterly dividend to its common stockholders in order to conserve cash and improve its liquidity. In February 2016, in furtherance of its efforts to reduce its cash requirements, Navios Holdings announced the suspension of payment of quarterly dividends on its preferred stock, including the Series G ADSs and Series H ADSs, until market conditions improve. The Board of Directors and Navios Holdings’ management believe such a decision is in the best long-term interests of the Company and its stakeholders. The Board of Directors will reassess the Company’s distribution policy as the environment changes. The reinstatement, declaration and payment of any further dividend remains subject to the discretion of the Board of Directors and will depend on, among other things, market conditions, Navios Holdings’ cash requirements after taking into account market opportunities, restrictions under its equity instruments, credit agreements, indentures and other debt obligations and such other factors as the Board of Directors may deem advisable.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 from Navios Logistics - Acquisition of noncontrolling interest</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On July 30, 2021, Navios Logistics declared and paid a pro rata dividend to the holders of its common equity with shares of Grimaud. All transactions were eliminated on consolidated level as of that date. Immediately thereafter, Grimaud agreed to redeem the equity interests held by its non-controlling shareholder in full at fair market value. Please see also Note 10 “Preferred and Common Stock” to the interim condensed consolidated financial statements included elsewhere in this Report.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Accounts receivable, net</w:t>
      </w:r>
    </w:p>
    <w:p>
      <w:pPr>
        <w:spacing w:after="0" w:line="117"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color w:val="auto"/>
        </w:rPr>
        <w:t>For the nine month period ended September 30, 2022, two customers accounted for more than 10.0% of the Company’s revenue. For the nine month period ended September 30, 2021, two customers accounted for more than 10.0% of the Company’s revenue.</w:t>
      </w:r>
    </w:p>
    <w:p>
      <w:pPr>
        <w:spacing w:after="0" w:line="146"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If one or more of our customers does not perform under one or more contracts with us and we are not able to find a replacement contract, or if a customer exercises certain rights to terminate the contract, we could suffer a loss of revenues that could materially adversely affect our business, financial condition and results of operations.</w:t>
      </w:r>
    </w:p>
    <w:p>
      <w:pPr>
        <w:spacing w:after="0" w:line="184"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 July 2022, Vale S.A. announced the closing of the sale of its iron ore, manganese ore and logistics assets in the midwestern system to J&amp;F Mineracao Ltda., an entity controlled by J&amp;F Investimentos S.A. The Vale port contract entered into between Corporacion Navios S.A., a company controlled by Navios Logistics, and Vale International S.A. (“Vale”), dated September 27, 2013, remains in full force and effect. Any transfer, novation, or assignment of the Vale port contract or any obligations or rights arising thereunder by Vale is subject to the prior approval of the Navios counterparty.</w:t>
      </w:r>
    </w:p>
    <w:p>
      <w:pPr>
        <w:spacing w:after="0" w:line="15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could lose a customer or the benefits of a time charter for many different reasons, including if the customer is unable or unwilling to make charter hire or other payments to us because of a deterioration in its financial condition, disagreements with us or if the charterer exercises certain termination rights, or otherwise. Our customers may terminate a charter because we fail to deliver the vessel within a fixed period of time, the vessel is lost or damaged beyond repair, there are serious deficiencies in the vessel or prolonged periods of off-hire, or we default under the charter. The customer may terminate the charter because the vessel has been subject to seizure for more than a specified number of days. Charterers may also go bankrupt or fail to perform their obligations under the contracts, they may delay payments or suspend payments altogether, they may terminate the contracts prior to the agreed-upon expiration date or they may attempt to renegotiate the terms of the contracts.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deposits with financial institutions</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Cash deposits in excess of amounts covered by government-provided insurance are exposed to loss in the event of non-performance by financial institutions. Navios Holdings maintains cash deposits in excess of government-provided insurance limits. Navios Holdings also reduces exposure to credit risk by dealing with a diversified group of major financial institutions.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17" w:lineRule="exact"/>
        <w:rPr>
          <w:sz w:val="20"/>
          <w:szCs w:val="20"/>
          <w:color w:val="auto"/>
        </w:rPr>
      </w:pPr>
    </w:p>
    <w:p>
      <w:pPr>
        <w:ind w:left="120" w:right="420" w:firstLine="440"/>
        <w:spacing w:after="0" w:line="273" w:lineRule="auto"/>
        <w:rPr>
          <w:sz w:val="20"/>
          <w:szCs w:val="20"/>
          <w:color w:val="auto"/>
        </w:rPr>
      </w:pPr>
      <w:r>
        <w:rPr>
          <w:rFonts w:ascii="Arial" w:cs="Arial" w:eastAsia="Arial" w:hAnsi="Arial"/>
          <w:sz w:val="17"/>
          <w:szCs w:val="17"/>
          <w:color w:val="auto"/>
        </w:rPr>
        <w:t>Navios Holdings does not consider inflation to be a significant risk to the cost of doing business in the foreseeable future. The Company considered various factors in assessing the impact of Argentina’s highly inflationary economy on Navios Logistics, including sales, financing arrangements, working capital, employee salaries, and taxes. The functional currency of the Company’s Argentinian subsidiary is the U.S. dollar and the day-to-day operations of the Company’s Argentinian subsidiary are dependent on the economic environment of the Company’s U.S. dollar currency. As a result, the Company concluded that the highly inflationary economic environment in Argentina would not have a material impact on Navios Logistics’ financial statements and as such, determined not to issue a restatement.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As of September 30, 2022, Navios Holdings was contingently liable for letters of guarantee and letters of credit amounting to $10 thousand issued by one bank in favor of various organizations and the total amount was collateralized by cash deposits, which were included as a component of restricted cash.</w:t>
      </w:r>
    </w:p>
    <w:p>
      <w:pPr>
        <w:spacing w:after="0" w:line="184"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Navios Logistics has issued a guarantee and indemnity letter that guarantees the performance by Petrolera San Antonio S.A. (a consolidated subsidiary of Navios Logistics) of all its obligations to Vitol S.A. up to $12.0 million. This guarantee expires on March 1, 2023.</w:t>
      </w:r>
    </w:p>
    <w:p>
      <w:pPr>
        <w:spacing w:after="0" w:line="14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 July 22, 2016, Navios Logistics guaranteed the compliance of certain obligations related to Edolmix S.A. and Energías Renovables del Sur S.A. (entities wholly owned by Navios Logistics) under their respective direct user agreements with the Free Zone of Nueva Palmira, for the amounts of $0.8 million and $0.5 million, respectively.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In September 2020, Navios Logistics agreed to a settlement regarding a storage and transshipment contract in the Grain Port Terminal for a total amount to be paid to Navios Logistics as a result of the settlement of $4.1 million, which is collected in three equal installments of $1.4 million on June 1, 2021, 2022 and 2023. In June 2021 and 2022, Navios Logistics collected the first and second installment, respectively.</w:t>
      </w:r>
    </w:p>
    <w:p>
      <w:pPr>
        <w:spacing w:after="0" w:line="16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On April 28, 2022, Navios Logistics entered into a five year finance leasing contract for eight liquid barges to be delivered from the fourth quarter of 2022 through the second quarter of 2023. The finance lease contract is payable by 60 consecutive monthly payments of $26 each, commencing with the delivery date of the applicable barge. At expiration, the Navios Logistics will have the ability to exercise the purchase option of these barges or extend the term of the finance leasing contract.</w:t>
      </w:r>
    </w:p>
    <w:p>
      <w:pPr>
        <w:spacing w:after="0" w:line="18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Company is involved in various disputes and arbitration proceedings arising in the ordinary course of business. Provisions have been recognized in the financial statements for all such proceedings where the Company believes that a liability may be probable, and for which the amounts can be reasonably estimated, based upon facts known on the date the financial statements were prepared. Although the Company cannot predict with certainty the ultimate resolutions of these matters, in the opinion of management, the ultimate disposition of these matters is not expected to have a material adverse effect on the Company’s financial position, results of operations or liquidity.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Vessel Operating Expenses (management fees): </w:t>
      </w:r>
      <w:r>
        <w:rPr>
          <w:rFonts w:ascii="Arial" w:cs="Arial" w:eastAsia="Arial" w:hAnsi="Arial"/>
          <w:sz w:val="16"/>
          <w:szCs w:val="16"/>
          <w:color w:val="auto"/>
        </w:rPr>
        <w:t>Prior to the Transaction and pursuant to a management agreement dated August 29, 2019 (the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“Management Agreement”), with Navios Shipmanagement Inc., a subsidiary of N Shipmanagement Acquisition Corp. (together with its subsidiaries,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“NSM” or the “Manager”), the Manager provided commercial and technical management services to Navios Holdings’ vessels. The term of this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agreement was for an initial period of five years with an automatic extension period of five years thereafter unless a notice for termination was received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by either party. The ship management services fees provided by the Manager was a fixed rate of $3,700 per day per owned/bareboat-in vessel until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August 2021, $3,800 per day per owned/bareboat-in vessel until August 2022 and $3,925 per day until the closing of the Transaction on September 8,</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2022. The fee for the ship management services provided by the Manager was a daily fee of $25 per day per charter-in vessel. Drydocking expenses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this agreement were reimbursed by Navios Holdings at cost. The agreement also provided for payment of a termination fee by Navios Holdings,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equal to the fees charged for the full calendar year preceding the termination date, in the event the Management Agreement was terminated on 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before August 29, 2024, upon the occurrence of certain events. No such fees were triggered. Total management fees for vessel operating expenses for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three month periods ended September 30, 2022 and 2021 amounted to $6.0 million and $8.7 million, respectively, and are presented under the caption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“Net income from discontinued operations” in the interim condensed consolidated statements of comprehensive income. Total management fees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vessel operating expenses for the nine month periods ended September 30, 2022 and 2021 amounted to $23.3 million and $29.0 million, respectively,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are presented under the caption “Net income from discontinued operations” in the interim condensed consolidated statements of comprehensive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income. During the three and nine month periods ended September 30, 2022, certain extraordinary fees and costs related to COVID-19 measures,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including crew related expenses, amounted to $0.4 million and $1.7 million, respectively, and are presented under the caption “Net income from</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discontinued operations” in the interim condensed consolidated statements of comprehensive income. During the three and nine month periods ended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September 30, 2021, certain extraordinary fees and costs related to COVID-19 measures, including crew related expenses, amounted to $2.0 million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$1.9 million, respectively, and are presented under the caption “Net income from discontinued operations” in the interim condensed consolidated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statements of comprehensive income.</w:t>
      </w:r>
    </w:p>
    <w:p>
      <w:pPr>
        <w:spacing w:after="0" w:line="207" w:lineRule="exact"/>
        <w:rPr>
          <w:sz w:val="20"/>
          <w:szCs w:val="20"/>
          <w:color w:val="auto"/>
        </w:rPr>
      </w:pPr>
    </w:p>
    <w:p>
      <w:pPr>
        <w:ind w:left="120" w:right="160" w:firstLine="440"/>
        <w:spacing w:after="0" w:line="261" w:lineRule="auto"/>
        <w:rPr>
          <w:sz w:val="20"/>
          <w:szCs w:val="20"/>
          <w:color w:val="auto"/>
        </w:rPr>
      </w:pPr>
      <w:r>
        <w:rPr>
          <w:rFonts w:ascii="Arial" w:cs="Arial" w:eastAsia="Arial" w:hAnsi="Arial"/>
          <w:sz w:val="18"/>
          <w:szCs w:val="18"/>
          <w:b w:val="1"/>
          <w:bCs w:val="1"/>
          <w:color w:val="auto"/>
        </w:rPr>
        <w:t xml:space="preserve">Navios Partners Guarantee: </w:t>
      </w:r>
      <w:r>
        <w:rPr>
          <w:rFonts w:ascii="Arial" w:cs="Arial" w:eastAsia="Arial" w:hAnsi="Arial"/>
          <w:sz w:val="18"/>
          <w:szCs w:val="18"/>
          <w:color w:val="auto"/>
        </w:rPr>
        <w:t>In November 2012 (as amended in March 2014), the Company entered into an agreement with Navios Partners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Navios Partners with guarantees against counterparty default on certain existing charters, which had previously been covered by the charter insurance for the same vessels, same periods and same amounts. In April 2021, the Company paid the amount of $5.0 million to Navios Partners as the final settlement of the outstanding balance of the claim.</w:t>
      </w:r>
    </w:p>
    <w:p>
      <w:pPr>
        <w:spacing w:after="0" w:line="180" w:lineRule="exact"/>
        <w:rPr>
          <w:sz w:val="20"/>
          <w:szCs w:val="20"/>
          <w:color w:val="auto"/>
        </w:rPr>
      </w:pPr>
    </w:p>
    <w:p>
      <w:pPr>
        <w:ind w:left="120" w:right="200" w:firstLine="440"/>
        <w:spacing w:after="0" w:line="285" w:lineRule="auto"/>
        <w:rPr>
          <w:sz w:val="20"/>
          <w:szCs w:val="20"/>
          <w:color w:val="auto"/>
        </w:rPr>
      </w:pPr>
      <w:r>
        <w:rPr>
          <w:rFonts w:ascii="Arial" w:cs="Arial" w:eastAsia="Arial" w:hAnsi="Arial"/>
          <w:sz w:val="16"/>
          <w:szCs w:val="16"/>
          <w:b w:val="1"/>
          <w:bCs w:val="1"/>
          <w:color w:val="auto"/>
        </w:rPr>
        <w:t xml:space="preserve">General and administrative expenses: </w:t>
      </w:r>
      <w:r>
        <w:rPr>
          <w:rFonts w:ascii="Arial" w:cs="Arial" w:eastAsia="Arial" w:hAnsi="Arial"/>
          <w:sz w:val="16"/>
          <w:szCs w:val="16"/>
          <w:color w:val="auto"/>
        </w:rPr>
        <w:t>Pursuant to an administrative services agreement with the Manager dated August 29, 2019</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Services Agreement”), NSM provides administrative services to Navios Holdings. NSM is reimbursed for reasonable costs and expenses incurred in connection with the provision of these services. The term of this agreement is for an initial period of five years with an automatic extension for a period of five years thereafter unless a notice of termination is received by either party. The agreement also provides for payment of a termination fee by Navios Holdings, equal to the fees charged for the full calendar year preceding the termination date, in the event the Administrative Services Agreement is terminated on or before August 29, 2024, upon the occurrence of certain events. Total general and administrative expenses attributable to this agreement for each of the three and nine month periods ended September 30, 2022 and 2021 amounted to $0.1 million and</w:t>
      </w:r>
    </w:p>
    <w:p>
      <w:pPr>
        <w:spacing w:after="0" w:line="1" w:lineRule="exact"/>
        <w:rPr>
          <w:sz w:val="20"/>
          <w:szCs w:val="20"/>
          <w:color w:val="auto"/>
        </w:rPr>
      </w:pPr>
    </w:p>
    <w:p>
      <w:pPr>
        <w:ind w:left="120" w:right="260"/>
        <w:spacing w:after="0" w:line="252" w:lineRule="auto"/>
        <w:rPr>
          <w:sz w:val="20"/>
          <w:szCs w:val="20"/>
          <w:color w:val="auto"/>
        </w:rPr>
      </w:pPr>
      <w:r>
        <w:rPr>
          <w:rFonts w:ascii="Arial" w:cs="Arial" w:eastAsia="Arial" w:hAnsi="Arial"/>
          <w:sz w:val="18"/>
          <w:szCs w:val="18"/>
          <w:color w:val="auto"/>
        </w:rPr>
        <w:t>$0.4 million, respectively, and are presented under the caption “General and administrative expenses”. The total general and administrative expenses attributable to this agreement for the three month periods ended September 30, 2022 and 2021, which have been allocated to discontinued operations, amounted to $1.2 million and $1.8 million, respectively, and are presented under the caption “Net income from discontinued operations”. The total general and administrative expenses attributable to this agreement for the nine month periods ended September 30, 2022 and 2021, which have been allocated to discontinued operations, amounted to $4.8 million and $5.6 million, respectively, and are presented under the caption “Net income from discontinued operations”. For further information see Note 15 “Discontinued operations” in the interim condensed consolidated financial statements included elsewhere in this Report.</w:t>
      </w:r>
    </w:p>
    <w:p>
      <w:pPr>
        <w:sectPr>
          <w:pgSz w:w="11900" w:h="16838" w:orient="portrait"/>
          <w:cols w:equalWidth="0" w:num="1">
            <w:col w:w="11140"/>
          </w:cols>
          <w:pgMar w:left="320" w:top="459" w:right="439" w:bottom="1440" w:gutter="0" w:footer="0" w:header="0"/>
        </w:sectPr>
      </w:pP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40"/>
          </w:cols>
          <w:pgMar w:left="320" w:top="459" w:right="4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Pursuant to an administrative services agreement with the Manager dated August 29, 2019, NSM provides administrative services to Navios Logistics. Total general and administrative fees for each of the three month periods ended September 30, 2022 and 2021 amounted to $0.3 million and are presented under the caption “General and administrative expenses”. Total general and administrative fees for each of the nine month periods ended September 30, 2022 and 2021 amounted to $0.9 million and are presented under the caption “General and administrative expenses”.</w:t>
      </w:r>
    </w:p>
    <w:p>
      <w:pPr>
        <w:spacing w:after="0" w:line="153" w:lineRule="exact"/>
        <w:rPr>
          <w:sz w:val="20"/>
          <w:szCs w:val="20"/>
          <w:color w:val="auto"/>
        </w:rPr>
      </w:pPr>
    </w:p>
    <w:p>
      <w:pPr>
        <w:ind w:left="120" w:right="260" w:firstLine="440"/>
        <w:spacing w:after="0" w:line="282" w:lineRule="auto"/>
        <w:rPr>
          <w:sz w:val="20"/>
          <w:szCs w:val="20"/>
          <w:color w:val="auto"/>
        </w:rPr>
      </w:pPr>
      <w:r>
        <w:rPr>
          <w:rFonts w:ascii="Arial" w:cs="Arial" w:eastAsia="Arial" w:hAnsi="Arial"/>
          <w:sz w:val="18"/>
          <w:szCs w:val="18"/>
          <w:b w:val="1"/>
          <w:bCs w:val="1"/>
          <w:color w:val="auto"/>
        </w:rPr>
        <w:t xml:space="preserve">Balance due to affiliate companies: </w:t>
      </w:r>
      <w:r>
        <w:rPr>
          <w:rFonts w:ascii="Arial" w:cs="Arial" w:eastAsia="Arial" w:hAnsi="Arial"/>
          <w:sz w:val="18"/>
          <w:szCs w:val="18"/>
          <w:color w:val="auto"/>
        </w:rPr>
        <w:t>Balances due to NSM as of September 30, 2022 and December 31, 2021 amounted to $0.6 million and to</w:t>
      </w:r>
      <w:r>
        <w:rPr>
          <w:rFonts w:ascii="Arial" w:cs="Arial" w:eastAsia="Arial" w:hAnsi="Arial"/>
          <w:sz w:val="18"/>
          <w:szCs w:val="18"/>
          <w:b w:val="1"/>
          <w:bCs w:val="1"/>
          <w:color w:val="auto"/>
        </w:rPr>
        <w:t xml:space="preserve"> </w:t>
      </w:r>
      <w:r>
        <w:rPr>
          <w:rFonts w:ascii="Arial" w:cs="Arial" w:eastAsia="Arial" w:hAnsi="Arial"/>
          <w:sz w:val="18"/>
          <w:szCs w:val="18"/>
          <w:color w:val="auto"/>
        </w:rPr>
        <w:t>$0.4 million, respectively.</w:t>
      </w:r>
    </w:p>
    <w:p>
      <w:pPr>
        <w:spacing w:after="0" w:line="162"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b w:val="1"/>
          <w:bCs w:val="1"/>
          <w:color w:val="auto"/>
        </w:rPr>
        <w:t xml:space="preserve">Midstream General Partner Option Agreement: </w:t>
      </w:r>
      <w:r>
        <w:rPr>
          <w:rFonts w:ascii="Arial" w:cs="Arial" w:eastAsia="Arial" w:hAnsi="Arial"/>
          <w:sz w:val="17"/>
          <w:szCs w:val="17"/>
          <w:color w:val="auto"/>
        </w:rPr>
        <w:t>Navios Holdings entered into an option agreement with Navios Acquisition under which</w:t>
      </w:r>
      <w:r>
        <w:rPr>
          <w:rFonts w:ascii="Arial" w:cs="Arial" w:eastAsia="Arial" w:hAnsi="Arial"/>
          <w:sz w:val="17"/>
          <w:szCs w:val="17"/>
          <w:b w:val="1"/>
          <w:bCs w:val="1"/>
          <w:color w:val="auto"/>
        </w:rPr>
        <w:t xml:space="preserve"> </w:t>
      </w:r>
      <w:r>
        <w:rPr>
          <w:rFonts w:ascii="Arial" w:cs="Arial" w:eastAsia="Arial" w:hAnsi="Arial"/>
          <w:sz w:val="17"/>
          <w:szCs w:val="17"/>
          <w:color w:val="auto"/>
        </w:rPr>
        <w:t>Navios Acquisition, which owns and controls Navios Maritime Midstream Partners GP LLC (“Midstream General Partner”), granted Navios Holdings the option to acquire a minimum of 25% of the outstanding membership interests in Midstream General Partner and the incentive distribution rights in Navios Midstream representing the right to receive an increasing percentage of the quarterly distributions when certain conditions are met. The option shall expire on November 18, 2024. The purchase price for the acquisition for all or part of the option interest shall be an amount equal to its fair market value. As of September 30, 2022, Navios Holdings had not exercised any part of that option.</w:t>
      </w:r>
    </w:p>
    <w:p>
      <w:pPr>
        <w:spacing w:after="0" w:line="173" w:lineRule="exact"/>
        <w:rPr>
          <w:sz w:val="20"/>
          <w:szCs w:val="20"/>
          <w:color w:val="auto"/>
        </w:rPr>
      </w:pPr>
    </w:p>
    <w:p>
      <w:pPr>
        <w:ind w:left="120" w:right="300" w:firstLine="440"/>
        <w:spacing w:after="0" w:line="293" w:lineRule="auto"/>
        <w:rPr>
          <w:sz w:val="20"/>
          <w:szCs w:val="20"/>
          <w:color w:val="auto"/>
        </w:rPr>
      </w:pPr>
      <w:r>
        <w:rPr>
          <w:rFonts w:ascii="Arial" w:cs="Arial" w:eastAsia="Arial" w:hAnsi="Arial"/>
          <w:sz w:val="16"/>
          <w:szCs w:val="16"/>
          <w:b w:val="1"/>
          <w:bCs w:val="1"/>
          <w:color w:val="auto"/>
        </w:rPr>
        <w:t xml:space="preserve">Sale of Vessels and Sale of Rights to Navios Partners: </w:t>
      </w:r>
      <w:r>
        <w:rPr>
          <w:rFonts w:ascii="Arial" w:cs="Arial" w:eastAsia="Arial" w:hAnsi="Arial"/>
          <w:sz w:val="16"/>
          <w:szCs w:val="16"/>
          <w:color w:val="auto"/>
        </w:rPr>
        <w:t>In March 2021, Navios Holdings completed the sale to Navios Partners of the Navios</w:t>
      </w:r>
      <w:r>
        <w:rPr>
          <w:rFonts w:ascii="Arial" w:cs="Arial" w:eastAsia="Arial" w:hAnsi="Arial"/>
          <w:sz w:val="16"/>
          <w:szCs w:val="16"/>
          <w:b w:val="1"/>
          <w:bCs w:val="1"/>
          <w:color w:val="auto"/>
        </w:rPr>
        <w:t xml:space="preserve"> </w:t>
      </w:r>
      <w:r>
        <w:rPr>
          <w:rFonts w:ascii="Arial" w:cs="Arial" w:eastAsia="Arial" w:hAnsi="Arial"/>
          <w:sz w:val="16"/>
          <w:szCs w:val="16"/>
          <w:color w:val="auto"/>
        </w:rPr>
        <w:t>Centaurus, a 2012-built Panamax vessel of 81,472 dwt, and the Navios Avior, a 2012-built Panamax vessel of 81,355 dwt, for a sale price of</w:t>
      </w:r>
    </w:p>
    <w:p>
      <w:pPr>
        <w:spacing w:after="0" w:line="1" w:lineRule="exact"/>
        <w:rPr>
          <w:sz w:val="20"/>
          <w:szCs w:val="20"/>
          <w:color w:val="auto"/>
        </w:rPr>
      </w:pPr>
    </w:p>
    <w:p>
      <w:pPr>
        <w:ind w:left="120" w:right="20"/>
        <w:spacing w:after="0" w:line="295" w:lineRule="auto"/>
        <w:rPr>
          <w:sz w:val="20"/>
          <w:szCs w:val="20"/>
          <w:color w:val="auto"/>
        </w:rPr>
      </w:pPr>
      <w:r>
        <w:rPr>
          <w:rFonts w:ascii="Arial" w:cs="Arial" w:eastAsia="Arial" w:hAnsi="Arial"/>
          <w:sz w:val="16"/>
          <w:szCs w:val="16"/>
          <w:color w:val="auto"/>
        </w:rPr>
        <w:t>$39.3 million, including working capital adjustments. In June 2021, Navios Holdings completed the sale to Navios Partners of the Navios Ray, a 2012 built Capesize vessel of 179,515 dwt, and the Navios Bonavis, a 2009 built Capesize vessel of 180,022 dwt, for a sale price of $58.0 million and the sale of the Navios Koyo, a 2011-built Capesize vessel, previously chartered-in by Navios Holdings, for a sale price of $28.5 million. In July 2021, Navios Holdings completed the sale to Navios Partners of the Navios Azimuth, a 2011 built Capesize vessel of 179,169 dwt, for a sale price of $30.0 million.</w:t>
      </w:r>
    </w:p>
    <w:p>
      <w:pPr>
        <w:spacing w:after="0" w:line="16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In September 2022, Navios Holdings completed the sale of its 36-vessel dry bulk fleet to Navios Partners. For further information see Note 15 “Discontinued operations” in the interim condensed consolidated financial statements included elsewhere in this Report.</w:t>
      </w:r>
    </w:p>
    <w:p>
      <w:pPr>
        <w:spacing w:after="0" w:line="166" w:lineRule="exact"/>
        <w:rPr>
          <w:sz w:val="20"/>
          <w:szCs w:val="20"/>
          <w:color w:val="auto"/>
        </w:rPr>
      </w:pPr>
    </w:p>
    <w:p>
      <w:pPr>
        <w:ind w:left="120" w:right="40" w:firstLine="440"/>
        <w:spacing w:after="0" w:line="292" w:lineRule="auto"/>
        <w:rPr>
          <w:sz w:val="20"/>
          <w:szCs w:val="20"/>
          <w:color w:val="auto"/>
        </w:rPr>
      </w:pPr>
      <w:r>
        <w:rPr>
          <w:rFonts w:ascii="Arial" w:cs="Arial" w:eastAsia="Arial" w:hAnsi="Arial"/>
          <w:sz w:val="16"/>
          <w:szCs w:val="16"/>
          <w:b w:val="1"/>
          <w:bCs w:val="1"/>
          <w:color w:val="auto"/>
        </w:rPr>
        <w:t xml:space="preserve">Secured credit facility with Navios Logistics (Grimaud Loan): </w:t>
      </w:r>
      <w:r>
        <w:rPr>
          <w:rFonts w:ascii="Arial" w:cs="Arial" w:eastAsia="Arial" w:hAnsi="Arial"/>
          <w:sz w:val="16"/>
          <w:szCs w:val="16"/>
          <w:color w:val="auto"/>
        </w:rPr>
        <w:t>On April 25, 2019, Navios Holdings entered into a secured credit facility of up</w:t>
      </w:r>
      <w:r>
        <w:rPr>
          <w:rFonts w:ascii="Arial" w:cs="Arial" w:eastAsia="Arial" w:hAnsi="Arial"/>
          <w:sz w:val="16"/>
          <w:szCs w:val="16"/>
          <w:b w:val="1"/>
          <w:bCs w:val="1"/>
          <w:color w:val="auto"/>
        </w:rPr>
        <w:t xml:space="preserve"> </w:t>
      </w:r>
      <w:r>
        <w:rPr>
          <w:rFonts w:ascii="Arial" w:cs="Arial" w:eastAsia="Arial" w:hAnsi="Arial"/>
          <w:sz w:val="16"/>
          <w:szCs w:val="16"/>
          <w:color w:val="auto"/>
        </w:rPr>
        <w:t>to $50.0 million with Navios Logistics. This credit facility was secured by any 2022 Notes purchased by Navios Holdings with these funds. The secured credit facility included an arrangement fee of $0.5 million and initially bore a fixed interest rate of 12.75% for the first year and 14.75% for the second year. On December 2, 2019, Navios Holdings and Navios Logistics agreed to increase the secured credit facility by $20.0 million. Following this amendment, as a result of the redemption of the 2022 Logistics Senior Notes, repayment of the Term Loan B Facility and the issuance of 2025 Logistics Senior Notes, (a) the interest rate on the secured credit facility decreased to 10.0%, and (b) the maturity of the secured credit facility was extended to December 2024. As of December 31, 2021, the total amount of this facility was repaid in full, as described below.</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Effective as of May 2021, and upon the release of certain collateral, the facility bore interest of 13.0% per annum.</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June 30, 2021, the Company entered into a supplemental agreement to the Grimaud Loan (the “Supplemental Grimaud Loan Agreement”) with Grimaud, whereby the Company and Grimaud agreed to amend the Grimaud Loan. Pursuant to the amendment, the Grimaud Loan could be repaid or prepaid in full by the issuance of shares of common stock of Navios Holdings. The effectiveness of the Supplemental Grimaud Loan Agreement was subject to, and contingent upon, prepayment of the Grimaud Loan in the amount of $7.5 million in cash and the effectiveness of a registration statement registering the resale of Navios Holdings shares, among other conditions.</w:t>
      </w:r>
    </w:p>
    <w:p>
      <w:pPr>
        <w:spacing w:after="0" w:line="188"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On July 13, 2021, the Grimaud Loan plus accrued interest was repaid by the Company in full through the issuance of 9,301,542 shares (the “Shares”) of the Company’s common stock and $7.5 million in cash plus accrued and unpaid interest. Please see also Note 10 “Preferred and Common Stock” to the interim condensed consolidated financial statements.</w:t>
      </w:r>
    </w:p>
    <w:p>
      <w:pPr>
        <w:spacing w:after="0" w:line="180"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b w:val="1"/>
          <w:bCs w:val="1"/>
          <w:color w:val="auto"/>
        </w:rPr>
        <w:t xml:space="preserve">NSM Loan: </w:t>
      </w:r>
      <w:r>
        <w:rPr>
          <w:rFonts w:ascii="Arial" w:cs="Arial" w:eastAsia="Arial" w:hAnsi="Arial"/>
          <w:sz w:val="18"/>
          <w:szCs w:val="18"/>
          <w:color w:val="auto"/>
        </w:rPr>
        <w:t>On August 29, 2019, Navios Holdings entered into a secured credit facility of $141.8 million (including post-closing adjustments)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a wholly owned subsidiary of NSM (the “NSM Loan”). In general, the amount owed reflected the excess of: (i) the liabilities of the ship management business (including liabilities for advances previously made by affiliate companies to the Company for ongoing operating costs, including technical management services, supplies, dry-docking and related expenses) other than liabilities the assumption of which formed part of the consideration for the sale of the management division over; (ii) the short term assets of the ship management business. The credit facility was repayable over a five-year period; of the initial amount, $47.0 million was repayable in 2020 in equal quarterly installments, with the remaining principal repayment in equal quarterly installments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over the following 48 months. In certain cases, principal payments could be deferred provided that no more than $20.0 million of deferral may be outstanding during the first or second year and $10.0 million outstanding in the third year. The loan agreement provided for interest at 5.0% annually, and 7.0% annually for deferred principal amounts.</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December 2021, the Company entered into an amended and restated secured loan agreement with NSM in order to refinance the outstanding balance of this facility through the NSM Loan I (as defined herein). As of September 30, 2022, and following the refinancing, the NSM Loan was fully repaid.</w:t>
      </w:r>
    </w:p>
    <w:p>
      <w:pPr>
        <w:spacing w:after="0" w:line="180" w:lineRule="exact"/>
        <w:rPr>
          <w:sz w:val="20"/>
          <w:szCs w:val="20"/>
          <w:color w:val="auto"/>
        </w:rPr>
      </w:pPr>
    </w:p>
    <w:p>
      <w:pPr>
        <w:ind w:left="120" w:right="80" w:firstLine="440"/>
        <w:spacing w:after="0" w:line="258" w:lineRule="auto"/>
        <w:rPr>
          <w:sz w:val="20"/>
          <w:szCs w:val="20"/>
          <w:color w:val="auto"/>
        </w:rPr>
      </w:pPr>
      <w:r>
        <w:rPr>
          <w:rFonts w:ascii="Arial" w:cs="Arial" w:eastAsia="Arial" w:hAnsi="Arial"/>
          <w:sz w:val="18"/>
          <w:szCs w:val="18"/>
          <w:b w:val="1"/>
          <w:bCs w:val="1"/>
          <w:color w:val="auto"/>
        </w:rPr>
        <w:t xml:space="preserve">$50.0 million NSM Loan: </w:t>
      </w:r>
      <w:r>
        <w:rPr>
          <w:rFonts w:ascii="Arial" w:cs="Arial" w:eastAsia="Arial" w:hAnsi="Arial"/>
          <w:sz w:val="18"/>
          <w:szCs w:val="18"/>
          <w:color w:val="auto"/>
        </w:rPr>
        <w:t>In June 2020, the Company entered into a secured loan agreement with a wholly owned subsidiary of NSM, for a loan</w:t>
      </w:r>
      <w:r>
        <w:rPr>
          <w:rFonts w:ascii="Arial" w:cs="Arial" w:eastAsia="Arial" w:hAnsi="Arial"/>
          <w:sz w:val="18"/>
          <w:szCs w:val="18"/>
          <w:b w:val="1"/>
          <w:bCs w:val="1"/>
          <w:color w:val="auto"/>
        </w:rPr>
        <w:t xml:space="preserve"> </w:t>
      </w:r>
      <w:r>
        <w:rPr>
          <w:rFonts w:ascii="Arial" w:cs="Arial" w:eastAsia="Arial" w:hAnsi="Arial"/>
          <w:sz w:val="18"/>
          <w:szCs w:val="18"/>
          <w:color w:val="auto"/>
        </w:rPr>
        <w:t>of up to $50.0 million to be used for general corporate purposes (the “$50.0 million NSM Loan”). The terms and conditions of the secured loan agreement were approved by a Special Committee of the Board of Directors comprised of independent directors. The loan agreement was repayable in up to 18 equal consecutive quarterly installments. The loan agreement provided for interest at a rate of 5.0% annually (and 7.0% annually for deferred principal amounts).</w:t>
      </w:r>
    </w:p>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On July 12, 2021, the Company refinanced the total outstanding balance of $39.7 million under this facility through the $115.0 million NSM Loan described below.</w:t>
      </w:r>
    </w:p>
    <w:p>
      <w:pPr>
        <w:spacing w:after="0" w:line="166"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b w:val="1"/>
          <w:bCs w:val="1"/>
          <w:color w:val="auto"/>
        </w:rPr>
        <w:t xml:space="preserve">$115.0 million NSM Loan: </w:t>
      </w:r>
      <w:r>
        <w:rPr>
          <w:rFonts w:ascii="Arial" w:cs="Arial" w:eastAsia="Arial" w:hAnsi="Arial"/>
          <w:sz w:val="18"/>
          <w:szCs w:val="18"/>
          <w:color w:val="auto"/>
        </w:rPr>
        <w:t>In June 2021, the Company entered into a senior secured term loan facility with a wholly owned subsidiary of NSM</w:t>
      </w:r>
      <w:r>
        <w:rPr>
          <w:rFonts w:ascii="Arial" w:cs="Arial" w:eastAsia="Arial" w:hAnsi="Arial"/>
          <w:sz w:val="18"/>
          <w:szCs w:val="18"/>
          <w:b w:val="1"/>
          <w:bCs w:val="1"/>
          <w:color w:val="auto"/>
        </w:rPr>
        <w:t xml:space="preserve"> </w:t>
      </w:r>
      <w:r>
        <w:rPr>
          <w:rFonts w:ascii="Arial" w:cs="Arial" w:eastAsia="Arial" w:hAnsi="Arial"/>
          <w:sz w:val="18"/>
          <w:szCs w:val="18"/>
          <w:color w:val="auto"/>
        </w:rPr>
        <w:t>for a loan up to $115.0 million (i) to refinance $39.7 million being the outstanding balance under the $50.0 million NSM Loan described above (“Tranche A”), (ii) to redeem amount of $70.0 million of 2022 Senior Secured Notes and (iii) to be used for general corporate purposes (“Tranche B”) (the “$115.0 million NSM Loan”). Tranche A was repayable in 14 quarterly installments of $2.8 million and matured on November 30, 2024. Tranche B was repayable in seven quarterly installments with the first two being of an amount of $22.6 million each and the remaining of an amount of $6.0 million each and matured on February 28, 2023.</w:t>
      </w:r>
    </w:p>
    <w:p>
      <w:pPr>
        <w:spacing w:after="0" w:line="191"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Both tranches bore interest at a rate of 10.5% per annum, payable quarterly. The Company could have elected to defer one scheduled amortization payment by 90 days and interest payments, in which case the applicable interest rate would be 12.0% per annum, compounded quarterly.</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July 12, 2021, the amount under this facility was fully drawn.</w:t>
      </w:r>
    </w:p>
    <w:p>
      <w:pPr>
        <w:spacing w:after="0" w:line="225"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In December 2021, the Company entered into an amended and restated secured loan agreement with NSM in order to refinance the outstanding balance of that facility through the NSM Loan I (as defined herein). As of September 30, 2022, and following the refinancing, the $115.0 million NSM Loan was fully repaid. As of September 30, 2022, the Company wrote off $0.9 million of deferred financing costs and was included in the interim condensed consolidated statement of comprehensive income under the caption “Net income from discontinued operations”.</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NSM Loan I: </w:t>
      </w:r>
      <w:r>
        <w:rPr>
          <w:rFonts w:ascii="Arial" w:cs="Arial" w:eastAsia="Arial" w:hAnsi="Arial"/>
          <w:sz w:val="17"/>
          <w:szCs w:val="17"/>
          <w:color w:val="auto"/>
        </w:rPr>
        <w:t>In December 2021, Navios Holdings entered into an amended and restated loan agreement to the existing NSM Loan dated</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August 29, 2019, whereby a wholly owned subsidiary of NSM made available to the Company a secured term loan of up to $127.6 million (the “NSM</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Loan I”), in two tranches: (i) the first tranche of $48.6 million represented borrowings already made available and (ii) the second tranche of $79.1</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million represented new borrowings made available in exchange of the release by NSM of certain existing collateral. The NSM Loan I was repayable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quarterly installments of $5.0 million with the first installment falling due in the third quarter of 2023. The NSM Loan I had a four-year term and bore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interest at a rate of (i) 18% per annum until the 2022 Senior Secured Notes were repaid and 16.5% per annum thereafter when paid in the form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Convertible Debenture for the first 18 months (“PIK Interest”) and (ii) 13.5% per annum when paid in the form of cash. The NSM Loan I would be paid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PIK Interest for the first 18 months, due also in optional prepayment during that period and thereafter in either cash or PIK Interest at the election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Borrower. As of September 30, 2022, an amount of $14.9 million accrued PIK interest at 18% is included under the caption “Convertible debenture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payable to affiliate companies”.</w:t>
      </w:r>
    </w:p>
    <w:p>
      <w:pPr>
        <w:spacing w:after="0" w:line="211" w:lineRule="exact"/>
        <w:rPr>
          <w:sz w:val="20"/>
          <w:szCs w:val="20"/>
          <w:color w:val="auto"/>
        </w:rPr>
      </w:pPr>
    </w:p>
    <w:p>
      <w:pPr>
        <w:ind w:left="120" w:right="640" w:firstLine="440"/>
        <w:spacing w:after="0" w:line="263" w:lineRule="auto"/>
        <w:rPr>
          <w:sz w:val="20"/>
          <w:szCs w:val="20"/>
          <w:color w:val="auto"/>
        </w:rPr>
      </w:pPr>
      <w:r>
        <w:rPr>
          <w:rFonts w:ascii="Arial" w:cs="Arial" w:eastAsia="Arial" w:hAnsi="Arial"/>
          <w:sz w:val="18"/>
          <w:szCs w:val="18"/>
          <w:color w:val="auto"/>
        </w:rPr>
        <w:t>In the third quarter of 2022, the outstanding balance under NSM Loan I was fully repaid using cash received from the Transaction. Such repayment was mandatory as per the terms of the loan agreement. For further information see Note 15 “Discontinued Operations” in the interim condensed consolidated financial statements included elsewhere in this Report.</w:t>
      </w:r>
    </w:p>
    <w:p>
      <w:pPr>
        <w:spacing w:after="0" w:line="180"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b w:val="1"/>
          <w:bCs w:val="1"/>
          <w:color w:val="auto"/>
        </w:rPr>
        <w:t xml:space="preserve">NSM Loan II: </w:t>
      </w:r>
      <w:r>
        <w:rPr>
          <w:rFonts w:ascii="Arial" w:cs="Arial" w:eastAsia="Arial" w:hAnsi="Arial"/>
          <w:sz w:val="16"/>
          <w:szCs w:val="16"/>
          <w:color w:val="auto"/>
        </w:rPr>
        <w:t>In December 2021, Navios Holdings entered into an amended and restated loan agreement to the existing $115.0 million NSM</w:t>
      </w:r>
      <w:r>
        <w:rPr>
          <w:rFonts w:ascii="Arial" w:cs="Arial" w:eastAsia="Arial" w:hAnsi="Arial"/>
          <w:sz w:val="16"/>
          <w:szCs w:val="16"/>
          <w:b w:val="1"/>
          <w:bCs w:val="1"/>
          <w:color w:val="auto"/>
        </w:rPr>
        <w:t xml:space="preserve"> </w:t>
      </w:r>
      <w:r>
        <w:rPr>
          <w:rFonts w:ascii="Arial" w:cs="Arial" w:eastAsia="Arial" w:hAnsi="Arial"/>
          <w:sz w:val="16"/>
          <w:szCs w:val="16"/>
          <w:color w:val="auto"/>
        </w:rPr>
        <w:t>Loan dated June 29, 2021 whereby a wholly-owned subsidiary of NSM made available to the Company a secured term loan of up to $135.0 million (the “NSM Loan II”) in two tranches (i) the first tranche of $64.1 million represented outstanding borrowings already made available and (ii) the second tranche of $70.9 million represented new borrowings to be made available, in exchange for the release by NSM of certain existing collateral. The NSM Loan II was repayable in quarterly installments of $5.0 million with the first installment falling due in the third quarter of 2023. The NSM Loan II had a four year term and bore interest at a rate of (i) 18% per annum until the 2022 Senior Secured Notes were repaid and 16.5% per annum thereafter, when paid in PIK Interest and (ii) 13.5% per annum when paid in the form of cash. The NSM Loan II would be paid in PIK Interest for the first 18 months, due also in optional prepayment during that period and thereafter in either cash or PIK Interest at the election of the Borrower. As of September 30, 2022, an amount of $15.8 million accrued PIK interest at 18% is included under the caption “Convertible debenture payable to affiliate companies”.</w:t>
      </w:r>
    </w:p>
    <w:p>
      <w:pPr>
        <w:sectPr>
          <w:pgSz w:w="11900" w:h="16838" w:orient="portrait"/>
          <w:cols w:equalWidth="0" w:num="1">
            <w:col w:w="11120"/>
          </w:cols>
          <w:pgMar w:left="320" w:top="459" w:right="459" w:bottom="1440" w:gutter="0" w:footer="0" w:header="0"/>
        </w:sectPr>
      </w:pP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20"/>
          </w:cols>
          <w:pgMar w:left="320" w:top="459" w:right="45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0" w:firstLine="440"/>
        <w:spacing w:after="0" w:line="263" w:lineRule="auto"/>
        <w:rPr>
          <w:sz w:val="20"/>
          <w:szCs w:val="20"/>
          <w:color w:val="auto"/>
        </w:rPr>
      </w:pPr>
      <w:r>
        <w:rPr>
          <w:rFonts w:ascii="Arial" w:cs="Arial" w:eastAsia="Arial" w:hAnsi="Arial"/>
          <w:sz w:val="18"/>
          <w:szCs w:val="18"/>
          <w:color w:val="auto"/>
        </w:rPr>
        <w:t>In the third quarter of 2022, the outstanding balance under NSM Loan II was fully repaid using cash received from the Transaction. Such repayment was mandatory as per the terms of the loan agreement. For further information, see Note 15 “Discontinued Operations” in the interim condensed consolidated financial statements included elsewhere in this Report.</w:t>
      </w:r>
    </w:p>
    <w:p>
      <w:pPr>
        <w:spacing w:after="0" w:line="184"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Upon completion of the refinancing in January 2022, NSM received an upfront fee of $24.0 million in respect of the NSM Loan I and the NSM Loan II in the form of a Convertible Debenture that is included in the interim condensed consolidated statement of comprehensive income under the caption “Non-operating other finance cost”. The agreements also provide for prepayment premiums ranging from 5%-10% during the first 36 months of the term which is payable in the form of an increase to the outstanding principal amount of Convertible Debenture, as described below.</w:t>
      </w:r>
    </w:p>
    <w:p>
      <w:pPr>
        <w:spacing w:after="0" w:line="15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 xml:space="preserve">Convertible Debenture: </w:t>
      </w:r>
      <w:r>
        <w:rPr>
          <w:rFonts w:ascii="Arial" w:cs="Arial" w:eastAsia="Arial" w:hAnsi="Arial"/>
          <w:sz w:val="17"/>
          <w:szCs w:val="17"/>
          <w:color w:val="auto"/>
        </w:rPr>
        <w:t>In December 2021, Navios Holdings entered into the Convertible Debenture with NSM, covering an upfront fee of</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$24.0 million, accrued interest on the NSM Loans, and prepayment fees. NSM has the option to convert any portion of the outstanding balance under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Convertible Debenture into shares of common stock of Navios Holdings pursuant to an agreed-upon mechanism. The Convertible Debenture has a term</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five years and bears interest at the rate of 4% PIK, payable at maturity, if not earlier converted into shares of our common stock. As of September 30,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2022, the total outstanding balance of the Convertible Debenture amounted to $117.6 million, which consists (i) the upfront fee of $24.0 million, (ii)</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$14.9 million being the accrued PIK interest at 18% on the NSM Loan I, (iii) $15.8 million being the accrued PIK interest at 18% on the NSM Loan II,</w:t>
      </w:r>
    </w:p>
    <w:p>
      <w:pPr>
        <w:spacing w:after="0" w:line="32" w:lineRule="exact"/>
        <w:rPr>
          <w:sz w:val="20"/>
          <w:szCs w:val="20"/>
          <w:color w:val="auto"/>
        </w:rPr>
      </w:pPr>
    </w:p>
    <w:p>
      <w:pPr>
        <w:ind w:left="120" w:right="200" w:hanging="4"/>
        <w:spacing w:after="0" w:line="253" w:lineRule="auto"/>
        <w:tabs>
          <w:tab w:leader="none" w:pos="425" w:val="left"/>
        </w:tabs>
        <w:numPr>
          <w:ilvl w:val="0"/>
          <w:numId w:val="7"/>
        </w:numPr>
        <w:rPr>
          <w:rFonts w:ascii="Arial" w:cs="Arial" w:eastAsia="Arial" w:hAnsi="Arial"/>
          <w:sz w:val="18"/>
          <w:szCs w:val="18"/>
          <w:color w:val="auto"/>
        </w:rPr>
      </w:pPr>
      <w:r>
        <w:rPr>
          <w:rFonts w:ascii="Arial" w:cs="Arial" w:eastAsia="Arial" w:hAnsi="Arial"/>
          <w:sz w:val="18"/>
          <w:szCs w:val="18"/>
          <w:color w:val="auto"/>
        </w:rPr>
        <w:t>$1.3 million being the 4% PIK interest on the Convertible Debenture, and (v) $61.7 million being the applicable prepayment fee incurred in connection with the repayments of the NSM Loan I and NSM Loan II described above, which prepayment fee was paid via increasing the outstanding principal amount of the Convertible Debenture. The Convertible Debenture is presented under the caption “Convertible debenture payable to affiliate companies”.</w:t>
      </w:r>
    </w:p>
    <w:p>
      <w:pPr>
        <w:spacing w:after="0" w:line="193" w:lineRule="exact"/>
        <w:rPr>
          <w:sz w:val="20"/>
          <w:szCs w:val="20"/>
          <w:color w:val="auto"/>
        </w:rPr>
      </w:pPr>
    </w:p>
    <w:p>
      <w:pPr>
        <w:ind w:left="120" w:right="140" w:firstLine="440"/>
        <w:spacing w:after="0" w:line="290" w:lineRule="auto"/>
        <w:rPr>
          <w:sz w:val="20"/>
          <w:szCs w:val="20"/>
          <w:color w:val="auto"/>
        </w:rPr>
      </w:pPr>
      <w:r>
        <w:rPr>
          <w:rFonts w:ascii="Arial" w:cs="Arial" w:eastAsia="Arial" w:hAnsi="Arial"/>
          <w:sz w:val="16"/>
          <w:szCs w:val="16"/>
          <w:color w:val="auto"/>
        </w:rPr>
        <w:t>In accordance with the terms of the Convertible Debenture, Navios Holdings issued 1,000 shares of preferred stock (the “Series I Preferred Stock”) on January 3, 2022, which have no voting and no economic rights. The Series I Preferred Stock represent 29,754,721 and 29,945,271 shares of common stock issuable as of September 30, 2022 and October 3, 2022, respectively, upon conversion of a Convertible Debenture and are deemed outstanding for voting purposes. Under the terms of the Convertible Debenture, the number of shares of Common Stock issuable upon conversion thereof will increase to the extent that amounts outstanding under the Convertible Debenture increase. NSM, the holder of the Series I Preferred Stock, may convert any or all of the outstanding preferred stock into common stock at its option at any time until the maturity of the Convertible Debenture at the conversion rate of $3.93 per common stock. In addition, there are also provisions for mandatory conversion upon the occurrence of certain events. NSM is an affiliate of our Chairwoman and Chief Executive Officer, Angeliki Frangou.</w:t>
      </w:r>
    </w:p>
    <w:p>
      <w:pPr>
        <w:spacing w:after="0" w:line="161" w:lineRule="exact"/>
        <w:rPr>
          <w:sz w:val="20"/>
          <w:szCs w:val="20"/>
          <w:color w:val="auto"/>
        </w:rPr>
      </w:pPr>
    </w:p>
    <w:p>
      <w:pPr>
        <w:ind w:left="120" w:right="20" w:firstLine="440"/>
        <w:spacing w:after="0" w:line="282" w:lineRule="auto"/>
        <w:rPr>
          <w:sz w:val="20"/>
          <w:szCs w:val="20"/>
          <w:color w:val="auto"/>
        </w:rPr>
      </w:pPr>
      <w:r>
        <w:rPr>
          <w:rFonts w:ascii="Arial" w:cs="Arial" w:eastAsia="Arial" w:hAnsi="Arial"/>
          <w:sz w:val="18"/>
          <w:szCs w:val="18"/>
          <w:b w:val="1"/>
          <w:bCs w:val="1"/>
          <w:color w:val="auto"/>
        </w:rPr>
        <w:t xml:space="preserve">Navios Logistics’ Shareholders Agreement: </w:t>
      </w:r>
      <w:r>
        <w:rPr>
          <w:rFonts w:ascii="Arial" w:cs="Arial" w:eastAsia="Arial" w:hAnsi="Arial"/>
          <w:sz w:val="18"/>
          <w:szCs w:val="18"/>
          <w:color w:val="auto"/>
        </w:rPr>
        <w:t>On November 19, 2019, Navios Holdings entered into a shareholder agreement with Peers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Inc. granting certain protections to minority shareholders in certain events.</w:t>
      </w:r>
    </w:p>
    <w:p>
      <w:pPr>
        <w:spacing w:after="0" w:line="162" w:lineRule="exact"/>
        <w:rPr>
          <w:sz w:val="20"/>
          <w:szCs w:val="20"/>
          <w:color w:val="auto"/>
        </w:rPr>
      </w:pPr>
    </w:p>
    <w:p>
      <w:pPr>
        <w:ind w:left="120" w:right="380" w:firstLine="440"/>
        <w:spacing w:after="0" w:line="256" w:lineRule="auto"/>
        <w:rPr>
          <w:sz w:val="20"/>
          <w:szCs w:val="20"/>
          <w:color w:val="auto"/>
        </w:rPr>
      </w:pPr>
      <w:r>
        <w:rPr>
          <w:rFonts w:ascii="Arial" w:cs="Arial" w:eastAsia="Arial" w:hAnsi="Arial"/>
          <w:sz w:val="18"/>
          <w:szCs w:val="18"/>
          <w:b w:val="1"/>
          <w:bCs w:val="1"/>
          <w:color w:val="auto"/>
        </w:rPr>
        <w:t xml:space="preserve">Promissory note: </w:t>
      </w:r>
      <w:r>
        <w:rPr>
          <w:rFonts w:ascii="Arial" w:cs="Arial" w:eastAsia="Arial" w:hAnsi="Arial"/>
          <w:sz w:val="18"/>
          <w:szCs w:val="18"/>
          <w:color w:val="auto"/>
        </w:rPr>
        <w:t>On July 30, 2021, Navios Logistics issued a $20.0 million promissory note to Grimaud. The promissory note is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in four semi-annual equal installments commencing on August 15, 2021. The Company has the ability to defer payment of one of the first three installments subject to certain conditions. On July 30, 2021, Grimaud entered into an assignment agreement with Peers Business Inc., whereby the promissory note was assigned to Peers Business Inc. Please refer to Note 10 “Preferred and Common Stock” to the interim condensed consolidated financial statements included elsewhere in this Report. As of September 30, 2022, the Company had paid an amount of $10.0 million relating to the promissory note.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Navios Holdings is exposed to certain risks related to interest rate, foreign currency and charter rate risks.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540" w:firstLine="440"/>
        <w:spacing w:after="0" w:line="311" w:lineRule="auto"/>
        <w:rPr>
          <w:sz w:val="20"/>
          <w:szCs w:val="20"/>
          <w:color w:val="auto"/>
        </w:rPr>
      </w:pPr>
      <w:r>
        <w:rPr>
          <w:rFonts w:ascii="Arial" w:cs="Arial" w:eastAsia="Arial" w:hAnsi="Arial"/>
          <w:sz w:val="16"/>
          <w:szCs w:val="16"/>
          <w:i w:val="1"/>
          <w:iCs w:val="1"/>
          <w:color w:val="auto"/>
        </w:rPr>
        <w:t xml:space="preserve">Debt Instruments </w:t>
      </w:r>
      <w:r>
        <w:rPr>
          <w:rFonts w:ascii="Arial" w:cs="Arial" w:eastAsia="Arial" w:hAnsi="Arial"/>
          <w:sz w:val="16"/>
          <w:szCs w:val="16"/>
          <w:color w:val="auto"/>
        </w:rPr>
        <w:t>— On September 30, 2022 and December 31, 2021, Navios Holdings had a total of $689.8 million and $835.5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of long-term indebtedness. All of the Company’s debt is U.S. dollar-denominated. The 2025 Logistics Senior Notes and four Navios Logistics’ loans bear interest at a fixed rate; the remaining balance of Navios Holdings’ debt bears interest at a floating rate.</w:t>
      </w:r>
    </w:p>
    <w:p>
      <w:pPr>
        <w:spacing w:after="0" w:line="14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Changes in interest rates for our floating-rate loan facilities would affect their interest rate and related interest expense. As of September 30, 2022, the outstanding amount of the Company’s floating rate loan facilities was $15.9 million. A change in the CIRR or SOFR rate of 100 basis points would change interest expense for the nine month ended September 30, 2022 by $2.0 million. The interest rates on the 2025 Logistics Senior Notes and the four Navios Logistics’ loans are fixed and, therefore, changes in interest rates affect their fair value, which as of September 30, 2022 was $644.5 million, but do not affect their related interest expense.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For a detailed discussion of Navios Holdings’ debt instruments refer to the section “Long-Term Debt Obligations and Credit Arrangements” to the interim condensed consolidated financial statements included elsewhere in this Report.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left="120" w:right="360" w:firstLine="440"/>
        <w:spacing w:after="0" w:line="279" w:lineRule="auto"/>
        <w:rPr>
          <w:sz w:val="20"/>
          <w:szCs w:val="20"/>
          <w:color w:val="auto"/>
        </w:rPr>
      </w:pPr>
      <w:r>
        <w:rPr>
          <w:rFonts w:ascii="Arial" w:cs="Arial" w:eastAsia="Arial" w:hAnsi="Arial"/>
          <w:sz w:val="17"/>
          <w:szCs w:val="17"/>
          <w:color w:val="auto"/>
        </w:rPr>
        <w:t>In general, the shipping industry is a U.S.-dollar-denominated industry. Revenue is set mainly in U.S. dollars, and 39.3% of Navios Holdings’ expenses are also incurred in U.S. dollars for the nine month period ended September 30, 2022. Certain of our expenses, including a majority of the expenses of the Logistics Business, are paid in foreign currencies and a one percent change in the exchange rates of the various currencies at September 30, 2022 would change net income by $0.7 million for the nine month ended September 30, 2022.</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Charter Rate Risks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Navios Holdings is exposed to charter rate risk through its ownership of a controlling interest in Navios Logistics and a non-controlling interest in Navios Partners.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right="300" w:firstLine="440"/>
        <w:spacing w:after="0" w:line="275" w:lineRule="auto"/>
        <w:rPr>
          <w:sz w:val="20"/>
          <w:szCs w:val="20"/>
          <w:color w:val="auto"/>
        </w:rPr>
      </w:pPr>
      <w:r>
        <w:rPr>
          <w:rFonts w:ascii="Arial" w:cs="Arial" w:eastAsia="Arial" w:hAnsi="Arial"/>
          <w:sz w:val="17"/>
          <w:szCs w:val="17"/>
          <w:color w:val="auto"/>
        </w:rPr>
        <w:t>Navios Holdings’ unaudited interim condensed consolidated financial statements have been prepared in accordance with U.S. GAAP. The preparation of these financial statements requires Navios Holdings to make estimates in the application of its accounting policies based on the best assumptions, judgments and opinions of management. Critical accounting policies are those that reflect significant judgments or uncertainties, and potentially result in materially different results under different assumptions and conditions. All significant accounting policies are as described in the Company’s Annual Report on Form 20-F for the year ended December 31, 2021.</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Investments in Equity Securities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Navios Holdings evaluates its investments in Navios Partners and evaluated its investments in Navios Acquisition and Navios Containers (through their acquisition by Navios Partners on October 15, 2021 and March 31, 2021, respectively) on a quarterly basis. Consideration is given to (i) the length of time and the extent to which the fair value has been less than the carrying value, (ii) the financial condition and near-term prospects of such companies, and (iii) the intent and ability of the Company to retain its investment in the companies for a period of time sufficient to allow for any anticipated recovery in fair value. Accordingly, the Company recorded an OTTI loss of $97.7 million related to its investment in Navios Partners as of September 30, 2022. See also Note 13 “Investments in Affiliate Companies and Investments in Available-For-Sale Securities” to the interim condensed consolidated financial statements included elsewhere in this Report.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Company’s recent accounting pronouncements are included in the accompanying notes to the unaudited interim condensed consolidated financial statements included elsewhere in this Report.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NAVIOS MARITIME HOLDINGS INC.</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Index</w:t>
            </w:r>
          </w:p>
        </w:tc>
        <w:tc>
          <w:tcPr>
            <w:tcW w:w="10280" w:type="dxa"/>
            <w:vAlign w:val="bottom"/>
            <w:gridSpan w:val="8"/>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r>
      <w:tr>
        <w:trPr>
          <w:trHeight w:val="149"/>
        </w:trPr>
        <w:tc>
          <w:tcPr>
            <w:tcW w:w="10640" w:type="dxa"/>
            <w:vAlign w:val="bottom"/>
            <w:gridSpan w:val="10"/>
          </w:tcPr>
          <w:p>
            <w:pPr>
              <w:spacing w:after="0" w:line="136" w:lineRule="exact"/>
              <w:rPr>
                <w:sz w:val="20"/>
                <w:szCs w:val="20"/>
                <w:color w:val="auto"/>
              </w:rPr>
            </w:pPr>
            <w:r>
              <w:rPr>
                <w:rFonts w:ascii="Arial" w:cs="Arial" w:eastAsia="Arial" w:hAnsi="Arial"/>
                <w:sz w:val="15"/>
                <w:szCs w:val="15"/>
                <w:color w:val="0000EE"/>
              </w:rPr>
              <w:t>UNAUDITED CONDENSED CONSOLIDATED BALANCE SHEETS AS AT SEPTEMBER 30, 2022 AND DECEMBER 31, 2021</w:t>
            </w:r>
          </w:p>
        </w:tc>
        <w:tc>
          <w:tcPr>
            <w:tcW w:w="3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6"/>
                <w:szCs w:val="16"/>
                <w:color w:val="auto"/>
                <w:w w:val="99"/>
              </w:rPr>
              <w:t>F-2</w:t>
            </w:r>
          </w:p>
        </w:tc>
        <w:tc>
          <w:tcPr>
            <w:tcW w:w="20" w:type="dxa"/>
            <w:vAlign w:val="bottom"/>
          </w:tcPr>
          <w:p>
            <w:pPr>
              <w:spacing w:after="0"/>
              <w:rPr>
                <w:sz w:val="12"/>
                <w:szCs w:val="12"/>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144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640" w:type="dxa"/>
            <w:vAlign w:val="bottom"/>
            <w:gridSpan w:val="10"/>
          </w:tcPr>
          <w:p>
            <w:pPr>
              <w:spacing w:after="0"/>
              <w:rPr>
                <w:sz w:val="20"/>
                <w:szCs w:val="20"/>
                <w:color w:val="auto"/>
              </w:rPr>
            </w:pPr>
            <w:r>
              <w:rPr>
                <w:rFonts w:ascii="Arial" w:cs="Arial" w:eastAsia="Arial" w:hAnsi="Arial"/>
                <w:sz w:val="18"/>
                <w:szCs w:val="18"/>
                <w:color w:val="0000EE"/>
                <w:w w:val="98"/>
              </w:rPr>
              <w:t>UNAUDITED CONDENSED CONSOLIDATED STATEMENTS OF COMPREHENSIVE INCOME FOR THE THREE AND NINE MONTH</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00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2"/>
              </w:rPr>
              <w:t>PERIODS ENDED SEPTEMBER 30, 2022 AND 2021</w:t>
            </w:r>
          </w:p>
        </w:tc>
        <w:tc>
          <w:tcPr>
            <w:tcW w:w="6200" w:type="dxa"/>
            <w:vAlign w:val="bottom"/>
            <w:tcBorders>
              <w:top w:val="single" w:sz="8" w:color="0000EE"/>
            </w:tcBorders>
            <w:gridSpan w:val="4"/>
          </w:tcPr>
          <w:p>
            <w:pPr>
              <w:spacing w:after="0"/>
              <w:rPr>
                <w:sz w:val="17"/>
                <w:szCs w:val="17"/>
                <w:color w:val="auto"/>
              </w:rPr>
            </w:pPr>
          </w:p>
        </w:tc>
        <w:tc>
          <w:tcPr>
            <w:tcW w:w="260" w:type="dxa"/>
            <w:vAlign w:val="bottom"/>
            <w:gridSpan w:val="2"/>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F-3</w:t>
            </w:r>
          </w:p>
        </w:tc>
      </w:tr>
      <w:tr>
        <w:trPr>
          <w:trHeight w:val="196"/>
        </w:trPr>
        <w:tc>
          <w:tcPr>
            <w:tcW w:w="968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5"/>
              </w:rPr>
              <w:t>UNAUDITED CONDENSED CONSOLIDATED STATEMENTS OF CASH FLOWS FOR THE NINE MONTH PERIODS ENDED</w:t>
            </w:r>
          </w:p>
        </w:tc>
        <w:tc>
          <w:tcPr>
            <w:tcW w:w="96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25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2"/>
              </w:rPr>
              <w:t>SEPTEMBER 30, 2022 AND 2021</w:t>
            </w:r>
          </w:p>
        </w:tc>
        <w:tc>
          <w:tcPr>
            <w:tcW w:w="7900" w:type="dxa"/>
            <w:vAlign w:val="bottom"/>
            <w:gridSpan w:val="7"/>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F-4</w:t>
            </w:r>
          </w:p>
        </w:tc>
      </w:tr>
      <w:tr>
        <w:trPr>
          <w:trHeight w:val="196"/>
        </w:trPr>
        <w:tc>
          <w:tcPr>
            <w:tcW w:w="1048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5"/>
              </w:rPr>
              <w:t>UNAUDITED CONDENSED CONSOLIDATED STATEMENTS OF CHANGES IN EQUITY FOR THE THREE MONTH PERIODS ENDED</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0460" w:type="dxa"/>
            <w:vAlign w:val="bottom"/>
            <w:gridSpan w:val="9"/>
          </w:tcPr>
          <w:p>
            <w:pPr>
              <w:spacing w:after="0" w:line="196" w:lineRule="exact"/>
              <w:rPr>
                <w:sz w:val="20"/>
                <w:szCs w:val="20"/>
                <w:color w:val="auto"/>
              </w:rPr>
            </w:pPr>
            <w:r>
              <w:rPr>
                <w:rFonts w:ascii="Arial" w:cs="Arial" w:eastAsia="Arial" w:hAnsi="Arial"/>
                <w:sz w:val="18"/>
                <w:szCs w:val="18"/>
                <w:color w:val="0000EE"/>
              </w:rPr>
              <w:t>MARCH 31, JUNE 30 AND SEPTEMBER 30, 2022 AND 2021</w:t>
            </w: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F-5</w:t>
            </w:r>
          </w:p>
        </w:tc>
      </w:tr>
      <w:tr>
        <w:trPr>
          <w:trHeight w:val="20"/>
        </w:trPr>
        <w:tc>
          <w:tcPr>
            <w:tcW w:w="180" w:type="dxa"/>
            <w:vAlign w:val="bottom"/>
          </w:tcPr>
          <w:p>
            <w:pPr>
              <w:spacing w:after="0" w:line="20" w:lineRule="exact"/>
              <w:rPr>
                <w:sz w:val="1"/>
                <w:szCs w:val="1"/>
                <w:color w:val="auto"/>
              </w:rPr>
            </w:pPr>
          </w:p>
        </w:tc>
        <w:tc>
          <w:tcPr>
            <w:tcW w:w="4660" w:type="dxa"/>
            <w:vAlign w:val="bottom"/>
            <w:gridSpan w:val="4"/>
            <w:shd w:val="clear" w:color="auto" w:fill="0000EE"/>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196"/>
        </w:trPr>
        <w:tc>
          <w:tcPr>
            <w:tcW w:w="824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6"/>
              </w:rPr>
              <w:t>UNAUDITED CONDENSED NOTES TO THE CONDENSED CONSOLIDATED FINANCIAL STATEMENTS</w:t>
            </w:r>
          </w:p>
        </w:tc>
        <w:tc>
          <w:tcPr>
            <w:tcW w:w="2400" w:type="dxa"/>
            <w:vAlign w:val="bottom"/>
            <w:gridSpan w:val="4"/>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F-6</w:t>
            </w:r>
          </w:p>
        </w:tc>
      </w:tr>
    </w:tbl>
    <w:p>
      <w:pPr>
        <w:sectPr>
          <w:pgSz w:w="11900" w:h="16838" w:orient="portrait"/>
          <w:cols w:equalWidth="0" w:num="1">
            <w:col w:w="11080"/>
          </w:cols>
          <w:pgMar w:left="320" w:top="459" w:right="4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(Expressed in thousands of U.S. dollars — except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808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10"/>
              <w:spacing w:after="0" w:line="149" w:lineRule="exact"/>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90"/>
              <w:spacing w:after="0" w:line="149"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(unaudited)</w:t>
            </w:r>
          </w:p>
        </w:tc>
        <w:tc>
          <w:tcPr>
            <w:tcW w:w="9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(unaudited)</w:t>
            </w:r>
          </w:p>
        </w:tc>
        <w:tc>
          <w:tcPr>
            <w:tcW w:w="0" w:type="dxa"/>
            <w:vAlign w:val="bottom"/>
          </w:tcPr>
          <w:p>
            <w:pPr>
              <w:spacing w:after="0"/>
              <w:rPr>
                <w:sz w:val="1"/>
                <w:szCs w:val="1"/>
                <w:color w:val="auto"/>
              </w:rPr>
            </w:pPr>
          </w:p>
        </w:tc>
      </w:tr>
      <w:tr>
        <w:trPr>
          <w:trHeight w:val="196"/>
        </w:trPr>
        <w:tc>
          <w:tcPr>
            <w:tcW w:w="8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3, 7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91,064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53,367</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Restricted cash</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3, 7, 8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46,886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53,653</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Inventories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8,555</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8,611</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7,639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7,108</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Asset held for sale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2,186</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 continuing operations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156,340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122,749</w:t>
            </w:r>
          </w:p>
        </w:tc>
        <w:tc>
          <w:tcPr>
            <w:tcW w:w="0" w:type="dxa"/>
            <w:vAlign w:val="bottom"/>
          </w:tcPr>
          <w:p>
            <w:pPr>
              <w:spacing w:after="0"/>
              <w:rPr>
                <w:sz w:val="1"/>
                <w:szCs w:val="1"/>
                <w:color w:val="auto"/>
              </w:rPr>
            </w:pPr>
          </w:p>
        </w:tc>
      </w:t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Current assets from discontinued operations</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156,340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229,447</w:t>
            </w:r>
          </w:p>
        </w:tc>
        <w:tc>
          <w:tcPr>
            <w:tcW w:w="0" w:type="dxa"/>
            <w:vAlign w:val="bottom"/>
          </w:tcPr>
          <w:p>
            <w:pPr>
              <w:spacing w:after="0"/>
              <w:rPr>
                <w:sz w:val="1"/>
                <w:szCs w:val="1"/>
                <w:color w:val="auto"/>
              </w:rPr>
            </w:pPr>
          </w:p>
        </w:tc>
      </w:tr>
      <w:tr>
        <w:trPr>
          <w:trHeight w:val="223"/>
        </w:trPr>
        <w:tc>
          <w:tcPr>
            <w:tcW w:w="8080" w:type="dxa"/>
            <w:vAlign w:val="bottom"/>
          </w:tcPr>
          <w:p>
            <w:pPr>
              <w:spacing w:after="0"/>
              <w:rPr>
                <w:sz w:val="20"/>
                <w:szCs w:val="20"/>
                <w:color w:val="auto"/>
              </w:rPr>
            </w:pPr>
            <w:r>
              <w:rPr>
                <w:rFonts w:ascii="Arial" w:cs="Arial" w:eastAsia="Arial" w:hAnsi="Arial"/>
                <w:sz w:val="18"/>
                <w:szCs w:val="18"/>
                <w:color w:val="auto"/>
              </w:rPr>
              <w:t>Vessels, port terminals and other fixed assets, net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501,398</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522,616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 companies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9, 13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78,052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125,744</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Other long-term assets</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16,405</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17,686</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assets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9,199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9,159</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Intangible assets other than goodwill</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46,886</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48,966</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104,096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104,096</w:t>
            </w:r>
          </w:p>
        </w:tc>
        <w:tc>
          <w:tcPr>
            <w:tcW w:w="0" w:type="dxa"/>
            <w:vAlign w:val="bottom"/>
          </w:tcPr>
          <w:p>
            <w:pPr>
              <w:spacing w:after="0"/>
              <w:rPr>
                <w:sz w:val="1"/>
                <w:szCs w:val="1"/>
                <w:color w:val="auto"/>
              </w:rPr>
            </w:pPr>
          </w:p>
        </w:tc>
      </w:tr>
      <w:tr>
        <w:trPr>
          <w:trHeight w:val="230"/>
        </w:trPr>
        <w:tc>
          <w:tcPr>
            <w:tcW w:w="8080" w:type="dxa"/>
            <w:vAlign w:val="bottom"/>
          </w:tcPr>
          <w:p>
            <w:pPr>
              <w:spacing w:after="0"/>
              <w:rPr>
                <w:sz w:val="20"/>
                <w:szCs w:val="20"/>
                <w:color w:val="auto"/>
              </w:rPr>
            </w:pPr>
            <w:r>
              <w:rPr>
                <w:rFonts w:ascii="Arial" w:cs="Arial" w:eastAsia="Arial" w:hAnsi="Arial"/>
                <w:sz w:val="18"/>
                <w:szCs w:val="18"/>
                <w:b w:val="1"/>
                <w:bCs w:val="1"/>
                <w:color w:val="auto"/>
              </w:rPr>
              <w:t>Total non-current assets, continuing operations</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756,036</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828,267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 from discontinued operations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751,064</w:t>
            </w:r>
          </w:p>
        </w:tc>
        <w:tc>
          <w:tcPr>
            <w:tcW w:w="0" w:type="dxa"/>
            <w:vAlign w:val="bottom"/>
          </w:tcPr>
          <w:p>
            <w:pPr>
              <w:spacing w:after="0"/>
              <w:rPr>
                <w:sz w:val="1"/>
                <w:szCs w:val="1"/>
                <w:color w:val="auto"/>
              </w:rPr>
            </w:pPr>
          </w:p>
        </w:tc>
      </w:tr>
      <w:tr>
        <w:trPr>
          <w:trHeight w:val="230"/>
        </w:trPr>
        <w:tc>
          <w:tcPr>
            <w:tcW w:w="808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756,036</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1,579,331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912,376</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1,808,778</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Accounts payable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22,278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30,388</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29,198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48,337</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Deferred income and cash received in advance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5,275</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current portion</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Due to affiliate companies</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loans payable to affiliate companies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Current portion of long-term debt, net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6, 7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22,754</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25,976</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promissory note</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Current portion of senior and ship mortgage notes, net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6, 7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103,840</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 continuing operations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90,547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217,753</w:t>
            </w:r>
          </w:p>
        </w:tc>
        <w:tc>
          <w:tcPr>
            <w:tcW w:w="0" w:type="dxa"/>
            <w:vAlign w:val="bottom"/>
          </w:tcPr>
          <w:p>
            <w:pPr>
              <w:spacing w:after="0"/>
              <w:rPr>
                <w:sz w:val="1"/>
                <w:szCs w:val="1"/>
                <w:color w:val="auto"/>
              </w:rPr>
            </w:pPr>
          </w:p>
        </w:tc>
      </w:t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Current liabilities from discontinued operations</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279,695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90,547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497,448</w:t>
            </w:r>
          </w:p>
        </w:tc>
        <w:tc>
          <w:tcPr>
            <w:tcW w:w="0" w:type="dxa"/>
            <w:vAlign w:val="bottom"/>
          </w:tcPr>
          <w:p>
            <w:pPr>
              <w:spacing w:after="0"/>
              <w:rPr>
                <w:sz w:val="1"/>
                <w:szCs w:val="1"/>
                <w:color w:val="auto"/>
              </w:rPr>
            </w:pPr>
          </w:p>
        </w:tc>
      </w:tr>
      <w:tr>
        <w:trPr>
          <w:trHeight w:val="223"/>
        </w:trPr>
        <w:tc>
          <w:tcPr>
            <w:tcW w:w="8080" w:type="dxa"/>
            <w:vAlign w:val="bottom"/>
          </w:tcPr>
          <w:p>
            <w:pPr>
              <w:spacing w:after="0"/>
              <w:rPr>
                <w:sz w:val="20"/>
                <w:szCs w:val="20"/>
                <w:color w:val="auto"/>
              </w:rPr>
            </w:pPr>
            <w:r>
              <w:rPr>
                <w:rFonts w:ascii="Arial" w:cs="Arial" w:eastAsia="Arial" w:hAnsi="Arial"/>
                <w:sz w:val="18"/>
                <w:szCs w:val="18"/>
                <w:color w:val="auto"/>
              </w:rPr>
              <w:t>Senior and ship mortgage notes, net of current portion</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6, 7</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495,593</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542,698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6, 7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40,682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32,302</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Convertible debenture payable to affiliate companies</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6, 7, 9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117,646</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Long term portion of promissory note</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Loans payable to affiliate companies, net of current portion</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6, 7, 9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111,757</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income</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8,799</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8,901</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9,756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10,487</w:t>
            </w:r>
          </w:p>
        </w:tc>
        <w:tc>
          <w:tcPr>
            <w:tcW w:w="0" w:type="dxa"/>
            <w:vAlign w:val="bottom"/>
          </w:tcPr>
          <w:p>
            <w:pPr>
              <w:spacing w:after="0"/>
              <w:rPr>
                <w:sz w:val="1"/>
                <w:szCs w:val="1"/>
                <w:color w:val="auto"/>
              </w:rPr>
            </w:pPr>
          </w:p>
        </w:tc>
      </w:tr>
      <w:tr>
        <w:trPr>
          <w:trHeight w:val="230"/>
        </w:trPr>
        <w:tc>
          <w:tcPr>
            <w:tcW w:w="8080" w:type="dxa"/>
            <w:vAlign w:val="bottom"/>
          </w:tcPr>
          <w:p>
            <w:pPr>
              <w:spacing w:after="0"/>
              <w:rPr>
                <w:sz w:val="20"/>
                <w:szCs w:val="20"/>
                <w:color w:val="auto"/>
              </w:rPr>
            </w:pPr>
            <w:r>
              <w:rPr>
                <w:rFonts w:ascii="Arial" w:cs="Arial" w:eastAsia="Arial" w:hAnsi="Arial"/>
                <w:sz w:val="18"/>
                <w:szCs w:val="18"/>
                <w:b w:val="1"/>
                <w:bCs w:val="1"/>
                <w:color w:val="auto"/>
              </w:rPr>
              <w:t>Total non-current liabilities, continuing operations</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673,347</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717,072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 from discontinued operations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527,614</w:t>
            </w:r>
          </w:p>
        </w:tc>
        <w:tc>
          <w:tcPr>
            <w:tcW w:w="0" w:type="dxa"/>
            <w:vAlign w:val="bottom"/>
          </w:tcPr>
          <w:p>
            <w:pPr>
              <w:spacing w:after="0"/>
              <w:rPr>
                <w:sz w:val="1"/>
                <w:szCs w:val="1"/>
                <w:color w:val="auto"/>
              </w:rPr>
            </w:pPr>
          </w:p>
        </w:tc>
      </w:tr>
      <w:tr>
        <w:trPr>
          <w:trHeight w:val="230"/>
        </w:trPr>
        <w:tc>
          <w:tcPr>
            <w:tcW w:w="808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673,347</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1,244,686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763,894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1,742,134</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8"/>
                <w:szCs w:val="18"/>
                <w:b w:val="1"/>
                <w:bCs w:val="1"/>
                <w:color w:val="auto"/>
              </w:rPr>
              <w:t>Commitments and contingencies</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80" w:type="dxa"/>
            <w:vAlign w:val="bottom"/>
          </w:tcPr>
          <w:p>
            <w:pPr>
              <w:spacing w:after="0" w:line="201" w:lineRule="exact"/>
              <w:rPr>
                <w:sz w:val="20"/>
                <w:szCs w:val="20"/>
                <w:color w:val="auto"/>
              </w:rPr>
            </w:pPr>
            <w:r>
              <w:rPr>
                <w:rFonts w:ascii="Arial" w:cs="Arial" w:eastAsia="Arial" w:hAnsi="Arial"/>
                <w:sz w:val="18"/>
                <w:szCs w:val="18"/>
                <w:color w:val="auto"/>
              </w:rPr>
              <w:t>Preferred stock — $0.0001 par value, authorized 1,000,000 shares, 24,032 and 23,032 issued and</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180"/>
              <w:spacing w:after="0"/>
              <w:rPr>
                <w:sz w:val="20"/>
                <w:szCs w:val="20"/>
                <w:color w:val="auto"/>
              </w:rPr>
            </w:pPr>
            <w:r>
              <w:rPr>
                <w:rFonts w:ascii="Arial" w:cs="Arial" w:eastAsia="Arial" w:hAnsi="Arial"/>
                <w:sz w:val="18"/>
                <w:szCs w:val="18"/>
                <w:color w:val="auto"/>
              </w:rPr>
              <w:t>outstanding as of September 30, 2022 and December 31, 2021, respectively.</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 $0.0001 par value, authorized 250,000,000 shares, 25,200,713 and 25,198,620 issued and</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of September 30, 2022 and December 31, 2021, respectively.</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679,434</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679,301</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(588,988)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(667,906)</w:t>
            </w:r>
          </w:p>
        </w:tc>
        <w:tc>
          <w:tcPr>
            <w:tcW w:w="0" w:type="dxa"/>
            <w:vAlign w:val="bottom"/>
          </w:tcPr>
          <w:p>
            <w:pPr>
              <w:spacing w:after="0"/>
              <w:rPr>
                <w:sz w:val="1"/>
                <w:szCs w:val="1"/>
                <w:color w:val="auto"/>
              </w:rPr>
            </w:pPr>
          </w:p>
        </w:tc>
      </w:tr>
      <w:tr>
        <w:trPr>
          <w:trHeight w:val="230"/>
        </w:trPr>
        <w:tc>
          <w:tcPr>
            <w:tcW w:w="8080" w:type="dxa"/>
            <w:vAlign w:val="bottom"/>
          </w:tcPr>
          <w:p>
            <w:pPr>
              <w:spacing w:after="0"/>
              <w:rPr>
                <w:sz w:val="20"/>
                <w:szCs w:val="20"/>
                <w:color w:val="auto"/>
              </w:rPr>
            </w:pPr>
            <w:r>
              <w:rPr>
                <w:rFonts w:ascii="Arial" w:cs="Arial" w:eastAsia="Arial" w:hAnsi="Arial"/>
                <w:sz w:val="18"/>
                <w:szCs w:val="18"/>
                <w:b w:val="1"/>
                <w:bCs w:val="1"/>
                <w:color w:val="auto"/>
              </w:rPr>
              <w:t>Total Navios Holdings stockholders’ equity</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90,448</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58,034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55,247</w:t>
            </w:r>
          </w:p>
        </w:tc>
        <w:tc>
          <w:tcPr>
            <w:tcW w:w="0" w:type="dxa"/>
            <w:vAlign w:val="bottom"/>
          </w:tcPr>
          <w:p>
            <w:pPr>
              <w:spacing w:after="0"/>
              <w:rPr>
                <w:sz w:val="1"/>
                <w:szCs w:val="1"/>
                <w:color w:val="auto"/>
              </w:rPr>
            </w:pPr>
          </w:p>
        </w:tc>
      </w:tr>
      <w:tr>
        <w:trPr>
          <w:trHeight w:val="230"/>
        </w:trPr>
        <w:tc>
          <w:tcPr>
            <w:tcW w:w="808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148,482</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66,644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912,376</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1,808,778</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unaudited condensed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40"/>
          </w:cols>
          <w:pgMar w:left="320" w:top="459" w:right="439" w:bottom="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(Expressed in thousands of U.S. dollars — except share and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Three Month</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Three Month</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Nine Month</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Nine Month</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6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2"/>
              </w:rPr>
              <w:t>Notes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Period Ended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9"/>
              </w:rPr>
              <w:t>September 30, 2021</w:t>
            </w: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94"/>
              </w:rPr>
              <w:t>(unaudited)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74,437</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63,524</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202,776</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174,318</w:t>
            </w:r>
          </w:p>
        </w:tc>
        <w:tc>
          <w:tcPr>
            <w:tcW w:w="0" w:type="dxa"/>
            <w:vAlign w:val="bottom"/>
          </w:tcPr>
          <w:p>
            <w:pPr>
              <w:spacing w:after="0"/>
              <w:rPr>
                <w:sz w:val="1"/>
                <w:szCs w:val="1"/>
                <w:color w:val="auto"/>
              </w:rPr>
            </w:pPr>
          </w:p>
        </w:tc>
      </w:tr>
      <w:tr>
        <w:trPr>
          <w:trHeight w:val="202"/>
        </w:trPr>
        <w:tc>
          <w:tcPr>
            <w:tcW w:w="3920" w:type="dxa"/>
            <w:vAlign w:val="bottom"/>
          </w:tcPr>
          <w:p>
            <w:pPr>
              <w:spacing w:after="0" w:line="201" w:lineRule="exact"/>
              <w:rPr>
                <w:sz w:val="20"/>
                <w:szCs w:val="20"/>
                <w:color w:val="auto"/>
              </w:rPr>
            </w:pPr>
            <w:r>
              <w:rPr>
                <w:rFonts w:ascii="Arial" w:cs="Arial" w:eastAsia="Arial" w:hAnsi="Arial"/>
                <w:sz w:val="18"/>
                <w:szCs w:val="18"/>
                <w:color w:val="auto"/>
              </w:rPr>
              <w:t>Time charter, voyage and logistics business</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80"/>
              <w:spacing w:after="0"/>
              <w:rPr>
                <w:sz w:val="20"/>
                <w:szCs w:val="20"/>
                <w:color w:val="auto"/>
              </w:rPr>
            </w:pPr>
            <w:r>
              <w:rPr>
                <w:rFonts w:ascii="Arial" w:cs="Arial" w:eastAsia="Arial" w:hAnsi="Arial"/>
                <w:sz w:val="18"/>
                <w:szCs w:val="18"/>
                <w:color w:val="auto"/>
              </w:rPr>
              <w:t>expenses</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(20,098)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(20,748)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(52,979)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(51,206)</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Direct vessel expenses</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(56,458)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(47,597)</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(4,717)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(4,340)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(13,461)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(12,580)</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4, 5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(23,647)</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Interest expense and finance cost, net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(16,070)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(15,208)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(47,866)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(45,143)</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Non-operating other finance cost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(24,000)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5"/>
        </w:trPr>
        <w:tc>
          <w:tcPr>
            <w:tcW w:w="3920" w:type="dxa"/>
            <w:vAlign w:val="bottom"/>
          </w:tcPr>
          <w:p>
            <w:pPr>
              <w:spacing w:after="0" w:line="205" w:lineRule="exact"/>
              <w:rPr>
                <w:sz w:val="20"/>
                <w:szCs w:val="20"/>
                <w:color w:val="auto"/>
              </w:rPr>
            </w:pPr>
            <w:r>
              <w:rPr>
                <w:rFonts w:ascii="Arial" w:cs="Arial" w:eastAsia="Arial" w:hAnsi="Arial"/>
                <w:sz w:val="18"/>
                <w:szCs w:val="18"/>
                <w:b w:val="1"/>
                <w:bCs w:val="1"/>
                <w:color w:val="auto"/>
              </w:rPr>
              <w:t>Loss before equity in net (losses)/earnings of</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920" w:type="dxa"/>
            <w:vAlign w:val="bottom"/>
          </w:tcPr>
          <w:p>
            <w:pPr>
              <w:ind w:left="180"/>
              <w:spacing w:after="0"/>
              <w:rPr>
                <w:sz w:val="20"/>
                <w:szCs w:val="20"/>
                <w:color w:val="auto"/>
              </w:rPr>
            </w:pPr>
            <w:r>
              <w:rPr>
                <w:rFonts w:ascii="Arial" w:cs="Arial" w:eastAsia="Arial" w:hAnsi="Arial"/>
                <w:sz w:val="18"/>
                <w:szCs w:val="18"/>
                <w:b w:val="1"/>
                <w:bCs w:val="1"/>
                <w:color w:val="auto"/>
              </w:rPr>
              <w:t>affiliate companies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(398)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(2,145)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(19,871)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(6,146)</w:t>
            </w:r>
          </w:p>
        </w:tc>
        <w:tc>
          <w:tcPr>
            <w:tcW w:w="0" w:type="dxa"/>
            <w:vAlign w:val="bottom"/>
          </w:tcPr>
          <w:p>
            <w:pPr>
              <w:spacing w:after="0"/>
              <w:rPr>
                <w:sz w:val="1"/>
                <w:szCs w:val="1"/>
                <w:color w:val="auto"/>
              </w:rPr>
            </w:pPr>
          </w:p>
        </w:tc>
      </w:tr>
      <w:tr>
        <w:trPr>
          <w:trHeight w:val="202"/>
        </w:trPr>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in net (losses)/earnings of affiliate</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companies</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9, 13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(70,173)</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14,329</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(47,214)</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54,923</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b w:val="1"/>
                <w:bCs w:val="1"/>
                <w:color w:val="auto"/>
              </w:rPr>
              <w:t>(Loss)/income before taxes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(70,571)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12,184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(67,085)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48,777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benefit/(expense)</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(3,396)</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b w:val="1"/>
                <w:bCs w:val="1"/>
                <w:color w:val="auto"/>
              </w:rPr>
              <w:t>Net (loss)/income from continuing operations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(70,083)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8,512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(67,268)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45,381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from discontinued operations</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(including gain from sale of $169,631)</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109,638</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40,958</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148,973</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29,947</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39,555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49,470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81,705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75,328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(income)/loss attributable to the</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(597)</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10,338</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(2,787)</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9,578</w:t>
            </w:r>
          </w:p>
        </w:tc>
        <w:tc>
          <w:tcPr>
            <w:tcW w:w="0" w:type="dxa"/>
            <w:vAlign w:val="bottom"/>
          </w:tcPr>
          <w:p>
            <w:pPr>
              <w:spacing w:after="0"/>
              <w:rPr>
                <w:sz w:val="1"/>
                <w:szCs w:val="1"/>
                <w:color w:val="auto"/>
              </w:rPr>
            </w:pPr>
          </w:p>
        </w:tc>
      </w:tr>
      <w:tr>
        <w:trPr>
          <w:trHeight w:val="205"/>
        </w:trPr>
        <w:tc>
          <w:tcPr>
            <w:tcW w:w="3920" w:type="dxa"/>
            <w:vAlign w:val="bottom"/>
          </w:tcPr>
          <w:p>
            <w:pPr>
              <w:spacing w:after="0" w:line="205" w:lineRule="exact"/>
              <w:rPr>
                <w:sz w:val="20"/>
                <w:szCs w:val="20"/>
                <w:color w:val="auto"/>
              </w:rPr>
            </w:pPr>
            <w:r>
              <w:rPr>
                <w:rFonts w:ascii="Arial" w:cs="Arial" w:eastAsia="Arial" w:hAnsi="Arial"/>
                <w:sz w:val="18"/>
                <w:szCs w:val="18"/>
                <w:b w:val="1"/>
                <w:bCs w:val="1"/>
                <w:color w:val="auto"/>
              </w:rPr>
              <w:t>Net income attributable to Navios Holdings</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920" w:type="dxa"/>
            <w:vAlign w:val="bottom"/>
          </w:tcPr>
          <w:p>
            <w:pPr>
              <w:ind w:left="180"/>
              <w:spacing w:after="0"/>
              <w:rPr>
                <w:sz w:val="20"/>
                <w:szCs w:val="20"/>
                <w:color w:val="auto"/>
              </w:rPr>
            </w:pPr>
            <w:r>
              <w:rPr>
                <w:rFonts w:ascii="Arial" w:cs="Arial" w:eastAsia="Arial" w:hAnsi="Arial"/>
                <w:sz w:val="18"/>
                <w:szCs w:val="18"/>
                <w:b w:val="1"/>
                <w:bCs w:val="1"/>
                <w:color w:val="auto"/>
              </w:rPr>
              <w:t>common stockholders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38,958</w:t>
            </w:r>
          </w:p>
        </w:tc>
        <w:tc>
          <w:tcPr>
            <w:tcW w:w="3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59,808</w:t>
            </w:r>
          </w:p>
        </w:tc>
        <w:tc>
          <w:tcPr>
            <w:tcW w:w="34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78,918</w:t>
            </w:r>
          </w:p>
        </w:tc>
        <w:tc>
          <w:tcPr>
            <w:tcW w:w="34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84,906</w:t>
            </w:r>
          </w:p>
        </w:tc>
        <w:tc>
          <w:tcPr>
            <w:tcW w:w="0" w:type="dxa"/>
            <w:vAlign w:val="bottom"/>
          </w:tcPr>
          <w:p>
            <w:pPr>
              <w:spacing w:after="0"/>
              <w:rPr>
                <w:sz w:val="1"/>
                <w:szCs w:val="1"/>
                <w:color w:val="auto"/>
              </w:rPr>
            </w:pPr>
          </w:p>
        </w:tc>
      </w:tr>
      <w:tr>
        <w:trPr>
          <w:trHeight w:val="198"/>
        </w:trPr>
        <w:tc>
          <w:tcPr>
            <w:tcW w:w="39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(Loss)/income attributable to Navios Holdings</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common stockholders, basic and diluted</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from continuing operations</w:t>
            </w: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(88,761)</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17,566</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(98,592)</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51,114</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b w:val="1"/>
                <w:bCs w:val="1"/>
                <w:color w:val="auto"/>
              </w:rPr>
              <w:t>Income attributable to Navios Holdings</w:t>
            </w: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9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b w:val="1"/>
                <w:bCs w:val="1"/>
                <w:color w:val="auto"/>
              </w:rPr>
              <w:t>common stockholders, basic and diluted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80"/>
              <w:spacing w:after="0"/>
              <w:rPr>
                <w:sz w:val="20"/>
                <w:szCs w:val="20"/>
                <w:color w:val="auto"/>
              </w:rPr>
            </w:pPr>
            <w:r>
              <w:rPr>
                <w:rFonts w:ascii="Arial" w:cs="Arial" w:eastAsia="Arial" w:hAnsi="Arial"/>
                <w:sz w:val="18"/>
                <w:szCs w:val="18"/>
                <w:b w:val="1"/>
                <w:bCs w:val="1"/>
                <w:color w:val="auto"/>
              </w:rPr>
              <w:t>from discontinued operations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109,638</w:t>
            </w:r>
          </w:p>
        </w:tc>
        <w:tc>
          <w:tcPr>
            <w:tcW w:w="3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40,958</w:t>
            </w:r>
          </w:p>
        </w:tc>
        <w:tc>
          <w:tcPr>
            <w:tcW w:w="34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148,973</w:t>
            </w:r>
          </w:p>
        </w:tc>
        <w:tc>
          <w:tcPr>
            <w:tcW w:w="34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29,947</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92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Income attributable to Navios Holdings</w:t>
            </w: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common stockholders, basic and diluted</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20,877</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58,524</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50,381</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81,061</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b w:val="1"/>
                <w:bCs w:val="1"/>
                <w:color w:val="auto"/>
                <w:w w:val="99"/>
              </w:rPr>
              <w:t>Basic (loss)/earnings per share attributable to</w:t>
            </w: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9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b w:val="1"/>
                <w:bCs w:val="1"/>
                <w:color w:val="auto"/>
                <w:w w:val="97"/>
              </w:rPr>
              <w:t>Navios Holdings common stockholders from</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80"/>
              <w:spacing w:after="0"/>
              <w:rPr>
                <w:sz w:val="20"/>
                <w:szCs w:val="20"/>
                <w:color w:val="auto"/>
              </w:rPr>
            </w:pPr>
            <w:r>
              <w:rPr>
                <w:rFonts w:ascii="Arial" w:cs="Arial" w:eastAsia="Arial" w:hAnsi="Arial"/>
                <w:sz w:val="18"/>
                <w:szCs w:val="18"/>
                <w:b w:val="1"/>
                <w:bCs w:val="1"/>
                <w:color w:val="auto"/>
              </w:rPr>
              <w:t>continuing operations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(3.92)</w:t>
            </w:r>
          </w:p>
        </w:tc>
        <w:tc>
          <w:tcPr>
            <w:tcW w:w="3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1.10</w:t>
            </w:r>
          </w:p>
        </w:tc>
        <w:tc>
          <w:tcPr>
            <w:tcW w:w="34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(4.35)</w:t>
            </w:r>
          </w:p>
        </w:tc>
        <w:tc>
          <w:tcPr>
            <w:tcW w:w="34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3.63</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92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Basic earnings per share attributable to</w:t>
            </w: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7"/>
              </w:rPr>
              <w:t>Navios Holdings common stockholders from</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discontinued operations</w:t>
            </w: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4.84</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2.57</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6.58</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2.13</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b w:val="1"/>
                <w:bCs w:val="1"/>
                <w:color w:val="auto"/>
              </w:rPr>
              <w:t>Basic earnings per share attributable to</w:t>
            </w: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9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80"/>
              <w:spacing w:after="0"/>
              <w:rPr>
                <w:sz w:val="20"/>
                <w:szCs w:val="20"/>
                <w:color w:val="auto"/>
              </w:rPr>
            </w:pPr>
            <w:r>
              <w:rPr>
                <w:rFonts w:ascii="Arial" w:cs="Arial" w:eastAsia="Arial" w:hAnsi="Arial"/>
                <w:sz w:val="18"/>
                <w:szCs w:val="18"/>
                <w:b w:val="1"/>
                <w:bCs w:val="1"/>
                <w:color w:val="auto"/>
              </w:rPr>
              <w:t>Navios Holdings common stockholders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0.92</w:t>
            </w:r>
          </w:p>
        </w:tc>
        <w:tc>
          <w:tcPr>
            <w:tcW w:w="3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3.67</w:t>
            </w:r>
          </w:p>
        </w:tc>
        <w:tc>
          <w:tcPr>
            <w:tcW w:w="34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2.22</w:t>
            </w:r>
          </w:p>
        </w:tc>
        <w:tc>
          <w:tcPr>
            <w:tcW w:w="34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5.76</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basic</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22,654,825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15,924,134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22,647,128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14,065,205</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b w:val="1"/>
                <w:bCs w:val="1"/>
                <w:color w:val="auto"/>
              </w:rPr>
              <w:t>Diluted (loss)/earnings per share attributable</w:t>
            </w: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9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b w:val="1"/>
                <w:bCs w:val="1"/>
                <w:color w:val="auto"/>
              </w:rPr>
              <w:t>to Navios Holdings common stockholders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80"/>
              <w:spacing w:after="0"/>
              <w:rPr>
                <w:sz w:val="20"/>
                <w:szCs w:val="20"/>
                <w:color w:val="auto"/>
              </w:rPr>
            </w:pPr>
            <w:r>
              <w:rPr>
                <w:rFonts w:ascii="Arial" w:cs="Arial" w:eastAsia="Arial" w:hAnsi="Arial"/>
                <w:sz w:val="18"/>
                <w:szCs w:val="18"/>
                <w:b w:val="1"/>
                <w:bCs w:val="1"/>
                <w:color w:val="auto"/>
              </w:rPr>
              <w:t>from continuing operations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(3.92)</w:t>
            </w:r>
          </w:p>
        </w:tc>
        <w:tc>
          <w:tcPr>
            <w:tcW w:w="3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1.08</w:t>
            </w:r>
          </w:p>
        </w:tc>
        <w:tc>
          <w:tcPr>
            <w:tcW w:w="34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(4.35)</w:t>
            </w:r>
          </w:p>
        </w:tc>
        <w:tc>
          <w:tcPr>
            <w:tcW w:w="34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3.54</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92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Diluted earnings per share attributable to</w:t>
            </w: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7"/>
              </w:rPr>
              <w:t>Navios Holdings common stockholders from</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discontinued operations</w:t>
            </w: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4.84</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2.51</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6.56</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2.07</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share attributable to</w:t>
            </w: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9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80"/>
              <w:spacing w:after="0"/>
              <w:rPr>
                <w:sz w:val="20"/>
                <w:szCs w:val="20"/>
                <w:color w:val="auto"/>
              </w:rPr>
            </w:pPr>
            <w:r>
              <w:rPr>
                <w:rFonts w:ascii="Arial" w:cs="Arial" w:eastAsia="Arial" w:hAnsi="Arial"/>
                <w:sz w:val="18"/>
                <w:szCs w:val="18"/>
                <w:b w:val="1"/>
                <w:bCs w:val="1"/>
                <w:color w:val="auto"/>
              </w:rPr>
              <w:t>Navios Holdings common stockholders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0.91</w:t>
            </w:r>
          </w:p>
        </w:tc>
        <w:tc>
          <w:tcPr>
            <w:tcW w:w="3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3.59</w:t>
            </w:r>
          </w:p>
        </w:tc>
        <w:tc>
          <w:tcPr>
            <w:tcW w:w="34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2.21</w:t>
            </w:r>
          </w:p>
        </w:tc>
        <w:tc>
          <w:tcPr>
            <w:tcW w:w="34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5.61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diluted</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22,847,917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16,308,552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22,845,992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14,452,016</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unaudited condensed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(Expressed in thousands of U.S. dollars)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Nine Month</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Nine Month</w:t>
            </w:r>
          </w:p>
        </w:tc>
        <w:tc>
          <w:tcPr>
            <w:tcW w:w="0" w:type="dxa"/>
            <w:vAlign w:val="bottom"/>
          </w:tcPr>
          <w:p>
            <w:pPr>
              <w:spacing w:after="0"/>
              <w:rPr>
                <w:sz w:val="1"/>
                <w:szCs w:val="1"/>
                <w:color w:val="auto"/>
              </w:rPr>
            </w:pPr>
          </w:p>
        </w:tc>
      </w:tr>
      <w:tr>
        <w:trPr>
          <w:trHeight w:val="148"/>
        </w:trPr>
        <w:tc>
          <w:tcPr>
            <w:tcW w:w="7040" w:type="dxa"/>
            <w:vAlign w:val="bottom"/>
          </w:tcPr>
          <w:p>
            <w:pPr>
              <w:spacing w:after="0"/>
              <w:rPr>
                <w:sz w:val="12"/>
                <w:szCs w:val="12"/>
                <w:color w:val="auto"/>
              </w:rPr>
            </w:pPr>
          </w:p>
        </w:tc>
        <w:tc>
          <w:tcPr>
            <w:tcW w:w="9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87"/>
              </w:rPr>
              <w:t>Notes</w:t>
            </w:r>
          </w:p>
        </w:tc>
        <w:tc>
          <w:tcPr>
            <w:tcW w:w="12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0" w:type="dxa"/>
            <w:vAlign w:val="bottom"/>
          </w:tcPr>
          <w:p>
            <w:pPr>
              <w:spacing w:after="0"/>
              <w:rPr>
                <w:sz w:val="1"/>
                <w:szCs w:val="1"/>
                <w:color w:val="auto"/>
              </w:rPr>
            </w:pPr>
          </w:p>
        </w:tc>
      </w:tr>
      <w:tr>
        <w:trPr>
          <w:trHeight w:val="171"/>
        </w:trPr>
        <w:tc>
          <w:tcPr>
            <w:tcW w:w="70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9"/>
              </w:rPr>
              <w:t>September 30, 2021</w:t>
            </w:r>
          </w:p>
        </w:tc>
        <w:tc>
          <w:tcPr>
            <w:tcW w:w="0" w:type="dxa"/>
            <w:vAlign w:val="bottom"/>
          </w:tcPr>
          <w:p>
            <w:pPr>
              <w:spacing w:after="0"/>
              <w:rPr>
                <w:sz w:val="1"/>
                <w:szCs w:val="1"/>
                <w:color w:val="auto"/>
              </w:rPr>
            </w:pPr>
          </w:p>
        </w:tc>
      </w:tr>
      <w:tr>
        <w:trPr>
          <w:trHeight w:val="142"/>
        </w:trPr>
        <w:tc>
          <w:tcPr>
            <w:tcW w:w="70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31"/>
              <w:spacing w:after="0" w:line="142" w:lineRule="exact"/>
              <w:rPr>
                <w:sz w:val="20"/>
                <w:szCs w:val="20"/>
                <w:color w:val="auto"/>
              </w:rPr>
            </w:pPr>
            <w:r>
              <w:rPr>
                <w:rFonts w:ascii="Arial" w:cs="Arial" w:eastAsia="Arial" w:hAnsi="Arial"/>
                <w:sz w:val="14"/>
                <w:szCs w:val="14"/>
                <w:b w:val="1"/>
                <w:bCs w:val="1"/>
                <w:color w:val="auto"/>
                <w:w w:val="94"/>
              </w:rPr>
              <w:t>(unaudited)</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51"/>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81,705</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75,328</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Non-cash adjustments</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28,988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36,524</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operating assets</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10,320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(13,967)</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Increase/(decrease) in operating liabilities</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15,772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(48,588)</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Payments for drydock and special survey costs</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(9,344)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(17,629)</w:t>
            </w: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127,441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Acquisition of/additions to vessels</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(21,357)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(24,469)</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Deposits for vessels, port terminals and other fixed assets acquisitions</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(19,317)</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Proceeds from the Transaction</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370,638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Cash disposed of due to the Transaction</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(9,862)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Proceeds from sale of assets</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167,016</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equipment and other fixed assets</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(5,509)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Dividends received from affiliate companies</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investing activities</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333,549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119,709</w:t>
            </w:r>
          </w:p>
        </w:tc>
        <w:tc>
          <w:tcPr>
            <w:tcW w:w="0" w:type="dxa"/>
            <w:vAlign w:val="bottom"/>
          </w:tcPr>
          <w:p>
            <w:pPr>
              <w:spacing w:after="0"/>
              <w:rPr>
                <w:sz w:val="1"/>
                <w:szCs w:val="1"/>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long-term debt and payment of principal</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(74,520)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(90,453)</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Repayment/repurchase of senior notes</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(610,466)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(158,588)</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loan payable to affiliate companies</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(375,264)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(101,225)</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Proceeds from loan payable to affiliate companies, net of deferred financing costs</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262,632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113,618</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long-term loans, net of deferred financing costs</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296,725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Debt issuance costs</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(1,645)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Repayment of finance lease liability</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Proceeds from sale of shares, net</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41,827</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noncontrolling interest</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9,10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b w:val="1"/>
                <w:bCs w:val="1"/>
                <w:color w:val="auto"/>
              </w:rPr>
              <w:t>Net cash used in by financing activities</w:t>
            </w: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(507,767)</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(215,821)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Decrease in cash and cash equivalents and restricted cash</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(46,777)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(64,444)</w:t>
            </w: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b w:val="1"/>
                <w:bCs w:val="1"/>
                <w:color w:val="auto"/>
              </w:rPr>
              <w:t>Cash and cash equivalents and restricted cash, beginning of period</w:t>
            </w: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137,851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111,184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and restricted cash, end of period</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91,074</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46,740</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 net of capitalized interest</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100,625</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136,725</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Sale of vessels</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5,766</w:t>
            </w:r>
          </w:p>
        </w:tc>
        <w:tc>
          <w:tcPr>
            <w:tcW w:w="0" w:type="dxa"/>
            <w:vAlign w:val="bottom"/>
          </w:tcPr>
          <w:p>
            <w:pPr>
              <w:spacing w:after="0"/>
              <w:rPr>
                <w:sz w:val="1"/>
                <w:szCs w:val="1"/>
                <w:color w:val="auto"/>
              </w:rPr>
            </w:pPr>
          </w:p>
        </w:tc>
      </w:tr>
      <w:tr>
        <w:trPr>
          <w:trHeight w:val="202"/>
        </w:trPr>
        <w:tc>
          <w:tcPr>
            <w:tcW w:w="7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Proceeds from the Navios Logistics’ Seller’s Credit Agreement for the construction of six</w:t>
            </w: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liquid barges</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02"/>
        </w:trPr>
        <w:tc>
          <w:tcPr>
            <w:tcW w:w="7040" w:type="dxa"/>
            <w:vAlign w:val="bottom"/>
          </w:tcPr>
          <w:p>
            <w:pPr>
              <w:spacing w:after="0" w:line="201" w:lineRule="exact"/>
              <w:rPr>
                <w:sz w:val="20"/>
                <w:szCs w:val="20"/>
                <w:color w:val="auto"/>
              </w:rPr>
            </w:pPr>
            <w:r>
              <w:rPr>
                <w:rFonts w:ascii="Arial" w:cs="Arial" w:eastAsia="Arial" w:hAnsi="Arial"/>
                <w:sz w:val="18"/>
                <w:szCs w:val="18"/>
                <w:color w:val="auto"/>
              </w:rPr>
              <w:t>Proceeds from the Navios Logistics’ Seller’s Credit Agreement for the acquisition of</w:t>
            </w: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180"/>
              <w:spacing w:after="0"/>
              <w:rPr>
                <w:sz w:val="20"/>
                <w:szCs w:val="20"/>
                <w:color w:val="auto"/>
              </w:rPr>
            </w:pPr>
            <w:r>
              <w:rPr>
                <w:rFonts w:ascii="Arial" w:cs="Arial" w:eastAsia="Arial" w:hAnsi="Arial"/>
                <w:sz w:val="18"/>
                <w:szCs w:val="18"/>
                <w:color w:val="auto"/>
              </w:rPr>
              <w:t>Navios Logistics’ 2020 Fleet</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Transfers from deposits for vessels, port terminals and other fixed assets</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57,107</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Deposits for vessels, port terminals and other fixed assets</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 for the acquisition of the noncontrolling interest</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Other long-term assets unpaid as of September 30, 2021</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Discontinued operations</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Net cash provided by/(used in) operating activities of discontinued operations</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103,188</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(38,169)</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 of discontinued operations</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339,419</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142,546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unaudited condensed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left="420" w:right="880"/>
        <w:spacing w:after="0" w:line="282" w:lineRule="auto"/>
        <w:rPr>
          <w:sz w:val="20"/>
          <w:szCs w:val="20"/>
          <w:color w:val="auto"/>
        </w:rPr>
      </w:pPr>
      <w:r>
        <w:rPr>
          <w:rFonts w:ascii="Arial" w:cs="Arial" w:eastAsia="Arial" w:hAnsi="Arial"/>
          <w:sz w:val="18"/>
          <w:szCs w:val="18"/>
          <w:b w:val="1"/>
          <w:bCs w:val="1"/>
          <w:color w:val="auto"/>
        </w:rPr>
        <w:t>NAVIOS MARITIME HOLDINGS INC. CONDENSED CONSOLIDATED STATEMENTS OF CHANGES IN EQUITY (Expressed in thousands of U.S. dollars — except share data)</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99"/>
              </w:rPr>
              <w:t>Additional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Navios</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1020" w:type="dxa"/>
            <w:vAlign w:val="bottom"/>
            <w:gridSpan w:val="9"/>
            <w:vMerge w:val="restart"/>
          </w:tcPr>
          <w:p>
            <w:pPr>
              <w:jc w:val="center"/>
              <w:ind w:right="100"/>
              <w:spacing w:after="0"/>
              <w:rPr>
                <w:sz w:val="20"/>
                <w:szCs w:val="20"/>
                <w:color w:val="auto"/>
              </w:rPr>
            </w:pPr>
            <w:r>
              <w:rPr>
                <w:rFonts w:ascii="Arial" w:cs="Arial" w:eastAsia="Arial" w:hAnsi="Arial"/>
                <w:sz w:val="14"/>
                <w:szCs w:val="14"/>
                <w:b w:val="1"/>
                <w:bCs w:val="1"/>
                <w:color w:val="auto"/>
                <w:w w:val="96"/>
              </w:rPr>
              <w:t>Preferred</w:t>
            </w:r>
          </w:p>
        </w:tc>
        <w:tc>
          <w:tcPr>
            <w:tcW w:w="40" w:type="dxa"/>
            <w:vAlign w:val="bottom"/>
          </w:tcPr>
          <w:p>
            <w:pPr>
              <w:spacing w:after="0"/>
              <w:rPr>
                <w:sz w:val="12"/>
                <w:szCs w:val="12"/>
                <w:color w:val="auto"/>
              </w:rPr>
            </w:pPr>
          </w:p>
        </w:tc>
        <w:tc>
          <w:tcPr>
            <w:tcW w:w="102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74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Common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Holdings’</w:t>
            </w:r>
          </w:p>
        </w:tc>
        <w:tc>
          <w:tcPr>
            <w:tcW w:w="1640" w:type="dxa"/>
            <w:vAlign w:val="bottom"/>
            <w:gridSpan w:val="9"/>
            <w:vMerge w:val="restart"/>
          </w:tcPr>
          <w:p>
            <w:pPr>
              <w:ind w:left="280"/>
              <w:spacing w:after="0"/>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6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Preferred</w:t>
            </w:r>
          </w:p>
        </w:tc>
        <w:tc>
          <w:tcPr>
            <w:tcW w:w="1020" w:type="dxa"/>
            <w:vAlign w:val="bottom"/>
            <w:gridSpan w:val="9"/>
            <w:vMerge w:val="continue"/>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740" w:type="dxa"/>
            <w:vAlign w:val="bottom"/>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1640" w:type="dxa"/>
            <w:vAlign w:val="bottom"/>
            <w:gridSpan w:val="9"/>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4"/>
                <w:szCs w:val="14"/>
                <w:color w:val="auto"/>
              </w:rPr>
            </w:pPr>
          </w:p>
        </w:tc>
        <w:tc>
          <w:tcPr>
            <w:tcW w:w="10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ind w:left="16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8"/>
        </w:trPr>
        <w:tc>
          <w:tcPr>
            <w:tcW w:w="2160" w:type="dxa"/>
            <w:vAlign w:val="bottom"/>
            <w:tcBorders>
              <w:top w:val="single" w:sz="8" w:color="CCEEFF"/>
            </w:tcBorders>
            <w:gridSpan w:val="3"/>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December 31,</w:t>
            </w:r>
          </w:p>
        </w:tc>
        <w:tc>
          <w:tcPr>
            <w:tcW w:w="600" w:type="dxa"/>
            <w:vAlign w:val="bottom"/>
            <w:tcBorders>
              <w:top w:val="single" w:sz="8" w:color="auto"/>
              <w:right w:val="single" w:sz="8" w:color="CCEEFF"/>
            </w:tcBorders>
            <w:gridSpan w:val="3"/>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gridSpan w:val="7"/>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900" w:type="dxa"/>
            <w:vAlign w:val="bottom"/>
            <w:tcBorders>
              <w:top w:val="single" w:sz="8" w:color="auto"/>
              <w:right w:val="single" w:sz="8" w:color="CCEEFF"/>
            </w:tcBorders>
            <w:gridSpan w:val="3"/>
            <w:shd w:val="clear" w:color="auto" w:fill="CCEEFF"/>
          </w:tcPr>
          <w:p>
            <w:pPr>
              <w:spacing w:after="0"/>
              <w:rPr>
                <w:sz w:val="15"/>
                <w:szCs w:val="15"/>
                <w:color w:val="auto"/>
              </w:rPr>
            </w:pPr>
          </w:p>
        </w:tc>
        <w:tc>
          <w:tcPr>
            <w:tcW w:w="80" w:type="dxa"/>
            <w:vAlign w:val="bottom"/>
            <w:tcBorders>
              <w:top w:val="single" w:sz="8" w:color="auto"/>
            </w:tcBorders>
            <w:gridSpan w:val="2"/>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gridSpan w:val="8"/>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740" w:type="dxa"/>
            <w:vAlign w:val="bottom"/>
            <w:tcBorders>
              <w:top w:val="single" w:sz="8" w:color="auto"/>
              <w:right w:val="single" w:sz="8" w:color="CCEEFF"/>
            </w:tcBorders>
            <w:gridSpan w:val="3"/>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800" w:type="dxa"/>
            <w:vAlign w:val="bottom"/>
            <w:tcBorders>
              <w:top w:val="single" w:sz="8" w:color="auto"/>
              <w:right w:val="single" w:sz="8" w:color="CCEEFF"/>
            </w:tcBorders>
            <w:gridSpan w:val="3"/>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780" w:type="dxa"/>
            <w:vAlign w:val="bottom"/>
            <w:tcBorders>
              <w:top w:val="single" w:sz="8" w:color="auto"/>
              <w:right w:val="single" w:sz="8" w:color="CCEEFF"/>
            </w:tcBorders>
            <w:gridSpan w:val="2"/>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gridSpan w:val="5"/>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80" w:type="dxa"/>
            <w:vAlign w:val="bottom"/>
            <w:tcBorders>
              <w:top w:val="single" w:sz="8" w:color="auto"/>
              <w:right w:val="single" w:sz="8" w:color="CCEEFF"/>
            </w:tcBorders>
            <w:gridSpan w:val="2"/>
            <w:shd w:val="clear" w:color="auto" w:fill="CCEEFF"/>
          </w:tcPr>
          <w:p>
            <w:pPr>
              <w:spacing w:after="0"/>
              <w:rPr>
                <w:sz w:val="15"/>
                <w:szCs w:val="15"/>
                <w:color w:val="auto"/>
              </w:rPr>
            </w:pPr>
          </w:p>
        </w:tc>
        <w:tc>
          <w:tcPr>
            <w:tcW w:w="740" w:type="dxa"/>
            <w:vAlign w:val="bottom"/>
            <w:tcBorders>
              <w:top w:val="single" w:sz="8" w:color="auto"/>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2021</w:t>
            </w:r>
          </w:p>
        </w:tc>
        <w:tc>
          <w:tcPr>
            <w:tcW w:w="700" w:type="dxa"/>
            <w:vAlign w:val="bottom"/>
            <w:gridSpan w:val="6"/>
            <w:shd w:val="clear" w:color="auto" w:fill="CCEEFF"/>
          </w:tcPr>
          <w:p>
            <w:pPr>
              <w:jc w:val="center"/>
              <w:ind w:left="73"/>
              <w:spacing w:after="0"/>
              <w:rPr>
                <w:sz w:val="20"/>
                <w:szCs w:val="20"/>
                <w:color w:val="auto"/>
              </w:rPr>
            </w:pPr>
            <w:r>
              <w:rPr>
                <w:rFonts w:ascii="Arial" w:cs="Arial" w:eastAsia="Arial" w:hAnsi="Arial"/>
                <w:sz w:val="18"/>
                <w:szCs w:val="18"/>
                <w:b w:val="1"/>
                <w:bCs w:val="1"/>
                <w:color w:val="auto"/>
                <w:w w:val="90"/>
              </w:rPr>
              <w:t>23,032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8"/>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25,198,620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$679,301</w:t>
            </w:r>
          </w:p>
        </w:tc>
        <w:tc>
          <w:tcPr>
            <w:tcW w:w="94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$(667,906)</w:t>
            </w:r>
          </w:p>
        </w:tc>
        <w:tc>
          <w:tcPr>
            <w:tcW w:w="9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$11,397</w:t>
            </w:r>
          </w:p>
        </w:tc>
        <w:tc>
          <w:tcPr>
            <w:tcW w:w="80" w:type="dxa"/>
            <w:vAlign w:val="bottom"/>
            <w:shd w:val="clear" w:color="auto" w:fill="CCEEFF"/>
          </w:tcPr>
          <w:p>
            <w:pPr>
              <w:spacing w:after="0"/>
              <w:rPr>
                <w:sz w:val="20"/>
                <w:szCs w:val="20"/>
                <w:color w:val="auto"/>
              </w:rPr>
            </w:pP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$55,247</w:t>
            </w: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8"/>
              </w:rPr>
              <w:t>66,644</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Net loss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7"/>
          </w:tcPr>
          <w:p>
            <w:pPr>
              <w:jc w:val="right"/>
              <w:ind w:righ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20" w:type="dxa"/>
            <w:vAlign w:val="bottom"/>
            <w:gridSpan w:val="5"/>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5"/>
          </w:tcPr>
          <w:p>
            <w:pPr>
              <w:jc w:val="right"/>
              <w:ind w:right="3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(5,000)</w:t>
            </w:r>
          </w:p>
        </w:tc>
        <w:tc>
          <w:tcPr>
            <w:tcW w:w="940" w:type="dxa"/>
            <w:vAlign w:val="bottom"/>
            <w:gridSpan w:val="5"/>
          </w:tcPr>
          <w:p>
            <w:pPr>
              <w:jc w:val="right"/>
              <w:ind w:right="20"/>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c>
          <w:tcPr>
            <w:tcW w:w="1480" w:type="dxa"/>
            <w:vAlign w:val="bottom"/>
            <w:gridSpan w:val="5"/>
          </w:tcPr>
          <w:p>
            <w:pPr>
              <w:jc w:val="right"/>
              <w:ind w:right="380"/>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(5,128)</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Cancellation of shares</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7"/>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7"/>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1020" w:type="dxa"/>
            <w:vAlign w:val="bottom"/>
            <w:gridSpan w:val="61"/>
          </w:tcPr>
          <w:p>
            <w:pPr>
              <w:spacing w:after="0" w:line="201" w:lineRule="exact"/>
              <w:rPr>
                <w:sz w:val="20"/>
                <w:szCs w:val="20"/>
                <w:color w:val="auto"/>
              </w:rPr>
            </w:pPr>
            <w:r>
              <w:rPr>
                <w:rFonts w:ascii="Arial" w:cs="Arial" w:eastAsia="Arial" w:hAnsi="Arial"/>
                <w:sz w:val="18"/>
                <w:szCs w:val="18"/>
                <w:color w:val="auto"/>
                <w:w w:val="94"/>
              </w:rPr>
              <w:t>Issuance of preferred stock</w:t>
            </w:r>
          </w:p>
        </w:tc>
        <w:tc>
          <w:tcPr>
            <w:tcW w:w="0" w:type="dxa"/>
            <w:vAlign w:val="bottom"/>
          </w:tcPr>
          <w:p>
            <w:pPr>
              <w:spacing w:after="0"/>
              <w:rPr>
                <w:sz w:val="1"/>
                <w:szCs w:val="1"/>
                <w:color w:val="auto"/>
              </w:rPr>
            </w:pPr>
          </w:p>
        </w:tc>
      </w:tr>
      <w:tr>
        <w:trPr>
          <w:trHeight w:val="230"/>
        </w:trPr>
        <w:tc>
          <w:tcPr>
            <w:tcW w:w="2080" w:type="dxa"/>
            <w:vAlign w:val="bottom"/>
          </w:tcPr>
          <w:p>
            <w:pPr>
              <w:ind w:left="180"/>
              <w:spacing w:after="0"/>
              <w:rPr>
                <w:sz w:val="20"/>
                <w:szCs w:val="20"/>
                <w:color w:val="auto"/>
              </w:rPr>
            </w:pPr>
            <w:r>
              <w:rPr>
                <w:rFonts w:ascii="Arial" w:cs="Arial" w:eastAsia="Arial" w:hAnsi="Arial"/>
                <w:sz w:val="18"/>
                <w:szCs w:val="18"/>
                <w:color w:val="auto"/>
              </w:rPr>
              <w:t>(Note 10)</w:t>
            </w:r>
          </w:p>
        </w:tc>
        <w:tc>
          <w:tcPr>
            <w:tcW w:w="700" w:type="dxa"/>
            <w:vAlign w:val="bottom"/>
            <w:gridSpan w:val="6"/>
          </w:tcPr>
          <w:p>
            <w:pPr>
              <w:jc w:val="right"/>
              <w:ind w:right="2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7"/>
          </w:tcPr>
          <w:p>
            <w:pPr>
              <w:jc w:val="right"/>
              <w:ind w:righ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20" w:type="dxa"/>
            <w:vAlign w:val="bottom"/>
            <w:gridSpan w:val="5"/>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5"/>
          </w:tcPr>
          <w:p>
            <w:pPr>
              <w:jc w:val="right"/>
              <w:ind w:right="3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7"/>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60" w:type="dxa"/>
            <w:vAlign w:val="bottom"/>
            <w:tcBorders>
              <w:right w:val="single" w:sz="8" w:color="CCEEFF"/>
            </w:tcBorders>
            <w:gridSpan w:val="6"/>
            <w:shd w:val="clear" w:color="auto" w:fill="CCEEFF"/>
          </w:tcPr>
          <w:p>
            <w:pPr>
              <w:spacing w:after="0" w:line="201" w:lineRule="exact"/>
              <w:rPr>
                <w:sz w:val="20"/>
                <w:szCs w:val="20"/>
                <w:color w:val="auto"/>
              </w:rPr>
            </w:pPr>
            <w:r>
              <w:rPr>
                <w:rFonts w:ascii="Arial" w:cs="Arial" w:eastAsia="Arial" w:hAnsi="Arial"/>
                <w:sz w:val="18"/>
                <w:szCs w:val="18"/>
                <w:color w:val="auto"/>
                <w:w w:val="94"/>
              </w:rPr>
              <w:t>Stock-based compensation</w:t>
            </w:r>
          </w:p>
        </w:tc>
        <w:tc>
          <w:tcPr>
            <w:tcW w:w="2020" w:type="dxa"/>
            <w:vAlign w:val="bottom"/>
            <w:tcBorders>
              <w:right w:val="single" w:sz="8" w:color="CCEEFF"/>
            </w:tcBorders>
            <w:gridSpan w:val="14"/>
            <w:shd w:val="clear" w:color="auto" w:fill="CCEEFF"/>
          </w:tcPr>
          <w:p>
            <w:pPr>
              <w:spacing w:after="0"/>
              <w:rPr>
                <w:sz w:val="17"/>
                <w:szCs w:val="17"/>
                <w:color w:val="auto"/>
              </w:rPr>
            </w:pPr>
          </w:p>
        </w:tc>
        <w:tc>
          <w:tcPr>
            <w:tcW w:w="1880" w:type="dxa"/>
            <w:vAlign w:val="bottom"/>
            <w:tcBorders>
              <w:right w:val="single" w:sz="8" w:color="CCEEFF"/>
            </w:tcBorders>
            <w:gridSpan w:val="16"/>
            <w:shd w:val="clear" w:color="auto" w:fill="CCEEFF"/>
          </w:tcPr>
          <w:p>
            <w:pPr>
              <w:spacing w:after="0"/>
              <w:rPr>
                <w:sz w:val="17"/>
                <w:szCs w:val="17"/>
                <w:color w:val="auto"/>
              </w:rPr>
            </w:pPr>
          </w:p>
        </w:tc>
        <w:tc>
          <w:tcPr>
            <w:tcW w:w="900" w:type="dxa"/>
            <w:vAlign w:val="bottom"/>
            <w:tcBorders>
              <w:right w:val="single" w:sz="8" w:color="CCEEFF"/>
            </w:tcBorders>
            <w:gridSpan w:val="6"/>
            <w:shd w:val="clear" w:color="auto" w:fill="CCEEFF"/>
          </w:tcPr>
          <w:p>
            <w:pPr>
              <w:spacing w:after="0"/>
              <w:rPr>
                <w:sz w:val="17"/>
                <w:szCs w:val="17"/>
                <w:color w:val="auto"/>
              </w:rPr>
            </w:pPr>
          </w:p>
        </w:tc>
        <w:tc>
          <w:tcPr>
            <w:tcW w:w="920" w:type="dxa"/>
            <w:vAlign w:val="bottom"/>
            <w:tcBorders>
              <w:right w:val="single" w:sz="8" w:color="CCEEFF"/>
            </w:tcBorders>
            <w:gridSpan w:val="5"/>
            <w:shd w:val="clear" w:color="auto" w:fill="CCEEFF"/>
          </w:tcPr>
          <w:p>
            <w:pPr>
              <w:spacing w:after="0"/>
              <w:rPr>
                <w:sz w:val="17"/>
                <w:szCs w:val="17"/>
                <w:color w:val="auto"/>
              </w:rPr>
            </w:pPr>
          </w:p>
        </w:tc>
        <w:tc>
          <w:tcPr>
            <w:tcW w:w="1800" w:type="dxa"/>
            <w:vAlign w:val="bottom"/>
            <w:tcBorders>
              <w:right w:val="single" w:sz="8" w:color="CCEEFF"/>
            </w:tcBorders>
            <w:gridSpan w:val="11"/>
            <w:shd w:val="clear" w:color="auto" w:fill="CCEEFF"/>
          </w:tcPr>
          <w:p>
            <w:pPr>
              <w:spacing w:after="0"/>
              <w:rPr>
                <w:sz w:val="17"/>
                <w:szCs w:val="17"/>
                <w:color w:val="auto"/>
              </w:rPr>
            </w:pPr>
          </w:p>
        </w:tc>
        <w:tc>
          <w:tcPr>
            <w:tcW w:w="740" w:type="dxa"/>
            <w:vAlign w:val="bottom"/>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 (Note 10)</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7"/>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40,000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w w:val="88"/>
              </w:rPr>
              <w:t>—</w:t>
            </w:r>
          </w:p>
        </w:tc>
        <w:tc>
          <w:tcPr>
            <w:tcW w:w="8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7"/>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5"/>
        </w:trPr>
        <w:tc>
          <w:tcPr>
            <w:tcW w:w="2200" w:type="dxa"/>
            <w:vAlign w:val="bottom"/>
            <w:gridSpan w:val="4"/>
          </w:tcPr>
          <w:p>
            <w:pPr>
              <w:spacing w:after="0" w:line="205" w:lineRule="exact"/>
              <w:rPr>
                <w:sz w:val="20"/>
                <w:szCs w:val="20"/>
                <w:color w:val="auto"/>
              </w:rPr>
            </w:pPr>
            <w:r>
              <w:rPr>
                <w:rFonts w:ascii="Arial" w:cs="Arial" w:eastAsia="Arial" w:hAnsi="Arial"/>
                <w:sz w:val="18"/>
                <w:szCs w:val="18"/>
                <w:b w:val="1"/>
                <w:bCs w:val="1"/>
                <w:color w:val="auto"/>
              </w:rPr>
              <w:t>Balance March 31, 2022</w:t>
            </w:r>
          </w:p>
        </w:tc>
        <w:tc>
          <w:tcPr>
            <w:tcW w:w="560" w:type="dxa"/>
            <w:vAlign w:val="bottom"/>
            <w:tcBorders>
              <w:top w:val="single" w:sz="8" w:color="auto"/>
            </w:tcBorders>
            <w:gridSpan w:val="2"/>
          </w:tcPr>
          <w:p>
            <w:pPr>
              <w:spacing w:after="0"/>
              <w:rPr>
                <w:sz w:val="17"/>
                <w:szCs w:val="17"/>
                <w:color w:val="auto"/>
              </w:rPr>
            </w:pPr>
          </w:p>
        </w:tc>
        <w:tc>
          <w:tcPr>
            <w:tcW w:w="380" w:type="dxa"/>
            <w:vAlign w:val="bottom"/>
            <w:gridSpan w:val="4"/>
          </w:tcPr>
          <w:p>
            <w:pPr>
              <w:spacing w:after="0"/>
              <w:rPr>
                <w:sz w:val="17"/>
                <w:szCs w:val="17"/>
                <w:color w:val="auto"/>
              </w:rPr>
            </w:pPr>
          </w:p>
        </w:tc>
        <w:tc>
          <w:tcPr>
            <w:tcW w:w="360" w:type="dxa"/>
            <w:vAlign w:val="bottom"/>
            <w:tcBorders>
              <w:top w:val="single" w:sz="8" w:color="auto"/>
            </w:tcBorders>
            <w:gridSpan w:val="2"/>
          </w:tcPr>
          <w:p>
            <w:pPr>
              <w:spacing w:after="0"/>
              <w:rPr>
                <w:sz w:val="17"/>
                <w:szCs w:val="17"/>
                <w:color w:val="auto"/>
              </w:rPr>
            </w:pPr>
          </w:p>
        </w:tc>
        <w:tc>
          <w:tcPr>
            <w:tcW w:w="420" w:type="dxa"/>
            <w:vAlign w:val="bottom"/>
            <w:gridSpan w:val="6"/>
          </w:tcPr>
          <w:p>
            <w:pPr>
              <w:spacing w:after="0"/>
              <w:rPr>
                <w:sz w:val="17"/>
                <w:szCs w:val="17"/>
                <w:color w:val="auto"/>
              </w:rPr>
            </w:pPr>
          </w:p>
        </w:tc>
        <w:tc>
          <w:tcPr>
            <w:tcW w:w="860" w:type="dxa"/>
            <w:vAlign w:val="bottom"/>
            <w:tcBorders>
              <w:top w:val="single" w:sz="8" w:color="auto"/>
            </w:tcBorders>
            <w:gridSpan w:val="2"/>
          </w:tcPr>
          <w:p>
            <w:pPr>
              <w:spacing w:after="0"/>
              <w:rPr>
                <w:sz w:val="17"/>
                <w:szCs w:val="17"/>
                <w:color w:val="auto"/>
              </w:rPr>
            </w:pPr>
          </w:p>
        </w:tc>
        <w:tc>
          <w:tcPr>
            <w:tcW w:w="420" w:type="dxa"/>
            <w:vAlign w:val="bottom"/>
            <w:gridSpan w:val="5"/>
          </w:tcPr>
          <w:p>
            <w:pPr>
              <w:spacing w:after="0"/>
              <w:rPr>
                <w:sz w:val="17"/>
                <w:szCs w:val="17"/>
                <w:color w:val="auto"/>
              </w:rPr>
            </w:pPr>
          </w:p>
        </w:tc>
        <w:tc>
          <w:tcPr>
            <w:tcW w:w="380" w:type="dxa"/>
            <w:vAlign w:val="bottom"/>
            <w:tcBorders>
              <w:top w:val="single" w:sz="8" w:color="auto"/>
            </w:tcBorders>
            <w:gridSpan w:val="3"/>
          </w:tcPr>
          <w:p>
            <w:pPr>
              <w:spacing w:after="0"/>
              <w:rPr>
                <w:sz w:val="17"/>
                <w:szCs w:val="17"/>
                <w:color w:val="auto"/>
              </w:rPr>
            </w:pPr>
          </w:p>
        </w:tc>
        <w:tc>
          <w:tcPr>
            <w:tcW w:w="400" w:type="dxa"/>
            <w:vAlign w:val="bottom"/>
            <w:gridSpan w:val="6"/>
          </w:tcPr>
          <w:p>
            <w:pPr>
              <w:spacing w:after="0"/>
              <w:rPr>
                <w:sz w:val="17"/>
                <w:szCs w:val="17"/>
                <w:color w:val="auto"/>
              </w:rPr>
            </w:pPr>
          </w:p>
        </w:tc>
        <w:tc>
          <w:tcPr>
            <w:tcW w:w="680" w:type="dxa"/>
            <w:vAlign w:val="bottom"/>
            <w:tcBorders>
              <w:top w:val="single" w:sz="8" w:color="auto"/>
            </w:tcBorders>
            <w:gridSpan w:val="2"/>
          </w:tcPr>
          <w:p>
            <w:pPr>
              <w:spacing w:after="0"/>
              <w:rPr>
                <w:sz w:val="17"/>
                <w:szCs w:val="17"/>
                <w:color w:val="auto"/>
              </w:rPr>
            </w:pPr>
          </w:p>
        </w:tc>
        <w:tc>
          <w:tcPr>
            <w:tcW w:w="160" w:type="dxa"/>
            <w:vAlign w:val="bottom"/>
            <w:gridSpan w:val="4"/>
          </w:tcPr>
          <w:p>
            <w:pPr>
              <w:spacing w:after="0"/>
              <w:rPr>
                <w:sz w:val="17"/>
                <w:szCs w:val="17"/>
                <w:color w:val="auto"/>
              </w:rPr>
            </w:pPr>
          </w:p>
        </w:tc>
        <w:tc>
          <w:tcPr>
            <w:tcW w:w="740" w:type="dxa"/>
            <w:vAlign w:val="bottom"/>
            <w:tcBorders>
              <w:top w:val="single" w:sz="8" w:color="auto"/>
            </w:tcBorders>
            <w:gridSpan w:val="2"/>
          </w:tcPr>
          <w:p>
            <w:pPr>
              <w:spacing w:after="0"/>
              <w:rPr>
                <w:sz w:val="17"/>
                <w:szCs w:val="17"/>
                <w:color w:val="auto"/>
              </w:rPr>
            </w:pPr>
          </w:p>
        </w:tc>
        <w:tc>
          <w:tcPr>
            <w:tcW w:w="340" w:type="dxa"/>
            <w:vAlign w:val="bottom"/>
            <w:gridSpan w:val="4"/>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00" w:type="dxa"/>
            <w:vAlign w:val="bottom"/>
            <w:gridSpan w:val="4"/>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00" w:type="dxa"/>
            <w:vAlign w:val="bottom"/>
            <w:gridSpan w:val="6"/>
          </w:tcPr>
          <w:p>
            <w:pPr>
              <w:spacing w:after="0"/>
              <w:rPr>
                <w:sz w:val="17"/>
                <w:szCs w:val="17"/>
                <w:color w:val="auto"/>
              </w:rPr>
            </w:pPr>
          </w:p>
        </w:tc>
        <w:tc>
          <w:tcPr>
            <w:tcW w:w="660" w:type="dxa"/>
            <w:vAlign w:val="bottom"/>
            <w:tcBorders>
              <w:top w:val="single" w:sz="8" w:color="auto"/>
            </w:tcBorders>
            <w:gridSpan w:val="2"/>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180"/>
              <w:spacing w:after="0"/>
              <w:rPr>
                <w:sz w:val="20"/>
                <w:szCs w:val="20"/>
                <w:color w:val="auto"/>
              </w:rPr>
            </w:pPr>
            <w:r>
              <w:rPr>
                <w:rFonts w:ascii="Arial" w:cs="Arial" w:eastAsia="Arial" w:hAnsi="Arial"/>
                <w:sz w:val="18"/>
                <w:szCs w:val="18"/>
                <w:b w:val="1"/>
                <w:bCs w:val="1"/>
                <w:color w:val="auto"/>
              </w:rPr>
              <w:t>(unaudited)</w:t>
            </w:r>
          </w:p>
        </w:tc>
        <w:tc>
          <w:tcPr>
            <w:tcW w:w="120" w:type="dxa"/>
            <w:vAlign w:val="bottom"/>
            <w:gridSpan w:val="3"/>
          </w:tcPr>
          <w:p>
            <w:pPr>
              <w:spacing w:after="0"/>
              <w:rPr>
                <w:sz w:val="20"/>
                <w:szCs w:val="20"/>
                <w:color w:val="auto"/>
              </w:rPr>
            </w:pPr>
          </w:p>
        </w:tc>
        <w:tc>
          <w:tcPr>
            <w:tcW w:w="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24,032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8"/>
          </w:tcPr>
          <w:p>
            <w:pPr>
              <w:jc w:val="right"/>
              <w:ind w:right="46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w w:val="97"/>
              </w:rPr>
              <w:t>25,238,591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gridSpan w:val="3"/>
          </w:tcPr>
          <w:p>
            <w:pPr>
              <w:ind w:left="260"/>
              <w:spacing w:after="0"/>
              <w:rPr>
                <w:sz w:val="20"/>
                <w:szCs w:val="20"/>
                <w:color w:val="auto"/>
              </w:rPr>
            </w:pPr>
            <w:r>
              <w:rPr>
                <w:rFonts w:ascii="Arial" w:cs="Arial" w:eastAsia="Arial" w:hAnsi="Arial"/>
                <w:sz w:val="18"/>
                <w:szCs w:val="18"/>
                <w:b w:val="1"/>
                <w:bCs w:val="1"/>
                <w:color w:val="auto"/>
                <w:w w:val="79"/>
              </w:rPr>
              <w:t>$</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6"/>
          </w:tcPr>
          <w:p>
            <w:pPr>
              <w:jc w:val="right"/>
              <w:ind w:right="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679,347</w:t>
            </w:r>
          </w:p>
        </w:tc>
        <w:tc>
          <w:tcPr>
            <w:tcW w:w="940" w:type="dxa"/>
            <w:vAlign w:val="bottom"/>
            <w:gridSpan w:val="6"/>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(672,906)</w:t>
            </w:r>
          </w:p>
        </w:tc>
        <w:tc>
          <w:tcPr>
            <w:tcW w:w="94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$ 6,443</w:t>
            </w:r>
          </w:p>
        </w:tc>
        <w:tc>
          <w:tcPr>
            <w:tcW w:w="80" w:type="dxa"/>
            <w:vAlign w:val="bottom"/>
          </w:tcPr>
          <w:p>
            <w:pPr>
              <w:spacing w:after="0"/>
              <w:rPr>
                <w:sz w:val="20"/>
                <w:szCs w:val="20"/>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55,119</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8"/>
              </w:rPr>
              <w:t>61,562</w:t>
            </w:r>
          </w:p>
        </w:tc>
        <w:tc>
          <w:tcPr>
            <w:tcW w:w="0" w:type="dxa"/>
            <w:vAlign w:val="bottom"/>
          </w:tcPr>
          <w:p>
            <w:pPr>
              <w:spacing w:after="0"/>
              <w:rPr>
                <w:sz w:val="1"/>
                <w:szCs w:val="1"/>
                <w:color w:val="auto"/>
              </w:rPr>
            </w:pPr>
          </w:p>
        </w:tc>
      </w:tr>
      <w:tr>
        <w:trPr>
          <w:trHeight w:val="27"/>
        </w:trPr>
        <w:tc>
          <w:tcPr>
            <w:tcW w:w="2760" w:type="dxa"/>
            <w:vAlign w:val="bottom"/>
            <w:tcBorders>
              <w:right w:val="single" w:sz="8" w:color="auto"/>
            </w:tcBorders>
            <w:gridSpan w:val="6"/>
          </w:tcPr>
          <w:p>
            <w:pPr>
              <w:spacing w:after="0"/>
              <w:rPr>
                <w:sz w:val="2"/>
                <w:szCs w:val="2"/>
                <w:color w:val="auto"/>
              </w:rPr>
            </w:pPr>
          </w:p>
        </w:tc>
        <w:tc>
          <w:tcPr>
            <w:tcW w:w="2020" w:type="dxa"/>
            <w:vAlign w:val="bottom"/>
            <w:tcBorders>
              <w:right w:val="single" w:sz="8" w:color="auto"/>
            </w:tcBorders>
            <w:gridSpan w:val="14"/>
          </w:tcPr>
          <w:p>
            <w:pPr>
              <w:spacing w:after="0"/>
              <w:rPr>
                <w:sz w:val="2"/>
                <w:szCs w:val="2"/>
                <w:color w:val="auto"/>
              </w:rPr>
            </w:pPr>
          </w:p>
        </w:tc>
        <w:tc>
          <w:tcPr>
            <w:tcW w:w="1880" w:type="dxa"/>
            <w:vAlign w:val="bottom"/>
            <w:tcBorders>
              <w:right w:val="single" w:sz="8" w:color="auto"/>
            </w:tcBorders>
            <w:gridSpan w:val="16"/>
          </w:tcPr>
          <w:p>
            <w:pPr>
              <w:spacing w:after="0"/>
              <w:rPr>
                <w:sz w:val="2"/>
                <w:szCs w:val="2"/>
                <w:color w:val="auto"/>
              </w:rPr>
            </w:pPr>
          </w:p>
        </w:tc>
        <w:tc>
          <w:tcPr>
            <w:tcW w:w="900" w:type="dxa"/>
            <w:vAlign w:val="bottom"/>
            <w:tcBorders>
              <w:right w:val="single" w:sz="8" w:color="auto"/>
            </w:tcBorders>
            <w:gridSpan w:val="6"/>
          </w:tcPr>
          <w:p>
            <w:pPr>
              <w:spacing w:after="0"/>
              <w:rPr>
                <w:sz w:val="2"/>
                <w:szCs w:val="2"/>
                <w:color w:val="auto"/>
              </w:rPr>
            </w:pPr>
          </w:p>
        </w:tc>
        <w:tc>
          <w:tcPr>
            <w:tcW w:w="920" w:type="dxa"/>
            <w:vAlign w:val="bottom"/>
            <w:tcBorders>
              <w:right w:val="single" w:sz="8" w:color="auto"/>
            </w:tcBorders>
            <w:gridSpan w:val="5"/>
          </w:tcPr>
          <w:p>
            <w:pPr>
              <w:spacing w:after="0"/>
              <w:rPr>
                <w:sz w:val="2"/>
                <w:szCs w:val="2"/>
                <w:color w:val="auto"/>
              </w:rPr>
            </w:pPr>
          </w:p>
        </w:tc>
        <w:tc>
          <w:tcPr>
            <w:tcW w:w="1800" w:type="dxa"/>
            <w:vAlign w:val="bottom"/>
            <w:tcBorders>
              <w:right w:val="single" w:sz="8" w:color="auto"/>
            </w:tcBorders>
            <w:gridSpan w:val="11"/>
          </w:tcPr>
          <w:p>
            <w:pPr>
              <w:spacing w:after="0"/>
              <w:rPr>
                <w:sz w:val="2"/>
                <w:szCs w:val="2"/>
                <w:color w:val="auto"/>
              </w:rPr>
            </w:pPr>
          </w:p>
        </w:tc>
        <w:tc>
          <w:tcPr>
            <w:tcW w:w="740" w:type="dxa"/>
            <w:vAlign w:val="bottom"/>
            <w:gridSpan w:val="3"/>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gridSpan w:val="5"/>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gridSpan w:val="3"/>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w:t>
            </w:r>
          </w:p>
        </w:tc>
        <w:tc>
          <w:tcPr>
            <w:tcW w:w="260" w:type="dxa"/>
            <w:vAlign w:val="bottom"/>
            <w:gridSpan w:val="3"/>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gridSpan w:val="3"/>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44,960</w:t>
            </w: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44,960</w:t>
            </w:r>
          </w:p>
        </w:tc>
        <w:tc>
          <w:tcPr>
            <w:tcW w:w="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2,318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47,278</w:t>
            </w:r>
          </w:p>
        </w:tc>
        <w:tc>
          <w:tcPr>
            <w:tcW w:w="0" w:type="dxa"/>
            <w:vAlign w:val="bottom"/>
          </w:tcPr>
          <w:p>
            <w:pPr>
              <w:spacing w:after="0"/>
              <w:rPr>
                <w:sz w:val="1"/>
                <w:szCs w:val="1"/>
                <w:color w:val="auto"/>
              </w:rPr>
            </w:pPr>
          </w:p>
        </w:tc>
      </w:tr>
      <w:tr>
        <w:trPr>
          <w:trHeight w:val="202"/>
        </w:trPr>
        <w:tc>
          <w:tcPr>
            <w:tcW w:w="11020" w:type="dxa"/>
            <w:vAlign w:val="bottom"/>
            <w:gridSpan w:val="61"/>
          </w:tcPr>
          <w:p>
            <w:pPr>
              <w:spacing w:after="0" w:line="201" w:lineRule="exact"/>
              <w:rPr>
                <w:sz w:val="20"/>
                <w:szCs w:val="20"/>
                <w:color w:val="auto"/>
              </w:rPr>
            </w:pPr>
            <w:r>
              <w:rPr>
                <w:rFonts w:ascii="Arial" w:cs="Arial" w:eastAsia="Arial" w:hAnsi="Arial"/>
                <w:sz w:val="18"/>
                <w:szCs w:val="18"/>
                <w:color w:val="auto"/>
                <w:w w:val="94"/>
              </w:rPr>
              <w:t>Stock-based compensation</w:t>
            </w:r>
          </w:p>
        </w:tc>
        <w:tc>
          <w:tcPr>
            <w:tcW w:w="0" w:type="dxa"/>
            <w:vAlign w:val="bottom"/>
          </w:tcPr>
          <w:p>
            <w:pPr>
              <w:spacing w:after="0"/>
              <w:rPr>
                <w:sz w:val="1"/>
                <w:szCs w:val="1"/>
                <w:color w:val="auto"/>
              </w:rPr>
            </w:pPr>
          </w:p>
        </w:tc>
      </w:tr>
      <w:tr>
        <w:trPr>
          <w:trHeight w:val="230"/>
        </w:trPr>
        <w:tc>
          <w:tcPr>
            <w:tcW w:w="2080" w:type="dxa"/>
            <w:vAlign w:val="bottom"/>
          </w:tcPr>
          <w:p>
            <w:pPr>
              <w:ind w:left="180"/>
              <w:spacing w:after="0"/>
              <w:rPr>
                <w:sz w:val="20"/>
                <w:szCs w:val="20"/>
                <w:color w:val="auto"/>
              </w:rPr>
            </w:pPr>
            <w:r>
              <w:rPr>
                <w:rFonts w:ascii="Arial" w:cs="Arial" w:eastAsia="Arial" w:hAnsi="Arial"/>
                <w:sz w:val="18"/>
                <w:szCs w:val="18"/>
                <w:color w:val="auto"/>
              </w:rPr>
              <w:t>expenses (Note 10)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7"/>
          </w:tcPr>
          <w:p>
            <w:pPr>
              <w:jc w:val="right"/>
              <w:ind w:righ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20" w:type="dxa"/>
            <w:vAlign w:val="bottom"/>
            <w:gridSpan w:val="5"/>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5"/>
          </w:tcPr>
          <w:p>
            <w:pPr>
              <w:jc w:val="right"/>
              <w:ind w:right="360"/>
              <w:spacing w:after="0"/>
              <w:rPr>
                <w:sz w:val="20"/>
                <w:szCs w:val="20"/>
                <w:color w:val="auto"/>
              </w:rPr>
            </w:pPr>
            <w:r>
              <w:rPr>
                <w:rFonts w:ascii="Arial" w:cs="Arial" w:eastAsia="Arial" w:hAnsi="Arial"/>
                <w:sz w:val="18"/>
                <w:szCs w:val="18"/>
                <w:color w:val="auto"/>
                <w:w w:val="88"/>
              </w:rPr>
              <w:t>—</w:t>
            </w:r>
          </w:p>
        </w:tc>
        <w:tc>
          <w:tcPr>
            <w:tcW w:w="840" w:type="dxa"/>
            <w:vAlign w:val="bottom"/>
            <w:gridSpan w:val="6"/>
          </w:tcPr>
          <w:p>
            <w:pPr>
              <w:jc w:val="right"/>
              <w:ind w:right="2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5"/>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7"/>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8"/>
        </w:trPr>
        <w:tc>
          <w:tcPr>
            <w:tcW w:w="2760" w:type="dxa"/>
            <w:vAlign w:val="bottom"/>
            <w:tcBorders>
              <w:right w:val="single" w:sz="8" w:color="CCEEFF"/>
            </w:tcBorders>
            <w:gridSpan w:val="6"/>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June 30, 2022</w:t>
            </w:r>
          </w:p>
        </w:tc>
        <w:tc>
          <w:tcPr>
            <w:tcW w:w="2020" w:type="dxa"/>
            <w:vAlign w:val="bottom"/>
            <w:tcBorders>
              <w:right w:val="single" w:sz="8" w:color="CCEEFF"/>
            </w:tcBorders>
            <w:gridSpan w:val="14"/>
            <w:shd w:val="clear" w:color="auto" w:fill="CCEEFF"/>
          </w:tcPr>
          <w:p>
            <w:pPr>
              <w:spacing w:after="0"/>
              <w:rPr>
                <w:sz w:val="17"/>
                <w:szCs w:val="17"/>
                <w:color w:val="auto"/>
              </w:rPr>
            </w:pPr>
          </w:p>
        </w:tc>
        <w:tc>
          <w:tcPr>
            <w:tcW w:w="1880" w:type="dxa"/>
            <w:vAlign w:val="bottom"/>
            <w:tcBorders>
              <w:right w:val="single" w:sz="8" w:color="CCEEFF"/>
            </w:tcBorders>
            <w:gridSpan w:val="16"/>
            <w:shd w:val="clear" w:color="auto" w:fill="CCEEFF"/>
          </w:tcPr>
          <w:p>
            <w:pPr>
              <w:spacing w:after="0"/>
              <w:rPr>
                <w:sz w:val="17"/>
                <w:szCs w:val="17"/>
                <w:color w:val="auto"/>
              </w:rPr>
            </w:pPr>
          </w:p>
        </w:tc>
        <w:tc>
          <w:tcPr>
            <w:tcW w:w="900" w:type="dxa"/>
            <w:vAlign w:val="bottom"/>
            <w:tcBorders>
              <w:right w:val="single" w:sz="8" w:color="CCEEFF"/>
            </w:tcBorders>
            <w:gridSpan w:val="6"/>
            <w:shd w:val="clear" w:color="auto" w:fill="CCEEFF"/>
          </w:tcPr>
          <w:p>
            <w:pPr>
              <w:spacing w:after="0"/>
              <w:rPr>
                <w:sz w:val="17"/>
                <w:szCs w:val="17"/>
                <w:color w:val="auto"/>
              </w:rPr>
            </w:pPr>
          </w:p>
        </w:tc>
        <w:tc>
          <w:tcPr>
            <w:tcW w:w="920" w:type="dxa"/>
            <w:vAlign w:val="bottom"/>
            <w:tcBorders>
              <w:right w:val="single" w:sz="8" w:color="CCEEFF"/>
            </w:tcBorders>
            <w:gridSpan w:val="5"/>
            <w:shd w:val="clear" w:color="auto" w:fill="CCEEFF"/>
          </w:tcPr>
          <w:p>
            <w:pPr>
              <w:spacing w:after="0"/>
              <w:rPr>
                <w:sz w:val="17"/>
                <w:szCs w:val="17"/>
                <w:color w:val="auto"/>
              </w:rPr>
            </w:pPr>
          </w:p>
        </w:tc>
        <w:tc>
          <w:tcPr>
            <w:tcW w:w="1800" w:type="dxa"/>
            <w:vAlign w:val="bottom"/>
            <w:tcBorders>
              <w:right w:val="single" w:sz="8" w:color="CCEEFF"/>
            </w:tcBorders>
            <w:gridSpan w:val="11"/>
            <w:shd w:val="clear" w:color="auto" w:fill="CCEEFF"/>
          </w:tcPr>
          <w:p>
            <w:pPr>
              <w:spacing w:after="0"/>
              <w:rPr>
                <w:sz w:val="17"/>
                <w:szCs w:val="17"/>
                <w:color w:val="auto"/>
              </w:rPr>
            </w:pPr>
          </w:p>
        </w:tc>
        <w:tc>
          <w:tcPr>
            <w:tcW w:w="740" w:type="dxa"/>
            <w:vAlign w:val="bottom"/>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(unaudited)</w:t>
            </w:r>
          </w:p>
        </w:tc>
        <w:tc>
          <w:tcPr>
            <w:tcW w:w="700" w:type="dxa"/>
            <w:vAlign w:val="bottom"/>
            <w:gridSpan w:val="6"/>
            <w:shd w:val="clear" w:color="auto" w:fill="CCEEFF"/>
          </w:tcPr>
          <w:p>
            <w:pPr>
              <w:jc w:val="center"/>
              <w:ind w:left="73"/>
              <w:spacing w:after="0"/>
              <w:rPr>
                <w:sz w:val="20"/>
                <w:szCs w:val="20"/>
                <w:color w:val="auto"/>
              </w:rPr>
            </w:pPr>
            <w:r>
              <w:rPr>
                <w:rFonts w:ascii="Arial" w:cs="Arial" w:eastAsia="Arial" w:hAnsi="Arial"/>
                <w:sz w:val="18"/>
                <w:szCs w:val="18"/>
                <w:b w:val="1"/>
                <w:bCs w:val="1"/>
                <w:color w:val="auto"/>
                <w:w w:val="90"/>
              </w:rPr>
              <w:t>24,032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8"/>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25,238,591</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$679,391</w:t>
            </w:r>
          </w:p>
        </w:tc>
        <w:tc>
          <w:tcPr>
            <w:tcW w:w="94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$(627,946)</w:t>
            </w:r>
          </w:p>
        </w:tc>
        <w:tc>
          <w:tcPr>
            <w:tcW w:w="9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$51,447</w:t>
            </w:r>
          </w:p>
        </w:tc>
        <w:tc>
          <w:tcPr>
            <w:tcW w:w="80" w:type="dxa"/>
            <w:vAlign w:val="bottom"/>
            <w:shd w:val="clear" w:color="auto" w:fill="CCEEFF"/>
          </w:tcPr>
          <w:p>
            <w:pPr>
              <w:spacing w:after="0"/>
              <w:rPr>
                <w:sz w:val="20"/>
                <w:szCs w:val="20"/>
                <w:color w:val="auto"/>
              </w:rPr>
            </w:pP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$57,437</w:t>
            </w: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5"/>
              </w:rPr>
              <w:t>$108,884</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Net income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7"/>
          </w:tcPr>
          <w:p>
            <w:pPr>
              <w:jc w:val="right"/>
              <w:ind w:righ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20" w:type="dxa"/>
            <w:vAlign w:val="bottom"/>
            <w:gridSpan w:val="5"/>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5"/>
          </w:tcPr>
          <w:p>
            <w:pPr>
              <w:jc w:val="right"/>
              <w:ind w:right="3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6"/>
          </w:tcPr>
          <w:p>
            <w:pPr>
              <w:jc w:val="right"/>
              <w:ind w:right="60"/>
              <w:spacing w:after="0"/>
              <w:rPr>
                <w:sz w:val="20"/>
                <w:szCs w:val="20"/>
                <w:color w:val="auto"/>
              </w:rPr>
            </w:pPr>
            <w:r>
              <w:rPr>
                <w:rFonts w:ascii="Arial" w:cs="Arial" w:eastAsia="Arial" w:hAnsi="Arial"/>
                <w:sz w:val="18"/>
                <w:szCs w:val="18"/>
                <w:color w:val="auto"/>
              </w:rPr>
              <w:t>38,958</w:t>
            </w:r>
          </w:p>
        </w:tc>
        <w:tc>
          <w:tcPr>
            <w:tcW w:w="940" w:type="dxa"/>
            <w:vAlign w:val="bottom"/>
            <w:gridSpan w:val="5"/>
          </w:tcPr>
          <w:p>
            <w:pPr>
              <w:jc w:val="right"/>
              <w:ind w:right="80"/>
              <w:spacing w:after="0"/>
              <w:rPr>
                <w:sz w:val="20"/>
                <w:szCs w:val="20"/>
                <w:color w:val="auto"/>
              </w:rPr>
            </w:pPr>
            <w:r>
              <w:rPr>
                <w:rFonts w:ascii="Arial" w:cs="Arial" w:eastAsia="Arial" w:hAnsi="Arial"/>
                <w:sz w:val="18"/>
                <w:szCs w:val="18"/>
                <w:color w:val="auto"/>
              </w:rPr>
              <w:t>38,958</w:t>
            </w:r>
          </w:p>
        </w:tc>
        <w:tc>
          <w:tcPr>
            <w:tcW w:w="80" w:type="dxa"/>
            <w:vAlign w:val="bottom"/>
          </w:tcPr>
          <w:p>
            <w:pPr>
              <w:spacing w:after="0"/>
              <w:rPr>
                <w:sz w:val="18"/>
                <w:szCs w:val="18"/>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597</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39,555</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Cancellation of shares</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7"/>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(37,878)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7"/>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1020" w:type="dxa"/>
            <w:vAlign w:val="bottom"/>
            <w:gridSpan w:val="61"/>
          </w:tcPr>
          <w:p>
            <w:pPr>
              <w:spacing w:after="0" w:line="201" w:lineRule="exact"/>
              <w:rPr>
                <w:sz w:val="20"/>
                <w:szCs w:val="20"/>
                <w:color w:val="auto"/>
              </w:rPr>
            </w:pPr>
            <w:r>
              <w:rPr>
                <w:rFonts w:ascii="Arial" w:cs="Arial" w:eastAsia="Arial" w:hAnsi="Arial"/>
                <w:sz w:val="18"/>
                <w:szCs w:val="18"/>
                <w:color w:val="auto"/>
                <w:w w:val="94"/>
              </w:rPr>
              <w:t>Stock-based compensation</w:t>
            </w:r>
          </w:p>
        </w:tc>
        <w:tc>
          <w:tcPr>
            <w:tcW w:w="0" w:type="dxa"/>
            <w:vAlign w:val="bottom"/>
          </w:tcPr>
          <w:p>
            <w:pPr>
              <w:spacing w:after="0"/>
              <w:rPr>
                <w:sz w:val="1"/>
                <w:szCs w:val="1"/>
                <w:color w:val="auto"/>
              </w:rPr>
            </w:pPr>
          </w:p>
        </w:tc>
      </w:tr>
      <w:tr>
        <w:trPr>
          <w:trHeight w:val="237"/>
        </w:trPr>
        <w:tc>
          <w:tcPr>
            <w:tcW w:w="2080" w:type="dxa"/>
            <w:vAlign w:val="bottom"/>
          </w:tcPr>
          <w:p>
            <w:pPr>
              <w:ind w:left="180"/>
              <w:spacing w:after="0"/>
              <w:rPr>
                <w:sz w:val="20"/>
                <w:szCs w:val="20"/>
                <w:color w:val="auto"/>
              </w:rPr>
            </w:pPr>
            <w:r>
              <w:rPr>
                <w:rFonts w:ascii="Arial" w:cs="Arial" w:eastAsia="Arial" w:hAnsi="Arial"/>
                <w:sz w:val="18"/>
                <w:szCs w:val="18"/>
                <w:color w:val="auto"/>
              </w:rPr>
              <w:t>expenses (Note 10)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7"/>
          </w:tcPr>
          <w:p>
            <w:pPr>
              <w:jc w:val="right"/>
              <w:ind w:righ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20" w:type="dxa"/>
            <w:vAlign w:val="bottom"/>
            <w:gridSpan w:val="5"/>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5"/>
          </w:tcPr>
          <w:p>
            <w:pPr>
              <w:jc w:val="right"/>
              <w:ind w:right="360"/>
              <w:spacing w:after="0"/>
              <w:rPr>
                <w:sz w:val="20"/>
                <w:szCs w:val="20"/>
                <w:color w:val="auto"/>
              </w:rPr>
            </w:pPr>
            <w:r>
              <w:rPr>
                <w:rFonts w:ascii="Arial" w:cs="Arial" w:eastAsia="Arial" w:hAnsi="Arial"/>
                <w:sz w:val="18"/>
                <w:szCs w:val="18"/>
                <w:color w:val="auto"/>
                <w:w w:val="88"/>
              </w:rPr>
              <w:t>—</w:t>
            </w:r>
          </w:p>
        </w:tc>
        <w:tc>
          <w:tcPr>
            <w:tcW w:w="840" w:type="dxa"/>
            <w:vAlign w:val="bottom"/>
            <w:gridSpan w:val="6"/>
          </w:tcPr>
          <w:p>
            <w:pPr>
              <w:jc w:val="right"/>
              <w:ind w:right="2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5"/>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7"/>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8"/>
        </w:trPr>
        <w:tc>
          <w:tcPr>
            <w:tcW w:w="2200" w:type="dxa"/>
            <w:vAlign w:val="bottom"/>
            <w:gridSpan w:val="4"/>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September 30,</w:t>
            </w:r>
          </w:p>
        </w:tc>
        <w:tc>
          <w:tcPr>
            <w:tcW w:w="560" w:type="dxa"/>
            <w:vAlign w:val="bottom"/>
            <w:tcBorders>
              <w:top w:val="single" w:sz="8" w:color="auto"/>
              <w:right w:val="single" w:sz="8" w:color="CCEEFF"/>
            </w:tcBorders>
            <w:gridSpan w:val="2"/>
            <w:shd w:val="clear" w:color="auto" w:fill="CCEEFF"/>
          </w:tcPr>
          <w:p>
            <w:pPr>
              <w:spacing w:after="0"/>
              <w:rPr>
                <w:sz w:val="17"/>
                <w:szCs w:val="17"/>
                <w:color w:val="auto"/>
              </w:rPr>
            </w:pPr>
          </w:p>
        </w:tc>
        <w:tc>
          <w:tcPr>
            <w:tcW w:w="380" w:type="dxa"/>
            <w:vAlign w:val="bottom"/>
            <w:gridSpan w:val="4"/>
            <w:shd w:val="clear" w:color="auto" w:fill="CCEEFF"/>
          </w:tcPr>
          <w:p>
            <w:pPr>
              <w:spacing w:after="0"/>
              <w:rPr>
                <w:sz w:val="17"/>
                <w:szCs w:val="17"/>
                <w:color w:val="auto"/>
              </w:rPr>
            </w:pPr>
          </w:p>
        </w:tc>
        <w:tc>
          <w:tcPr>
            <w:tcW w:w="360" w:type="dxa"/>
            <w:vAlign w:val="bottom"/>
            <w:tcBorders>
              <w:top w:val="single" w:sz="8" w:color="auto"/>
            </w:tcBorders>
            <w:gridSpan w:val="2"/>
            <w:shd w:val="clear" w:color="auto" w:fill="CCEEFF"/>
          </w:tcPr>
          <w:p>
            <w:pPr>
              <w:spacing w:after="0"/>
              <w:rPr>
                <w:sz w:val="17"/>
                <w:szCs w:val="17"/>
                <w:color w:val="auto"/>
              </w:rPr>
            </w:pPr>
          </w:p>
        </w:tc>
        <w:tc>
          <w:tcPr>
            <w:tcW w:w="420" w:type="dxa"/>
            <w:vAlign w:val="bottom"/>
            <w:gridSpan w:val="6"/>
            <w:shd w:val="clear" w:color="auto" w:fill="CCEEFF"/>
          </w:tcPr>
          <w:p>
            <w:pPr>
              <w:spacing w:after="0"/>
              <w:rPr>
                <w:sz w:val="17"/>
                <w:szCs w:val="17"/>
                <w:color w:val="auto"/>
              </w:rPr>
            </w:pPr>
          </w:p>
        </w:tc>
        <w:tc>
          <w:tcPr>
            <w:tcW w:w="860" w:type="dxa"/>
            <w:vAlign w:val="bottom"/>
            <w:tcBorders>
              <w:top w:val="single" w:sz="8" w:color="auto"/>
              <w:right w:val="single" w:sz="8" w:color="CCEEFF"/>
            </w:tcBorders>
            <w:gridSpan w:val="2"/>
            <w:shd w:val="clear" w:color="auto" w:fill="CCEEFF"/>
          </w:tcPr>
          <w:p>
            <w:pPr>
              <w:spacing w:after="0"/>
              <w:rPr>
                <w:sz w:val="17"/>
                <w:szCs w:val="17"/>
                <w:color w:val="auto"/>
              </w:rPr>
            </w:pPr>
          </w:p>
        </w:tc>
        <w:tc>
          <w:tcPr>
            <w:tcW w:w="420" w:type="dxa"/>
            <w:vAlign w:val="bottom"/>
            <w:gridSpan w:val="5"/>
            <w:shd w:val="clear" w:color="auto" w:fill="CCEEFF"/>
          </w:tcPr>
          <w:p>
            <w:pPr>
              <w:spacing w:after="0"/>
              <w:rPr>
                <w:sz w:val="17"/>
                <w:szCs w:val="17"/>
                <w:color w:val="auto"/>
              </w:rPr>
            </w:pPr>
          </w:p>
        </w:tc>
        <w:tc>
          <w:tcPr>
            <w:tcW w:w="380" w:type="dxa"/>
            <w:vAlign w:val="bottom"/>
            <w:tcBorders>
              <w:top w:val="single" w:sz="8" w:color="auto"/>
            </w:tcBorders>
            <w:gridSpan w:val="3"/>
            <w:shd w:val="clear" w:color="auto" w:fill="CCEEFF"/>
          </w:tcPr>
          <w:p>
            <w:pPr>
              <w:spacing w:after="0"/>
              <w:rPr>
                <w:sz w:val="17"/>
                <w:szCs w:val="17"/>
                <w:color w:val="auto"/>
              </w:rPr>
            </w:pPr>
          </w:p>
        </w:tc>
        <w:tc>
          <w:tcPr>
            <w:tcW w:w="400" w:type="dxa"/>
            <w:vAlign w:val="bottom"/>
            <w:gridSpan w:val="6"/>
            <w:shd w:val="clear" w:color="auto" w:fill="CCEEFF"/>
          </w:tcPr>
          <w:p>
            <w:pPr>
              <w:spacing w:after="0"/>
              <w:rPr>
                <w:sz w:val="17"/>
                <w:szCs w:val="17"/>
                <w:color w:val="auto"/>
              </w:rPr>
            </w:pPr>
          </w:p>
        </w:tc>
        <w:tc>
          <w:tcPr>
            <w:tcW w:w="680" w:type="dxa"/>
            <w:vAlign w:val="bottom"/>
            <w:tcBorders>
              <w:top w:val="single" w:sz="8" w:color="auto"/>
              <w:right w:val="single" w:sz="8" w:color="CCEEFF"/>
            </w:tcBorders>
            <w:gridSpan w:val="2"/>
            <w:shd w:val="clear" w:color="auto" w:fill="CCEEFF"/>
          </w:tcPr>
          <w:p>
            <w:pPr>
              <w:spacing w:after="0"/>
              <w:rPr>
                <w:sz w:val="17"/>
                <w:szCs w:val="17"/>
                <w:color w:val="auto"/>
              </w:rPr>
            </w:pPr>
          </w:p>
        </w:tc>
        <w:tc>
          <w:tcPr>
            <w:tcW w:w="160" w:type="dxa"/>
            <w:vAlign w:val="bottom"/>
            <w:gridSpan w:val="4"/>
            <w:shd w:val="clear" w:color="auto" w:fill="CCEEFF"/>
          </w:tcPr>
          <w:p>
            <w:pPr>
              <w:spacing w:after="0"/>
              <w:rPr>
                <w:sz w:val="17"/>
                <w:szCs w:val="17"/>
                <w:color w:val="auto"/>
              </w:rPr>
            </w:pPr>
          </w:p>
        </w:tc>
        <w:tc>
          <w:tcPr>
            <w:tcW w:w="740" w:type="dxa"/>
            <w:vAlign w:val="bottom"/>
            <w:tcBorders>
              <w:top w:val="single" w:sz="8" w:color="auto"/>
              <w:right w:val="single" w:sz="8" w:color="CCEEFF"/>
            </w:tcBorders>
            <w:gridSpan w:val="2"/>
            <w:shd w:val="clear" w:color="auto" w:fill="CCEEFF"/>
          </w:tcPr>
          <w:p>
            <w:pPr>
              <w:spacing w:after="0"/>
              <w:rPr>
                <w:sz w:val="17"/>
                <w:szCs w:val="17"/>
                <w:color w:val="auto"/>
              </w:rPr>
            </w:pPr>
          </w:p>
        </w:tc>
        <w:tc>
          <w:tcPr>
            <w:tcW w:w="340" w:type="dxa"/>
            <w:vAlign w:val="bottom"/>
            <w:gridSpan w:val="4"/>
            <w:shd w:val="clear" w:color="auto" w:fill="CCEEFF"/>
          </w:tcPr>
          <w:p>
            <w:pPr>
              <w:spacing w:after="0"/>
              <w:rPr>
                <w:sz w:val="17"/>
                <w:szCs w:val="17"/>
                <w:color w:val="auto"/>
              </w:rPr>
            </w:pPr>
          </w:p>
        </w:tc>
        <w:tc>
          <w:tcPr>
            <w:tcW w:w="580" w:type="dxa"/>
            <w:vAlign w:val="bottom"/>
            <w:tcBorders>
              <w:top w:val="single" w:sz="8" w:color="auto"/>
              <w:right w:val="single" w:sz="8" w:color="CCEEFF"/>
            </w:tcBorders>
            <w:shd w:val="clear" w:color="auto" w:fill="CCEEFF"/>
          </w:tcPr>
          <w:p>
            <w:pPr>
              <w:spacing w:after="0"/>
              <w:rPr>
                <w:sz w:val="17"/>
                <w:szCs w:val="17"/>
                <w:color w:val="auto"/>
              </w:rPr>
            </w:pPr>
          </w:p>
        </w:tc>
        <w:tc>
          <w:tcPr>
            <w:tcW w:w="600" w:type="dxa"/>
            <w:vAlign w:val="bottom"/>
            <w:gridSpan w:val="4"/>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0" w:type="dxa"/>
            <w:vAlign w:val="bottom"/>
            <w:tcBorders>
              <w:right w:val="single" w:sz="8" w:color="CCEEFF"/>
            </w:tcBorders>
            <w:gridSpan w:val="6"/>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2022 (unaudited)</w:t>
            </w:r>
          </w:p>
        </w:tc>
        <w:tc>
          <w:tcPr>
            <w:tcW w:w="120" w:type="dxa"/>
            <w:vAlign w:val="bottom"/>
            <w:gridSpan w:val="3"/>
            <w:shd w:val="clear" w:color="auto" w:fill="CCEEFF"/>
          </w:tcPr>
          <w:p>
            <w:pPr>
              <w:spacing w:after="0"/>
              <w:rPr>
                <w:sz w:val="20"/>
                <w:szCs w:val="20"/>
                <w:color w:val="auto"/>
              </w:rPr>
            </w:pPr>
          </w:p>
        </w:tc>
        <w:tc>
          <w:tcPr>
            <w:tcW w:w="58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24,032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8"/>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25,200,713</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679,434</w:t>
            </w:r>
          </w:p>
        </w:tc>
        <w:tc>
          <w:tcPr>
            <w:tcW w:w="94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(588,988)</w:t>
            </w:r>
          </w:p>
        </w:tc>
        <w:tc>
          <w:tcPr>
            <w:tcW w:w="9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90,448</w:t>
            </w:r>
          </w:p>
        </w:tc>
        <w:tc>
          <w:tcPr>
            <w:tcW w:w="80" w:type="dxa"/>
            <w:vAlign w:val="bottom"/>
            <w:shd w:val="clear" w:color="auto" w:fill="CCEEFF"/>
          </w:tcPr>
          <w:p>
            <w:pPr>
              <w:spacing w:after="0"/>
              <w:rPr>
                <w:sz w:val="20"/>
                <w:szCs w:val="20"/>
                <w:color w:val="auto"/>
              </w:rPr>
            </w:pP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58,034</w:t>
            </w: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148,482</w:t>
            </w:r>
          </w:p>
        </w:tc>
        <w:tc>
          <w:tcPr>
            <w:tcW w:w="0" w:type="dxa"/>
            <w:vAlign w:val="bottom"/>
          </w:tcPr>
          <w:p>
            <w:pPr>
              <w:spacing w:after="0"/>
              <w:rPr>
                <w:sz w:val="1"/>
                <w:szCs w:val="1"/>
                <w:color w:val="auto"/>
              </w:rPr>
            </w:pPr>
          </w:p>
        </w:tc>
      </w:tr>
      <w:tr>
        <w:trPr>
          <w:trHeight w:val="20"/>
        </w:trPr>
        <w:tc>
          <w:tcPr>
            <w:tcW w:w="2760" w:type="dxa"/>
            <w:vAlign w:val="bottom"/>
            <w:tcBorders>
              <w:right w:val="single" w:sz="8" w:color="auto"/>
            </w:tcBorders>
            <w:gridSpan w:val="6"/>
          </w:tcPr>
          <w:p>
            <w:pPr>
              <w:spacing w:after="0" w:line="20" w:lineRule="exact"/>
              <w:rPr>
                <w:sz w:val="1"/>
                <w:szCs w:val="1"/>
                <w:color w:val="auto"/>
              </w:rPr>
            </w:pPr>
          </w:p>
        </w:tc>
        <w:tc>
          <w:tcPr>
            <w:tcW w:w="2020" w:type="dxa"/>
            <w:vAlign w:val="bottom"/>
            <w:tcBorders>
              <w:right w:val="single" w:sz="8" w:color="auto"/>
            </w:tcBorders>
            <w:gridSpan w:val="14"/>
          </w:tcPr>
          <w:p>
            <w:pPr>
              <w:spacing w:after="0" w:line="20" w:lineRule="exact"/>
              <w:rPr>
                <w:sz w:val="1"/>
                <w:szCs w:val="1"/>
                <w:color w:val="auto"/>
              </w:rPr>
            </w:pPr>
          </w:p>
        </w:tc>
        <w:tc>
          <w:tcPr>
            <w:tcW w:w="1880" w:type="dxa"/>
            <w:vAlign w:val="bottom"/>
            <w:tcBorders>
              <w:right w:val="single" w:sz="8" w:color="auto"/>
            </w:tcBorders>
            <w:gridSpan w:val="16"/>
          </w:tcPr>
          <w:p>
            <w:pPr>
              <w:spacing w:after="0" w:line="20" w:lineRule="exact"/>
              <w:rPr>
                <w:sz w:val="1"/>
                <w:szCs w:val="1"/>
                <w:color w:val="auto"/>
              </w:rPr>
            </w:pPr>
          </w:p>
        </w:tc>
        <w:tc>
          <w:tcPr>
            <w:tcW w:w="900" w:type="dxa"/>
            <w:vAlign w:val="bottom"/>
            <w:tcBorders>
              <w:right w:val="single" w:sz="8" w:color="auto"/>
            </w:tcBorders>
            <w:gridSpan w:val="6"/>
          </w:tcPr>
          <w:p>
            <w:pPr>
              <w:spacing w:after="0" w:line="20" w:lineRule="exact"/>
              <w:rPr>
                <w:sz w:val="1"/>
                <w:szCs w:val="1"/>
                <w:color w:val="auto"/>
              </w:rPr>
            </w:pPr>
          </w:p>
        </w:tc>
        <w:tc>
          <w:tcPr>
            <w:tcW w:w="920" w:type="dxa"/>
            <w:vAlign w:val="bottom"/>
            <w:tcBorders>
              <w:right w:val="single" w:sz="8" w:color="auto"/>
            </w:tcBorders>
            <w:gridSpan w:val="5"/>
          </w:tcPr>
          <w:p>
            <w:pPr>
              <w:spacing w:after="0" w:line="20" w:lineRule="exact"/>
              <w:rPr>
                <w:sz w:val="1"/>
                <w:szCs w:val="1"/>
                <w:color w:val="auto"/>
              </w:rPr>
            </w:pPr>
          </w:p>
        </w:tc>
        <w:tc>
          <w:tcPr>
            <w:tcW w:w="1800" w:type="dxa"/>
            <w:vAlign w:val="bottom"/>
            <w:tcBorders>
              <w:right w:val="single" w:sz="8" w:color="auto"/>
            </w:tcBorders>
            <w:gridSpan w:val="11"/>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6"/>
            <w:vMerge w:val="restart"/>
          </w:tcPr>
          <w:p>
            <w:pPr>
              <w:jc w:val="center"/>
              <w:ind w:right="200"/>
              <w:spacing w:after="0"/>
              <w:rPr>
                <w:sz w:val="20"/>
                <w:szCs w:val="20"/>
                <w:color w:val="auto"/>
              </w:rPr>
            </w:pPr>
            <w:r>
              <w:rPr>
                <w:rFonts w:ascii="Arial" w:cs="Arial" w:eastAsia="Arial" w:hAnsi="Arial"/>
                <w:sz w:val="14"/>
                <w:szCs w:val="14"/>
                <w:b w:val="1"/>
                <w:bCs w:val="1"/>
                <w:color w:val="auto"/>
                <w:w w:val="98"/>
              </w:rPr>
              <w:t>Number</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5"/>
            <w:vMerge w:val="restart"/>
          </w:tcPr>
          <w:p>
            <w:pPr>
              <w:jc w:val="center"/>
              <w:ind w:right="320"/>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Navios</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w:t>
            </w:r>
          </w:p>
        </w:tc>
        <w:tc>
          <w:tcPr>
            <w:tcW w:w="1020" w:type="dxa"/>
            <w:vAlign w:val="bottom"/>
            <w:gridSpan w:val="9"/>
            <w:vMerge w:val="restart"/>
          </w:tcPr>
          <w:p>
            <w:pPr>
              <w:jc w:val="center"/>
              <w:ind w:right="260"/>
              <w:spacing w:after="0"/>
              <w:rPr>
                <w:sz w:val="20"/>
                <w:szCs w:val="20"/>
                <w:color w:val="auto"/>
              </w:rPr>
            </w:pPr>
            <w:r>
              <w:rPr>
                <w:rFonts w:ascii="Arial" w:cs="Arial" w:eastAsia="Arial" w:hAnsi="Arial"/>
                <w:sz w:val="14"/>
                <w:szCs w:val="14"/>
                <w:b w:val="1"/>
                <w:bCs w:val="1"/>
                <w:color w:val="auto"/>
                <w:w w:val="96"/>
              </w:rPr>
              <w:t>Preferred</w:t>
            </w:r>
          </w:p>
        </w:tc>
        <w:tc>
          <w:tcPr>
            <w:tcW w:w="40" w:type="dxa"/>
            <w:vAlign w:val="bottom"/>
          </w:tcPr>
          <w:p>
            <w:pPr>
              <w:spacing w:after="0"/>
              <w:rPr>
                <w:sz w:val="12"/>
                <w:szCs w:val="12"/>
                <w:color w:val="auto"/>
              </w:rPr>
            </w:pPr>
          </w:p>
        </w:tc>
        <w:tc>
          <w:tcPr>
            <w:tcW w:w="102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w:t>
            </w:r>
          </w:p>
        </w:tc>
        <w:tc>
          <w:tcPr>
            <w:tcW w:w="900" w:type="dxa"/>
            <w:vAlign w:val="bottom"/>
            <w:gridSpan w:val="8"/>
            <w:vMerge w:val="restart"/>
          </w:tcPr>
          <w:p>
            <w:pPr>
              <w:jc w:val="right"/>
              <w:ind w:right="280"/>
              <w:spacing w:after="0"/>
              <w:rPr>
                <w:sz w:val="20"/>
                <w:szCs w:val="20"/>
                <w:color w:val="auto"/>
              </w:rPr>
            </w:pPr>
            <w:r>
              <w:rPr>
                <w:rFonts w:ascii="Arial" w:cs="Arial" w:eastAsia="Arial" w:hAnsi="Arial"/>
                <w:sz w:val="14"/>
                <w:szCs w:val="14"/>
                <w:b w:val="1"/>
                <w:bCs w:val="1"/>
                <w:color w:val="auto"/>
                <w:w w:val="98"/>
              </w:rPr>
              <w:t>Common</w:t>
            </w:r>
          </w:p>
        </w:tc>
        <w:tc>
          <w:tcPr>
            <w:tcW w:w="20" w:type="dxa"/>
            <w:vAlign w:val="bottom"/>
          </w:tcPr>
          <w:p>
            <w:pPr>
              <w:spacing w:after="0"/>
              <w:rPr>
                <w:sz w:val="12"/>
                <w:szCs w:val="12"/>
                <w:color w:val="auto"/>
              </w:rPr>
            </w:pPr>
          </w:p>
        </w:tc>
        <w:tc>
          <w:tcPr>
            <w:tcW w:w="820" w:type="dxa"/>
            <w:vAlign w:val="bottom"/>
            <w:gridSpan w:val="5"/>
            <w:vMerge w:val="continue"/>
          </w:tcPr>
          <w:p>
            <w:pPr>
              <w:spacing w:after="0"/>
              <w:rPr>
                <w:sz w:val="12"/>
                <w:szCs w:val="12"/>
                <w:color w:val="auto"/>
              </w:rPr>
            </w:pPr>
          </w:p>
        </w:tc>
        <w:tc>
          <w:tcPr>
            <w:tcW w:w="940" w:type="dxa"/>
            <w:vAlign w:val="bottom"/>
            <w:gridSpan w:val="6"/>
            <w:vMerge w:val="restart"/>
          </w:tcPr>
          <w:p>
            <w:pPr>
              <w:jc w:val="right"/>
              <w:ind w:right="10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Holdings’</w:t>
            </w:r>
          </w:p>
        </w:tc>
        <w:tc>
          <w:tcPr>
            <w:tcW w:w="1640" w:type="dxa"/>
            <w:vAlign w:val="bottom"/>
            <w:gridSpan w:val="9"/>
            <w:vMerge w:val="restart"/>
          </w:tcPr>
          <w:p>
            <w:pPr>
              <w:ind w:left="260"/>
              <w:spacing w:after="0"/>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780" w:type="dxa"/>
            <w:vAlign w:val="bottom"/>
            <w:gridSpan w:val="7"/>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Preferred</w:t>
            </w:r>
          </w:p>
        </w:tc>
        <w:tc>
          <w:tcPr>
            <w:tcW w:w="1020" w:type="dxa"/>
            <w:vAlign w:val="bottom"/>
            <w:gridSpan w:val="9"/>
            <w:vMerge w:val="continue"/>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Common</w:t>
            </w:r>
          </w:p>
        </w:tc>
        <w:tc>
          <w:tcPr>
            <w:tcW w:w="900" w:type="dxa"/>
            <w:vAlign w:val="bottom"/>
            <w:gridSpan w:val="8"/>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89"/>
              </w:rPr>
              <w:t>Paid-in</w:t>
            </w:r>
          </w:p>
        </w:tc>
        <w:tc>
          <w:tcPr>
            <w:tcW w:w="940" w:type="dxa"/>
            <w:vAlign w:val="bottom"/>
            <w:gridSpan w:val="6"/>
            <w:vMerge w:val="continue"/>
          </w:tcPr>
          <w:p>
            <w:pPr>
              <w:spacing w:after="0"/>
              <w:rPr>
                <w:sz w:val="12"/>
                <w:szCs w:val="12"/>
                <w:color w:val="auto"/>
              </w:rPr>
            </w:pPr>
          </w:p>
        </w:tc>
        <w:tc>
          <w:tcPr>
            <w:tcW w:w="102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1640" w:type="dxa"/>
            <w:vAlign w:val="bottom"/>
            <w:gridSpan w:val="9"/>
            <w:vMerge w:val="continue"/>
          </w:tcPr>
          <w:p>
            <w:pPr>
              <w:spacing w:after="0"/>
              <w:rPr>
                <w:sz w:val="12"/>
                <w:szCs w:val="12"/>
                <w:color w:val="auto"/>
              </w:rPr>
            </w:pPr>
          </w:p>
        </w:tc>
        <w:tc>
          <w:tcPr>
            <w:tcW w:w="7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4"/>
                <w:szCs w:val="14"/>
                <w:color w:val="auto"/>
              </w:rPr>
            </w:pPr>
          </w:p>
        </w:tc>
        <w:tc>
          <w:tcPr>
            <w:tcW w:w="820" w:type="dxa"/>
            <w:vAlign w:val="bottom"/>
            <w:gridSpan w:val="8"/>
          </w:tcPr>
          <w:p>
            <w:pPr>
              <w:jc w:val="center"/>
              <w:ind w:right="440"/>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4"/>
                <w:szCs w:val="14"/>
                <w:color w:val="auto"/>
              </w:rPr>
            </w:pPr>
          </w:p>
        </w:tc>
        <w:tc>
          <w:tcPr>
            <w:tcW w:w="10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740" w:type="dxa"/>
            <w:vAlign w:val="bottom"/>
            <w:gridSpan w:val="7"/>
          </w:tcPr>
          <w:p>
            <w:pPr>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8"/>
        </w:trPr>
        <w:tc>
          <w:tcPr>
            <w:tcW w:w="208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December 31,</w:t>
            </w:r>
          </w:p>
        </w:tc>
        <w:tc>
          <w:tcPr>
            <w:tcW w:w="680" w:type="dxa"/>
            <w:vAlign w:val="bottom"/>
            <w:tcBorders>
              <w:top w:val="single" w:sz="8" w:color="auto"/>
              <w:right w:val="single" w:sz="8" w:color="CCEEFF"/>
            </w:tcBorders>
            <w:gridSpan w:val="5"/>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gridSpan w:val="6"/>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right w:val="single" w:sz="8" w:color="CCEEFF"/>
            </w:tcBorders>
            <w:gridSpan w:val="6"/>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gridSpan w:val="8"/>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right w:val="single" w:sz="8" w:color="CCEEFF"/>
            </w:tcBorders>
            <w:gridSpan w:val="6"/>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right w:val="single" w:sz="8" w:color="CCEEFF"/>
            </w:tcBorders>
            <w:gridSpan w:val="5"/>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right w:val="single" w:sz="8" w:color="CCEEFF"/>
            </w:tcBorders>
            <w:gridSpan w:val="4"/>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gridSpan w:val="7"/>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auto"/>
              <w:right w:val="single" w:sz="8" w:color="CCEEFF"/>
            </w:tcBorders>
            <w:shd w:val="clear" w:color="auto" w:fill="CCEEFF"/>
          </w:tcPr>
          <w:p>
            <w:pPr>
              <w:spacing w:after="0"/>
              <w:rPr>
                <w:sz w:val="15"/>
                <w:szCs w:val="15"/>
                <w:color w:val="auto"/>
              </w:rPr>
            </w:pPr>
          </w:p>
        </w:tc>
        <w:tc>
          <w:tcPr>
            <w:tcW w:w="740" w:type="dxa"/>
            <w:vAlign w:val="bottom"/>
            <w:tcBorders>
              <w:top w:val="single" w:sz="8" w:color="auto"/>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23,032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9"/>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8"/>
              </w:rPr>
              <w:t>15,881,147</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0"/>
              </w:rPr>
              <w:t>$643,033</w:t>
            </w:r>
          </w:p>
        </w:tc>
        <w:tc>
          <w:tcPr>
            <w:tcW w:w="2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6"/>
              </w:rPr>
              <w:t>$(784,592)</w:t>
            </w:r>
          </w:p>
        </w:tc>
        <w:tc>
          <w:tcPr>
            <w:tcW w:w="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$(141,558)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$107,275</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$(34,283)</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Net income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4"/>
          </w:tcPr>
          <w:p>
            <w:pPr>
              <w:jc w:val="center"/>
              <w:ind w:right="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7"/>
          </w:tcPr>
          <w:p>
            <w:pPr>
              <w:jc w:val="right"/>
              <w:ind w:right="54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20" w:type="dxa"/>
            <w:vAlign w:val="bottom"/>
            <w:gridSpan w:val="5"/>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7"/>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5"/>
          </w:tcPr>
          <w:p>
            <w:pPr>
              <w:ind w:left="520"/>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5"/>
          </w:tcPr>
          <w:p>
            <w:pPr>
              <w:jc w:val="right"/>
              <w:ind w:right="420"/>
              <w:spacing w:after="0"/>
              <w:rPr>
                <w:sz w:val="20"/>
                <w:szCs w:val="20"/>
                <w:color w:val="auto"/>
              </w:rPr>
            </w:pPr>
            <w:r>
              <w:rPr>
                <w:rFonts w:ascii="Arial" w:cs="Arial" w:eastAsia="Arial" w:hAnsi="Arial"/>
                <w:sz w:val="18"/>
                <w:szCs w:val="18"/>
                <w:color w:val="auto"/>
              </w:rPr>
              <w:t>1,151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Cancellation of shares</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7"/>
            <w:shd w:val="clear" w:color="auto" w:fill="CCEEFF"/>
          </w:tcPr>
          <w:p>
            <w:pPr>
              <w:jc w:val="right"/>
              <w:ind w:right="540"/>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7"/>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7"/>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1020" w:type="dxa"/>
            <w:vAlign w:val="bottom"/>
            <w:gridSpan w:val="61"/>
          </w:tcPr>
          <w:p>
            <w:pPr>
              <w:spacing w:after="0" w:line="201" w:lineRule="exact"/>
              <w:rPr>
                <w:sz w:val="20"/>
                <w:szCs w:val="20"/>
                <w:color w:val="auto"/>
              </w:rPr>
            </w:pPr>
            <w:r>
              <w:rPr>
                <w:rFonts w:ascii="Arial" w:cs="Arial" w:eastAsia="Arial" w:hAnsi="Arial"/>
                <w:sz w:val="18"/>
                <w:szCs w:val="18"/>
                <w:color w:val="auto"/>
                <w:w w:val="94"/>
              </w:rPr>
              <w:t>Stock-based compensation</w:t>
            </w:r>
          </w:p>
        </w:tc>
        <w:tc>
          <w:tcPr>
            <w:tcW w:w="0" w:type="dxa"/>
            <w:vAlign w:val="bottom"/>
          </w:tcPr>
          <w:p>
            <w:pPr>
              <w:spacing w:after="0"/>
              <w:rPr>
                <w:sz w:val="1"/>
                <w:szCs w:val="1"/>
                <w:color w:val="auto"/>
              </w:rPr>
            </w:pPr>
          </w:p>
        </w:tc>
      </w:tr>
      <w:tr>
        <w:trPr>
          <w:trHeight w:val="237"/>
        </w:trPr>
        <w:tc>
          <w:tcPr>
            <w:tcW w:w="2080" w:type="dxa"/>
            <w:vAlign w:val="bottom"/>
          </w:tcPr>
          <w:p>
            <w:pPr>
              <w:ind w:left="180"/>
              <w:spacing w:after="0"/>
              <w:rPr>
                <w:sz w:val="20"/>
                <w:szCs w:val="20"/>
                <w:color w:val="auto"/>
              </w:rPr>
            </w:pPr>
            <w:r>
              <w:rPr>
                <w:rFonts w:ascii="Arial" w:cs="Arial" w:eastAsia="Arial" w:hAnsi="Arial"/>
                <w:sz w:val="18"/>
                <w:szCs w:val="18"/>
                <w:color w:val="auto"/>
              </w:rPr>
              <w:t>expenses (Note 10)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gridSpan w:val="4"/>
          </w:tcPr>
          <w:p>
            <w:pPr>
              <w:jc w:val="center"/>
              <w:ind w:right="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7"/>
          </w:tcPr>
          <w:p>
            <w:pPr>
              <w:jc w:val="right"/>
              <w:ind w:right="540"/>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16,000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7"/>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5"/>
          </w:tcPr>
          <w:p>
            <w:pPr>
              <w:jc w:val="right"/>
              <w:ind w:right="120"/>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7"/>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98"/>
        </w:trPr>
        <w:tc>
          <w:tcPr>
            <w:tcW w:w="21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March 31, 2021</w:t>
            </w:r>
          </w:p>
        </w:tc>
        <w:tc>
          <w:tcPr>
            <w:tcW w:w="560" w:type="dxa"/>
            <w:vAlign w:val="bottom"/>
            <w:tcBorders>
              <w:top w:val="single" w:sz="8" w:color="auto"/>
            </w:tcBorders>
            <w:gridSpan w:val="3"/>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300" w:type="dxa"/>
            <w:vAlign w:val="bottom"/>
            <w:gridSpan w:val="3"/>
            <w:shd w:val="clear" w:color="auto" w:fill="CCEEFF"/>
          </w:tcPr>
          <w:p>
            <w:pPr>
              <w:spacing w:after="0"/>
              <w:rPr>
                <w:sz w:val="17"/>
                <w:szCs w:val="17"/>
                <w:color w:val="auto"/>
              </w:rPr>
            </w:pPr>
          </w:p>
        </w:tc>
        <w:tc>
          <w:tcPr>
            <w:tcW w:w="360" w:type="dxa"/>
            <w:vAlign w:val="bottom"/>
            <w:tcBorders>
              <w:top w:val="single" w:sz="8" w:color="auto"/>
            </w:tcBorders>
            <w:gridSpan w:val="2"/>
            <w:shd w:val="clear" w:color="auto" w:fill="CCEEFF"/>
          </w:tcPr>
          <w:p>
            <w:pPr>
              <w:spacing w:after="0"/>
              <w:rPr>
                <w:sz w:val="17"/>
                <w:szCs w:val="17"/>
                <w:color w:val="auto"/>
              </w:rPr>
            </w:pPr>
          </w:p>
        </w:tc>
        <w:tc>
          <w:tcPr>
            <w:tcW w:w="400" w:type="dxa"/>
            <w:vAlign w:val="bottom"/>
            <w:gridSpan w:val="5"/>
            <w:shd w:val="clear" w:color="auto" w:fill="CCEEFF"/>
          </w:tcPr>
          <w:p>
            <w:pPr>
              <w:spacing w:after="0"/>
              <w:rPr>
                <w:sz w:val="17"/>
                <w:szCs w:val="17"/>
                <w:color w:val="auto"/>
              </w:rPr>
            </w:pPr>
          </w:p>
        </w:tc>
        <w:tc>
          <w:tcPr>
            <w:tcW w:w="880" w:type="dxa"/>
            <w:vAlign w:val="bottom"/>
            <w:tcBorders>
              <w:top w:val="single" w:sz="8" w:color="auto"/>
            </w:tcBorders>
            <w:gridSpan w:val="3"/>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320" w:type="dxa"/>
            <w:vAlign w:val="bottom"/>
            <w:gridSpan w:val="4"/>
            <w:shd w:val="clear" w:color="auto" w:fill="CCEEFF"/>
          </w:tcPr>
          <w:p>
            <w:pPr>
              <w:spacing w:after="0"/>
              <w:rPr>
                <w:sz w:val="17"/>
                <w:szCs w:val="17"/>
                <w:color w:val="auto"/>
              </w:rPr>
            </w:pPr>
          </w:p>
        </w:tc>
        <w:tc>
          <w:tcPr>
            <w:tcW w:w="360" w:type="dxa"/>
            <w:vAlign w:val="bottom"/>
            <w:tcBorders>
              <w:top w:val="single" w:sz="8" w:color="auto"/>
            </w:tcBorders>
            <w:gridSpan w:val="3"/>
            <w:shd w:val="clear" w:color="auto" w:fill="CCEEFF"/>
          </w:tcPr>
          <w:p>
            <w:pPr>
              <w:spacing w:after="0"/>
              <w:rPr>
                <w:sz w:val="17"/>
                <w:szCs w:val="17"/>
                <w:color w:val="auto"/>
              </w:rPr>
            </w:pPr>
          </w:p>
        </w:tc>
        <w:tc>
          <w:tcPr>
            <w:tcW w:w="400" w:type="dxa"/>
            <w:vAlign w:val="bottom"/>
            <w:gridSpan w:val="5"/>
            <w:shd w:val="clear" w:color="auto" w:fill="CCEEFF"/>
          </w:tcPr>
          <w:p>
            <w:pPr>
              <w:spacing w:after="0"/>
              <w:rPr>
                <w:sz w:val="17"/>
                <w:szCs w:val="17"/>
                <w:color w:val="auto"/>
              </w:rPr>
            </w:pPr>
          </w:p>
        </w:tc>
        <w:tc>
          <w:tcPr>
            <w:tcW w:w="680" w:type="dxa"/>
            <w:vAlign w:val="bottom"/>
            <w:tcBorders>
              <w:top w:val="single" w:sz="8" w:color="auto"/>
            </w:tcBorders>
            <w:gridSpan w:val="3"/>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gridSpan w:val="2"/>
            <w:shd w:val="clear" w:color="auto" w:fill="CCEEFF"/>
          </w:tcPr>
          <w:p>
            <w:pPr>
              <w:spacing w:after="0"/>
              <w:rPr>
                <w:sz w:val="17"/>
                <w:szCs w:val="17"/>
                <w:color w:val="auto"/>
              </w:rPr>
            </w:pPr>
          </w:p>
        </w:tc>
        <w:tc>
          <w:tcPr>
            <w:tcW w:w="740" w:type="dxa"/>
            <w:vAlign w:val="bottom"/>
            <w:tcBorders>
              <w:top w:val="single" w:sz="8" w:color="auto"/>
            </w:tcBorders>
            <w:gridSpan w:val="3"/>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gridSpan w:val="2"/>
            <w:shd w:val="clear" w:color="auto" w:fill="CCEEFF"/>
          </w:tcPr>
          <w:p>
            <w:pPr>
              <w:spacing w:after="0"/>
              <w:rPr>
                <w:sz w:val="17"/>
                <w:szCs w:val="17"/>
                <w:color w:val="auto"/>
              </w:rPr>
            </w:pPr>
          </w:p>
        </w:tc>
        <w:tc>
          <w:tcPr>
            <w:tcW w:w="800" w:type="dxa"/>
            <w:vAlign w:val="bottom"/>
            <w:tcBorders>
              <w:top w:val="single" w:sz="8" w:color="auto"/>
              <w:right w:val="single" w:sz="8" w:color="CCEEFF"/>
            </w:tcBorders>
            <w:gridSpan w:val="3"/>
            <w:shd w:val="clear" w:color="auto" w:fill="CCEEFF"/>
          </w:tcPr>
          <w:p>
            <w:pPr>
              <w:spacing w:after="0"/>
              <w:rPr>
                <w:sz w:val="17"/>
                <w:szCs w:val="17"/>
                <w:color w:val="auto"/>
              </w:rPr>
            </w:pPr>
          </w:p>
        </w:tc>
        <w:tc>
          <w:tcPr>
            <w:tcW w:w="540" w:type="dxa"/>
            <w:vAlign w:val="bottom"/>
            <w:gridSpan w:val="3"/>
            <w:shd w:val="clear" w:color="auto" w:fill="CCEEFF"/>
          </w:tcPr>
          <w:p>
            <w:pPr>
              <w:spacing w:after="0"/>
              <w:rPr>
                <w:sz w:val="17"/>
                <w:szCs w:val="17"/>
                <w:color w:val="auto"/>
              </w:rPr>
            </w:pPr>
          </w:p>
        </w:tc>
        <w:tc>
          <w:tcPr>
            <w:tcW w:w="680" w:type="dxa"/>
            <w:vAlign w:val="bottom"/>
            <w:tcBorders>
              <w:top w:val="single" w:sz="8" w:color="auto"/>
            </w:tcBorders>
            <w:gridSpan w:val="3"/>
            <w:shd w:val="clear" w:color="auto" w:fill="CCEEFF"/>
          </w:tcPr>
          <w:p>
            <w:pPr>
              <w:spacing w:after="0"/>
              <w:rPr>
                <w:sz w:val="17"/>
                <w:szCs w:val="17"/>
                <w:color w:val="auto"/>
              </w:rPr>
            </w:pPr>
          </w:p>
        </w:tc>
        <w:tc>
          <w:tcPr>
            <w:tcW w:w="580" w:type="dxa"/>
            <w:vAlign w:val="bottom"/>
            <w:tcBorders>
              <w:right w:val="single" w:sz="8" w:color="CCEEFF"/>
            </w:tcBorders>
            <w:gridSpan w:val="5"/>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(unaudited)</w:t>
            </w:r>
          </w:p>
        </w:tc>
        <w:tc>
          <w:tcPr>
            <w:tcW w:w="68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23,032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9"/>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8"/>
              </w:rPr>
              <w:t>15,897,120</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643,188</w:t>
            </w:r>
          </w:p>
        </w:tc>
        <w:tc>
          <w:tcPr>
            <w:tcW w:w="2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w w:val="96"/>
              </w:rPr>
              <w:t>$</w:t>
            </w:r>
            <w:r>
              <w:rPr>
                <w:rFonts w:ascii="Arial" w:cs="Arial" w:eastAsia="Arial" w:hAnsi="Arial"/>
                <w:sz w:val="18"/>
                <w:szCs w:val="18"/>
                <w:b w:val="1"/>
                <w:bCs w:val="1"/>
                <w:color w:val="auto"/>
                <w:w w:val="96"/>
              </w:rPr>
              <w:t>(784,429)</w:t>
            </w:r>
          </w:p>
        </w:tc>
        <w:tc>
          <w:tcPr>
            <w:tcW w:w="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6"/>
              </w:rPr>
              <w:t>$</w:t>
            </w:r>
            <w:r>
              <w:rPr>
                <w:rFonts w:ascii="Arial" w:cs="Arial" w:eastAsia="Arial" w:hAnsi="Arial"/>
                <w:sz w:val="18"/>
                <w:szCs w:val="18"/>
                <w:b w:val="1"/>
                <w:bCs w:val="1"/>
                <w:color w:val="auto"/>
                <w:w w:val="96"/>
              </w:rPr>
              <w:t>(141,240)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108,426</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(32,814)</w:t>
            </w:r>
          </w:p>
        </w:tc>
        <w:tc>
          <w:tcPr>
            <w:tcW w:w="0" w:type="dxa"/>
            <w:vAlign w:val="bottom"/>
          </w:tcPr>
          <w:p>
            <w:pPr>
              <w:spacing w:after="0"/>
              <w:rPr>
                <w:sz w:val="1"/>
                <w:szCs w:val="1"/>
                <w:color w:val="auto"/>
              </w:rPr>
            </w:pPr>
          </w:p>
        </w:tc>
      </w:tr>
      <w:tr>
        <w:trPr>
          <w:trHeight w:val="223"/>
        </w:trPr>
        <w:tc>
          <w:tcPr>
            <w:tcW w:w="2080" w:type="dxa"/>
            <w:vAlign w:val="bottom"/>
          </w:tcPr>
          <w:p>
            <w:pPr>
              <w:spacing w:after="0"/>
              <w:rPr>
                <w:sz w:val="20"/>
                <w:szCs w:val="20"/>
                <w:color w:val="auto"/>
              </w:rPr>
            </w:pPr>
            <w:r>
              <w:rPr>
                <w:rFonts w:ascii="Arial" w:cs="Arial" w:eastAsia="Arial" w:hAnsi="Arial"/>
                <w:sz w:val="18"/>
                <w:szCs w:val="18"/>
                <w:color w:val="auto"/>
              </w:rPr>
              <w:t>Net income/(loss)</w:t>
            </w:r>
          </w:p>
        </w:tc>
        <w:tc>
          <w:tcPr>
            <w:tcW w:w="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center"/>
              <w:ind w:left="33"/>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24,936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24,936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(391)</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24,545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Cancellation of shares</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7"/>
            <w:shd w:val="clear" w:color="auto" w:fill="CCEEFF"/>
          </w:tcPr>
          <w:p>
            <w:pPr>
              <w:jc w:val="right"/>
              <w:ind w:right="540"/>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7"/>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7"/>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1020" w:type="dxa"/>
            <w:vAlign w:val="bottom"/>
            <w:gridSpan w:val="61"/>
          </w:tcPr>
          <w:p>
            <w:pPr>
              <w:spacing w:after="0" w:line="201" w:lineRule="exact"/>
              <w:rPr>
                <w:sz w:val="20"/>
                <w:szCs w:val="20"/>
                <w:color w:val="auto"/>
              </w:rPr>
            </w:pPr>
            <w:r>
              <w:rPr>
                <w:rFonts w:ascii="Arial" w:cs="Arial" w:eastAsia="Arial" w:hAnsi="Arial"/>
                <w:sz w:val="18"/>
                <w:szCs w:val="18"/>
                <w:color w:val="auto"/>
                <w:w w:val="94"/>
              </w:rPr>
              <w:t>Stock-based compensation</w:t>
            </w:r>
          </w:p>
        </w:tc>
        <w:tc>
          <w:tcPr>
            <w:tcW w:w="0" w:type="dxa"/>
            <w:vAlign w:val="bottom"/>
          </w:tcPr>
          <w:p>
            <w:pPr>
              <w:spacing w:after="0"/>
              <w:rPr>
                <w:sz w:val="1"/>
                <w:szCs w:val="1"/>
                <w:color w:val="auto"/>
              </w:rPr>
            </w:pPr>
          </w:p>
        </w:tc>
      </w:tr>
      <w:tr>
        <w:trPr>
          <w:trHeight w:val="230"/>
        </w:trPr>
        <w:tc>
          <w:tcPr>
            <w:tcW w:w="2080" w:type="dxa"/>
            <w:vAlign w:val="bottom"/>
          </w:tcPr>
          <w:p>
            <w:pPr>
              <w:ind w:left="180"/>
              <w:spacing w:after="0"/>
              <w:rPr>
                <w:sz w:val="20"/>
                <w:szCs w:val="20"/>
                <w:color w:val="auto"/>
              </w:rPr>
            </w:pPr>
            <w:r>
              <w:rPr>
                <w:rFonts w:ascii="Arial" w:cs="Arial" w:eastAsia="Arial" w:hAnsi="Arial"/>
                <w:sz w:val="18"/>
                <w:szCs w:val="18"/>
                <w:color w:val="auto"/>
              </w:rPr>
              <w:t>expenses (Note 10)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gridSpan w:val="4"/>
          </w:tcPr>
          <w:p>
            <w:pPr>
              <w:jc w:val="center"/>
              <w:ind w:right="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7"/>
          </w:tcPr>
          <w:p>
            <w:pPr>
              <w:jc w:val="right"/>
              <w:ind w:right="54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1020" w:type="dxa"/>
            <w:vAlign w:val="bottom"/>
            <w:gridSpan w:val="5"/>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gridSpan w:val="7"/>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5"/>
          </w:tcPr>
          <w:p>
            <w:pPr>
              <w:jc w:val="right"/>
              <w:ind w:right="120"/>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7"/>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98"/>
        </w:trPr>
        <w:tc>
          <w:tcPr>
            <w:tcW w:w="2760" w:type="dxa"/>
            <w:vAlign w:val="bottom"/>
            <w:tcBorders>
              <w:right w:val="single" w:sz="8" w:color="CCEEFF"/>
            </w:tcBorders>
            <w:gridSpan w:val="6"/>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June 30, 2021</w:t>
            </w:r>
          </w:p>
        </w:tc>
        <w:tc>
          <w:tcPr>
            <w:tcW w:w="2020" w:type="dxa"/>
            <w:vAlign w:val="bottom"/>
            <w:tcBorders>
              <w:right w:val="single" w:sz="8" w:color="CCEEFF"/>
            </w:tcBorders>
            <w:gridSpan w:val="14"/>
            <w:shd w:val="clear" w:color="auto" w:fill="CCEEFF"/>
          </w:tcPr>
          <w:p>
            <w:pPr>
              <w:spacing w:after="0"/>
              <w:rPr>
                <w:sz w:val="17"/>
                <w:szCs w:val="17"/>
                <w:color w:val="auto"/>
              </w:rPr>
            </w:pPr>
          </w:p>
        </w:tc>
        <w:tc>
          <w:tcPr>
            <w:tcW w:w="1880" w:type="dxa"/>
            <w:vAlign w:val="bottom"/>
            <w:tcBorders>
              <w:right w:val="single" w:sz="8" w:color="CCEEFF"/>
            </w:tcBorders>
            <w:gridSpan w:val="16"/>
            <w:shd w:val="clear" w:color="auto" w:fill="CCEEFF"/>
          </w:tcPr>
          <w:p>
            <w:pPr>
              <w:spacing w:after="0"/>
              <w:rPr>
                <w:sz w:val="17"/>
                <w:szCs w:val="17"/>
                <w:color w:val="auto"/>
              </w:rPr>
            </w:pPr>
          </w:p>
        </w:tc>
        <w:tc>
          <w:tcPr>
            <w:tcW w:w="900" w:type="dxa"/>
            <w:vAlign w:val="bottom"/>
            <w:tcBorders>
              <w:right w:val="single" w:sz="8" w:color="CCEEFF"/>
            </w:tcBorders>
            <w:gridSpan w:val="6"/>
            <w:shd w:val="clear" w:color="auto" w:fill="CCEEFF"/>
          </w:tcPr>
          <w:p>
            <w:pPr>
              <w:spacing w:after="0"/>
              <w:rPr>
                <w:sz w:val="17"/>
                <w:szCs w:val="17"/>
                <w:color w:val="auto"/>
              </w:rPr>
            </w:pPr>
          </w:p>
        </w:tc>
        <w:tc>
          <w:tcPr>
            <w:tcW w:w="920" w:type="dxa"/>
            <w:vAlign w:val="bottom"/>
            <w:tcBorders>
              <w:right w:val="single" w:sz="8" w:color="CCEEFF"/>
            </w:tcBorders>
            <w:gridSpan w:val="5"/>
            <w:shd w:val="clear" w:color="auto" w:fill="CCEEFF"/>
          </w:tcPr>
          <w:p>
            <w:pPr>
              <w:spacing w:after="0"/>
              <w:rPr>
                <w:sz w:val="17"/>
                <w:szCs w:val="17"/>
                <w:color w:val="auto"/>
              </w:rPr>
            </w:pPr>
          </w:p>
        </w:tc>
        <w:tc>
          <w:tcPr>
            <w:tcW w:w="1800" w:type="dxa"/>
            <w:vAlign w:val="bottom"/>
            <w:tcBorders>
              <w:right w:val="single" w:sz="8" w:color="CCEEFF"/>
            </w:tcBorders>
            <w:gridSpan w:val="11"/>
            <w:shd w:val="clear" w:color="auto" w:fill="CCEEFF"/>
          </w:tcPr>
          <w:p>
            <w:pPr>
              <w:spacing w:after="0"/>
              <w:rPr>
                <w:sz w:val="17"/>
                <w:szCs w:val="17"/>
                <w:color w:val="auto"/>
              </w:rPr>
            </w:pPr>
          </w:p>
        </w:tc>
        <w:tc>
          <w:tcPr>
            <w:tcW w:w="740" w:type="dxa"/>
            <w:vAlign w:val="bottom"/>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(unaudited)</w:t>
            </w:r>
          </w:p>
        </w:tc>
        <w:tc>
          <w:tcPr>
            <w:tcW w:w="68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23,032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9"/>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8"/>
              </w:rPr>
              <w:t>15,897,064</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643,339</w:t>
            </w:r>
          </w:p>
        </w:tc>
        <w:tc>
          <w:tcPr>
            <w:tcW w:w="2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w w:val="96"/>
              </w:rPr>
              <w:t>$</w:t>
            </w:r>
            <w:r>
              <w:rPr>
                <w:rFonts w:ascii="Arial" w:cs="Arial" w:eastAsia="Arial" w:hAnsi="Arial"/>
                <w:sz w:val="18"/>
                <w:szCs w:val="18"/>
                <w:b w:val="1"/>
                <w:bCs w:val="1"/>
                <w:color w:val="auto"/>
                <w:w w:val="96"/>
              </w:rPr>
              <w:t>(759,493)</w:t>
            </w:r>
          </w:p>
        </w:tc>
        <w:tc>
          <w:tcPr>
            <w:tcW w:w="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6"/>
              </w:rPr>
              <w:t>$</w:t>
            </w:r>
            <w:r>
              <w:rPr>
                <w:rFonts w:ascii="Arial" w:cs="Arial" w:eastAsia="Arial" w:hAnsi="Arial"/>
                <w:sz w:val="18"/>
                <w:szCs w:val="18"/>
                <w:b w:val="1"/>
                <w:bCs w:val="1"/>
                <w:color w:val="auto"/>
                <w:w w:val="96"/>
              </w:rPr>
              <w:t>(116,153)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108,035</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(8,118)</w:t>
            </w:r>
          </w:p>
        </w:tc>
        <w:tc>
          <w:tcPr>
            <w:tcW w:w="0" w:type="dxa"/>
            <w:vAlign w:val="bottom"/>
          </w:tcPr>
          <w:p>
            <w:pPr>
              <w:spacing w:after="0"/>
              <w:rPr>
                <w:sz w:val="1"/>
                <w:szCs w:val="1"/>
                <w:color w:val="auto"/>
              </w:rPr>
            </w:pPr>
          </w:p>
        </w:tc>
      </w:tr>
      <w:tr>
        <w:trPr>
          <w:trHeight w:val="223"/>
        </w:trPr>
        <w:tc>
          <w:tcPr>
            <w:tcW w:w="2080" w:type="dxa"/>
            <w:vAlign w:val="bottom"/>
          </w:tcPr>
          <w:p>
            <w:pPr>
              <w:spacing w:after="0"/>
              <w:rPr>
                <w:sz w:val="20"/>
                <w:szCs w:val="20"/>
                <w:color w:val="auto"/>
              </w:rPr>
            </w:pPr>
            <w:r>
              <w:rPr>
                <w:rFonts w:ascii="Arial" w:cs="Arial" w:eastAsia="Arial" w:hAnsi="Arial"/>
                <w:sz w:val="18"/>
                <w:szCs w:val="18"/>
                <w:color w:val="auto"/>
              </w:rPr>
              <w:t>Net income/(loss)</w:t>
            </w:r>
          </w:p>
        </w:tc>
        <w:tc>
          <w:tcPr>
            <w:tcW w:w="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center"/>
              <w:ind w:left="33"/>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59,808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59,808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8"/>
              </w:rPr>
              <w:t>(10,338)</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49,470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760" w:type="dxa"/>
            <w:vAlign w:val="bottom"/>
            <w:tcBorders>
              <w:right w:val="single" w:sz="8" w:color="CCEEFF"/>
            </w:tcBorders>
            <w:gridSpan w:val="6"/>
            <w:shd w:val="clear" w:color="auto" w:fill="CCEEFF"/>
          </w:tcPr>
          <w:p>
            <w:pPr>
              <w:spacing w:after="0" w:line="201" w:lineRule="exact"/>
              <w:rPr>
                <w:sz w:val="20"/>
                <w:szCs w:val="20"/>
                <w:color w:val="auto"/>
              </w:rPr>
            </w:pPr>
            <w:r>
              <w:rPr>
                <w:rFonts w:ascii="Arial" w:cs="Arial" w:eastAsia="Arial" w:hAnsi="Arial"/>
                <w:sz w:val="18"/>
                <w:szCs w:val="18"/>
                <w:color w:val="auto"/>
                <w:w w:val="97"/>
              </w:rPr>
              <w:t>Common stock issued, net</w:t>
            </w:r>
          </w:p>
        </w:tc>
        <w:tc>
          <w:tcPr>
            <w:tcW w:w="2020" w:type="dxa"/>
            <w:vAlign w:val="bottom"/>
            <w:tcBorders>
              <w:right w:val="single" w:sz="8" w:color="CCEEFF"/>
            </w:tcBorders>
            <w:gridSpan w:val="14"/>
            <w:shd w:val="clear" w:color="auto" w:fill="CCEEFF"/>
          </w:tcPr>
          <w:p>
            <w:pPr>
              <w:spacing w:after="0"/>
              <w:rPr>
                <w:sz w:val="17"/>
                <w:szCs w:val="17"/>
                <w:color w:val="auto"/>
              </w:rPr>
            </w:pPr>
          </w:p>
        </w:tc>
        <w:tc>
          <w:tcPr>
            <w:tcW w:w="1880" w:type="dxa"/>
            <w:vAlign w:val="bottom"/>
            <w:tcBorders>
              <w:right w:val="single" w:sz="8" w:color="CCEEFF"/>
            </w:tcBorders>
            <w:gridSpan w:val="16"/>
            <w:shd w:val="clear" w:color="auto" w:fill="CCEEFF"/>
          </w:tcPr>
          <w:p>
            <w:pPr>
              <w:spacing w:after="0"/>
              <w:rPr>
                <w:sz w:val="17"/>
                <w:szCs w:val="17"/>
                <w:color w:val="auto"/>
              </w:rPr>
            </w:pPr>
          </w:p>
        </w:tc>
        <w:tc>
          <w:tcPr>
            <w:tcW w:w="900" w:type="dxa"/>
            <w:vAlign w:val="bottom"/>
            <w:tcBorders>
              <w:right w:val="single" w:sz="8" w:color="CCEEFF"/>
            </w:tcBorders>
            <w:gridSpan w:val="6"/>
            <w:shd w:val="clear" w:color="auto" w:fill="CCEEFF"/>
          </w:tcPr>
          <w:p>
            <w:pPr>
              <w:spacing w:after="0"/>
              <w:rPr>
                <w:sz w:val="17"/>
                <w:szCs w:val="17"/>
                <w:color w:val="auto"/>
              </w:rPr>
            </w:pPr>
          </w:p>
        </w:tc>
        <w:tc>
          <w:tcPr>
            <w:tcW w:w="920" w:type="dxa"/>
            <w:vAlign w:val="bottom"/>
            <w:tcBorders>
              <w:right w:val="single" w:sz="8" w:color="CCEEFF"/>
            </w:tcBorders>
            <w:gridSpan w:val="5"/>
            <w:shd w:val="clear" w:color="auto" w:fill="CCEEFF"/>
          </w:tcPr>
          <w:p>
            <w:pPr>
              <w:spacing w:after="0"/>
              <w:rPr>
                <w:sz w:val="17"/>
                <w:szCs w:val="17"/>
                <w:color w:val="auto"/>
              </w:rPr>
            </w:pPr>
          </w:p>
        </w:tc>
        <w:tc>
          <w:tcPr>
            <w:tcW w:w="1800" w:type="dxa"/>
            <w:vAlign w:val="bottom"/>
            <w:tcBorders>
              <w:right w:val="single" w:sz="8" w:color="CCEEFF"/>
            </w:tcBorders>
            <w:gridSpan w:val="11"/>
            <w:shd w:val="clear" w:color="auto" w:fill="CCEEFF"/>
          </w:tcPr>
          <w:p>
            <w:pPr>
              <w:spacing w:after="0"/>
              <w:rPr>
                <w:sz w:val="17"/>
                <w:szCs w:val="17"/>
                <w:color w:val="auto"/>
              </w:rPr>
            </w:pPr>
          </w:p>
        </w:tc>
        <w:tc>
          <w:tcPr>
            <w:tcW w:w="740" w:type="dxa"/>
            <w:vAlign w:val="bottom"/>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10)</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60" w:type="dxa"/>
            <w:vAlign w:val="bottom"/>
            <w:gridSpan w:val="4"/>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7"/>
            <w:shd w:val="clear" w:color="auto" w:fill="CCEEFF"/>
          </w:tcPr>
          <w:p>
            <w:pPr>
              <w:jc w:val="right"/>
              <w:ind w:right="540"/>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9,301,542</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7"/>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Sale of shares (Note 10)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4"/>
          </w:tcPr>
          <w:p>
            <w:pPr>
              <w:jc w:val="center"/>
              <w:ind w:right="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7"/>
          </w:tcPr>
          <w:p>
            <w:pPr>
              <w:jc w:val="right"/>
              <w:ind w:right="54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20" w:type="dxa"/>
            <w:vAlign w:val="bottom"/>
            <w:gridSpan w:val="5"/>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5"/>
          </w:tcPr>
          <w:p>
            <w:pPr>
              <w:jc w:val="right"/>
              <w:ind w:right="120"/>
              <w:spacing w:after="0"/>
              <w:rPr>
                <w:sz w:val="20"/>
                <w:szCs w:val="20"/>
                <w:color w:val="auto"/>
              </w:rPr>
            </w:pPr>
            <w:r>
              <w:rPr>
                <w:rFonts w:ascii="Arial" w:cs="Arial" w:eastAsia="Arial" w:hAnsi="Arial"/>
                <w:sz w:val="18"/>
                <w:szCs w:val="18"/>
                <w:color w:val="auto"/>
              </w:rPr>
              <w:t>41,826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41,826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7"/>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41,826</w:t>
            </w:r>
          </w:p>
        </w:tc>
        <w:tc>
          <w:tcPr>
            <w:tcW w:w="0" w:type="dxa"/>
            <w:vAlign w:val="bottom"/>
          </w:tcPr>
          <w:p>
            <w:pPr>
              <w:spacing w:after="0"/>
              <w:rPr>
                <w:sz w:val="1"/>
                <w:szCs w:val="1"/>
                <w:color w:val="auto"/>
              </w:rPr>
            </w:pPr>
          </w:p>
        </w:tc>
      </w:tr>
      <w:tr>
        <w:trPr>
          <w:trHeight w:val="202"/>
        </w:trPr>
        <w:tc>
          <w:tcPr>
            <w:tcW w:w="2760" w:type="dxa"/>
            <w:vAlign w:val="bottom"/>
            <w:tcBorders>
              <w:right w:val="single" w:sz="8" w:color="CCEEFF"/>
            </w:tcBorders>
            <w:gridSpan w:val="6"/>
            <w:shd w:val="clear" w:color="auto" w:fill="CCEEFF"/>
          </w:tcPr>
          <w:p>
            <w:pPr>
              <w:spacing w:after="0" w:line="201" w:lineRule="exact"/>
              <w:rPr>
                <w:sz w:val="20"/>
                <w:szCs w:val="20"/>
                <w:color w:val="auto"/>
              </w:rPr>
            </w:pPr>
            <w:r>
              <w:rPr>
                <w:rFonts w:ascii="Arial" w:cs="Arial" w:eastAsia="Arial" w:hAnsi="Arial"/>
                <w:sz w:val="18"/>
                <w:szCs w:val="18"/>
                <w:color w:val="auto"/>
                <w:w w:val="94"/>
              </w:rPr>
              <w:t>Stock-based compensation</w:t>
            </w:r>
          </w:p>
        </w:tc>
        <w:tc>
          <w:tcPr>
            <w:tcW w:w="2020" w:type="dxa"/>
            <w:vAlign w:val="bottom"/>
            <w:tcBorders>
              <w:right w:val="single" w:sz="8" w:color="CCEEFF"/>
            </w:tcBorders>
            <w:gridSpan w:val="14"/>
            <w:shd w:val="clear" w:color="auto" w:fill="CCEEFF"/>
          </w:tcPr>
          <w:p>
            <w:pPr>
              <w:spacing w:after="0"/>
              <w:rPr>
                <w:sz w:val="17"/>
                <w:szCs w:val="17"/>
                <w:color w:val="auto"/>
              </w:rPr>
            </w:pPr>
          </w:p>
        </w:tc>
        <w:tc>
          <w:tcPr>
            <w:tcW w:w="1880" w:type="dxa"/>
            <w:vAlign w:val="bottom"/>
            <w:tcBorders>
              <w:right w:val="single" w:sz="8" w:color="CCEEFF"/>
            </w:tcBorders>
            <w:gridSpan w:val="16"/>
            <w:shd w:val="clear" w:color="auto" w:fill="CCEEFF"/>
          </w:tcPr>
          <w:p>
            <w:pPr>
              <w:spacing w:after="0"/>
              <w:rPr>
                <w:sz w:val="17"/>
                <w:szCs w:val="17"/>
                <w:color w:val="auto"/>
              </w:rPr>
            </w:pPr>
          </w:p>
        </w:tc>
        <w:tc>
          <w:tcPr>
            <w:tcW w:w="900" w:type="dxa"/>
            <w:vAlign w:val="bottom"/>
            <w:tcBorders>
              <w:right w:val="single" w:sz="8" w:color="CCEEFF"/>
            </w:tcBorders>
            <w:gridSpan w:val="6"/>
            <w:shd w:val="clear" w:color="auto" w:fill="CCEEFF"/>
          </w:tcPr>
          <w:p>
            <w:pPr>
              <w:spacing w:after="0"/>
              <w:rPr>
                <w:sz w:val="17"/>
                <w:szCs w:val="17"/>
                <w:color w:val="auto"/>
              </w:rPr>
            </w:pPr>
          </w:p>
        </w:tc>
        <w:tc>
          <w:tcPr>
            <w:tcW w:w="920" w:type="dxa"/>
            <w:vAlign w:val="bottom"/>
            <w:tcBorders>
              <w:right w:val="single" w:sz="8" w:color="CCEEFF"/>
            </w:tcBorders>
            <w:gridSpan w:val="5"/>
            <w:shd w:val="clear" w:color="auto" w:fill="CCEEFF"/>
          </w:tcPr>
          <w:p>
            <w:pPr>
              <w:spacing w:after="0"/>
              <w:rPr>
                <w:sz w:val="17"/>
                <w:szCs w:val="17"/>
                <w:color w:val="auto"/>
              </w:rPr>
            </w:pPr>
          </w:p>
        </w:tc>
        <w:tc>
          <w:tcPr>
            <w:tcW w:w="1800" w:type="dxa"/>
            <w:vAlign w:val="bottom"/>
            <w:tcBorders>
              <w:right w:val="single" w:sz="8" w:color="CCEEFF"/>
            </w:tcBorders>
            <w:gridSpan w:val="11"/>
            <w:shd w:val="clear" w:color="auto" w:fill="CCEEFF"/>
          </w:tcPr>
          <w:p>
            <w:pPr>
              <w:spacing w:after="0"/>
              <w:rPr>
                <w:sz w:val="17"/>
                <w:szCs w:val="17"/>
                <w:color w:val="auto"/>
              </w:rPr>
            </w:pPr>
          </w:p>
        </w:tc>
        <w:tc>
          <w:tcPr>
            <w:tcW w:w="740" w:type="dxa"/>
            <w:vAlign w:val="bottom"/>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 (Note 10)</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60" w:type="dxa"/>
            <w:vAlign w:val="bottom"/>
            <w:gridSpan w:val="4"/>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7"/>
            <w:shd w:val="clear" w:color="auto" w:fill="CCEEFF"/>
          </w:tcPr>
          <w:p>
            <w:pPr>
              <w:jc w:val="right"/>
              <w:ind w:right="54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20"/>
                <w:szCs w:val="20"/>
                <w:color w:val="auto"/>
              </w:rPr>
            </w:pPr>
          </w:p>
        </w:tc>
        <w:tc>
          <w:tcPr>
            <w:tcW w:w="1020" w:type="dxa"/>
            <w:vAlign w:val="bottom"/>
            <w:gridSpan w:val="5"/>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7"/>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7"/>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2"/>
        </w:trPr>
        <w:tc>
          <w:tcPr>
            <w:tcW w:w="11020" w:type="dxa"/>
            <w:vAlign w:val="bottom"/>
            <w:gridSpan w:val="61"/>
          </w:tcPr>
          <w:p>
            <w:pPr>
              <w:spacing w:after="0" w:line="201" w:lineRule="exact"/>
              <w:rPr>
                <w:sz w:val="20"/>
                <w:szCs w:val="20"/>
                <w:color w:val="auto"/>
              </w:rPr>
            </w:pPr>
            <w:r>
              <w:rPr>
                <w:rFonts w:ascii="Arial" w:cs="Arial" w:eastAsia="Arial" w:hAnsi="Arial"/>
                <w:sz w:val="18"/>
                <w:szCs w:val="18"/>
                <w:color w:val="auto"/>
              </w:rPr>
              <w:t>Acquisition of</w:t>
            </w:r>
          </w:p>
        </w:tc>
        <w:tc>
          <w:tcPr>
            <w:tcW w:w="0" w:type="dxa"/>
            <w:vAlign w:val="bottom"/>
          </w:tcPr>
          <w:p>
            <w:pPr>
              <w:spacing w:after="0"/>
              <w:rPr>
                <w:sz w:val="1"/>
                <w:szCs w:val="1"/>
                <w:color w:val="auto"/>
              </w:rPr>
            </w:pPr>
          </w:p>
        </w:tc>
      </w:tr>
      <w:tr>
        <w:trPr>
          <w:trHeight w:val="216"/>
        </w:trPr>
        <w:tc>
          <w:tcPr>
            <w:tcW w:w="11020" w:type="dxa"/>
            <w:vAlign w:val="bottom"/>
            <w:gridSpan w:val="61"/>
          </w:tcPr>
          <w:p>
            <w:pPr>
              <w:ind w:left="180"/>
              <w:spacing w:after="0"/>
              <w:rPr>
                <w:sz w:val="20"/>
                <w:szCs w:val="20"/>
                <w:color w:val="auto"/>
              </w:rPr>
            </w:pPr>
            <w:r>
              <w:rPr>
                <w:rFonts w:ascii="Arial" w:cs="Arial" w:eastAsia="Arial" w:hAnsi="Arial"/>
                <w:sz w:val="18"/>
                <w:szCs w:val="18"/>
                <w:color w:val="auto"/>
              </w:rPr>
              <w:t>Noncontrolling Interest</w:t>
            </w:r>
          </w:p>
        </w:tc>
        <w:tc>
          <w:tcPr>
            <w:tcW w:w="0" w:type="dxa"/>
            <w:vAlign w:val="bottom"/>
          </w:tcPr>
          <w:p>
            <w:pPr>
              <w:spacing w:after="0"/>
              <w:rPr>
                <w:sz w:val="1"/>
                <w:szCs w:val="1"/>
                <w:color w:val="auto"/>
              </w:rPr>
            </w:pPr>
          </w:p>
        </w:tc>
      </w:tr>
      <w:tr>
        <w:trPr>
          <w:trHeight w:val="237"/>
        </w:trPr>
        <w:tc>
          <w:tcPr>
            <w:tcW w:w="2080" w:type="dxa"/>
            <w:vAlign w:val="bottom"/>
          </w:tcPr>
          <w:p>
            <w:pPr>
              <w:ind w:left="180"/>
              <w:spacing w:after="0"/>
              <w:rPr>
                <w:sz w:val="20"/>
                <w:szCs w:val="20"/>
                <w:color w:val="auto"/>
              </w:rPr>
            </w:pPr>
            <w:r>
              <w:rPr>
                <w:rFonts w:ascii="Arial" w:cs="Arial" w:eastAsia="Arial" w:hAnsi="Arial"/>
                <w:sz w:val="18"/>
                <w:szCs w:val="18"/>
                <w:color w:val="auto"/>
              </w:rPr>
              <w:t>(Note 10)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gridSpan w:val="4"/>
          </w:tcPr>
          <w:p>
            <w:pPr>
              <w:jc w:val="center"/>
              <w:ind w:right="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7"/>
          </w:tcPr>
          <w:p>
            <w:pPr>
              <w:jc w:val="right"/>
              <w:ind w:right="54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1020" w:type="dxa"/>
            <w:vAlign w:val="bottom"/>
            <w:gridSpan w:val="5"/>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gridSpan w:val="7"/>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5"/>
          </w:tcPr>
          <w:p>
            <w:pPr>
              <w:jc w:val="right"/>
              <w:ind w:right="60"/>
              <w:spacing w:after="0"/>
              <w:rPr>
                <w:sz w:val="20"/>
                <w:szCs w:val="20"/>
                <w:color w:val="auto"/>
              </w:rPr>
            </w:pPr>
            <w:r>
              <w:rPr>
                <w:rFonts w:ascii="Arial" w:cs="Arial" w:eastAsia="Arial" w:hAnsi="Arial"/>
                <w:sz w:val="18"/>
                <w:szCs w:val="18"/>
                <w:color w:val="auto"/>
              </w:rPr>
              <w:t>(8,757)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(8,757)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5"/>
          </w:tcPr>
          <w:p>
            <w:pPr>
              <w:jc w:val="right"/>
              <w:ind w:right="360"/>
              <w:spacing w:after="0"/>
              <w:rPr>
                <w:sz w:val="20"/>
                <w:szCs w:val="20"/>
                <w:color w:val="auto"/>
              </w:rPr>
            </w:pPr>
            <w:r>
              <w:rPr>
                <w:rFonts w:ascii="Arial" w:cs="Arial" w:eastAsia="Arial" w:hAnsi="Arial"/>
                <w:sz w:val="18"/>
                <w:szCs w:val="18"/>
                <w:color w:val="auto"/>
              </w:rPr>
              <w:t>(27,243)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(36,000)</w:t>
            </w:r>
          </w:p>
        </w:tc>
        <w:tc>
          <w:tcPr>
            <w:tcW w:w="0" w:type="dxa"/>
            <w:vAlign w:val="bottom"/>
          </w:tcPr>
          <w:p>
            <w:pPr>
              <w:spacing w:after="0"/>
              <w:rPr>
                <w:sz w:val="1"/>
                <w:szCs w:val="1"/>
                <w:color w:val="auto"/>
              </w:rPr>
            </w:pPr>
          </w:p>
        </w:tc>
      </w:tr>
      <w:tr>
        <w:trPr>
          <w:trHeight w:val="198"/>
        </w:trPr>
        <w:tc>
          <w:tcPr>
            <w:tcW w:w="21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September 30,</w:t>
            </w:r>
          </w:p>
        </w:tc>
        <w:tc>
          <w:tcPr>
            <w:tcW w:w="560" w:type="dxa"/>
            <w:vAlign w:val="bottom"/>
            <w:tcBorders>
              <w:top w:val="single" w:sz="8" w:color="auto"/>
            </w:tcBorders>
            <w:gridSpan w:val="3"/>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300" w:type="dxa"/>
            <w:vAlign w:val="bottom"/>
            <w:gridSpan w:val="3"/>
            <w:shd w:val="clear" w:color="auto" w:fill="CCEEFF"/>
          </w:tcPr>
          <w:p>
            <w:pPr>
              <w:spacing w:after="0"/>
              <w:rPr>
                <w:sz w:val="17"/>
                <w:szCs w:val="17"/>
                <w:color w:val="auto"/>
              </w:rPr>
            </w:pPr>
          </w:p>
        </w:tc>
        <w:tc>
          <w:tcPr>
            <w:tcW w:w="360" w:type="dxa"/>
            <w:vAlign w:val="bottom"/>
            <w:tcBorders>
              <w:top w:val="single" w:sz="8" w:color="auto"/>
            </w:tcBorders>
            <w:gridSpan w:val="2"/>
            <w:shd w:val="clear" w:color="auto" w:fill="CCEEFF"/>
          </w:tcPr>
          <w:p>
            <w:pPr>
              <w:spacing w:after="0"/>
              <w:rPr>
                <w:sz w:val="17"/>
                <w:szCs w:val="17"/>
                <w:color w:val="auto"/>
              </w:rPr>
            </w:pPr>
          </w:p>
        </w:tc>
        <w:tc>
          <w:tcPr>
            <w:tcW w:w="400" w:type="dxa"/>
            <w:vAlign w:val="bottom"/>
            <w:gridSpan w:val="5"/>
            <w:shd w:val="clear" w:color="auto" w:fill="CCEEFF"/>
          </w:tcPr>
          <w:p>
            <w:pPr>
              <w:spacing w:after="0"/>
              <w:rPr>
                <w:sz w:val="17"/>
                <w:szCs w:val="17"/>
                <w:color w:val="auto"/>
              </w:rPr>
            </w:pPr>
          </w:p>
        </w:tc>
        <w:tc>
          <w:tcPr>
            <w:tcW w:w="880" w:type="dxa"/>
            <w:vAlign w:val="bottom"/>
            <w:tcBorders>
              <w:top w:val="single" w:sz="8" w:color="auto"/>
            </w:tcBorders>
            <w:gridSpan w:val="3"/>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320" w:type="dxa"/>
            <w:vAlign w:val="bottom"/>
            <w:gridSpan w:val="4"/>
            <w:shd w:val="clear" w:color="auto" w:fill="CCEEFF"/>
          </w:tcPr>
          <w:p>
            <w:pPr>
              <w:spacing w:after="0"/>
              <w:rPr>
                <w:sz w:val="17"/>
                <w:szCs w:val="17"/>
                <w:color w:val="auto"/>
              </w:rPr>
            </w:pPr>
          </w:p>
        </w:tc>
        <w:tc>
          <w:tcPr>
            <w:tcW w:w="360" w:type="dxa"/>
            <w:vAlign w:val="bottom"/>
            <w:tcBorders>
              <w:top w:val="single" w:sz="8" w:color="auto"/>
            </w:tcBorders>
            <w:gridSpan w:val="3"/>
            <w:shd w:val="clear" w:color="auto" w:fill="CCEEFF"/>
          </w:tcPr>
          <w:p>
            <w:pPr>
              <w:spacing w:after="0"/>
              <w:rPr>
                <w:sz w:val="17"/>
                <w:szCs w:val="17"/>
                <w:color w:val="auto"/>
              </w:rPr>
            </w:pPr>
          </w:p>
        </w:tc>
        <w:tc>
          <w:tcPr>
            <w:tcW w:w="400" w:type="dxa"/>
            <w:vAlign w:val="bottom"/>
            <w:gridSpan w:val="5"/>
            <w:shd w:val="clear" w:color="auto" w:fill="CCEEFF"/>
          </w:tcPr>
          <w:p>
            <w:pPr>
              <w:spacing w:after="0"/>
              <w:rPr>
                <w:sz w:val="17"/>
                <w:szCs w:val="17"/>
                <w:color w:val="auto"/>
              </w:rPr>
            </w:pPr>
          </w:p>
        </w:tc>
        <w:tc>
          <w:tcPr>
            <w:tcW w:w="680" w:type="dxa"/>
            <w:vAlign w:val="bottom"/>
            <w:tcBorders>
              <w:top w:val="single" w:sz="8" w:color="auto"/>
            </w:tcBorders>
            <w:gridSpan w:val="3"/>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gridSpan w:val="2"/>
            <w:shd w:val="clear" w:color="auto" w:fill="CCEEFF"/>
          </w:tcPr>
          <w:p>
            <w:pPr>
              <w:spacing w:after="0"/>
              <w:rPr>
                <w:sz w:val="17"/>
                <w:szCs w:val="17"/>
                <w:color w:val="auto"/>
              </w:rPr>
            </w:pPr>
          </w:p>
        </w:tc>
        <w:tc>
          <w:tcPr>
            <w:tcW w:w="740" w:type="dxa"/>
            <w:vAlign w:val="bottom"/>
            <w:tcBorders>
              <w:top w:val="single" w:sz="8" w:color="auto"/>
            </w:tcBorders>
            <w:gridSpan w:val="3"/>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gridSpan w:val="2"/>
            <w:shd w:val="clear" w:color="auto" w:fill="CCEEFF"/>
          </w:tcPr>
          <w:p>
            <w:pPr>
              <w:spacing w:after="0"/>
              <w:rPr>
                <w:sz w:val="17"/>
                <w:szCs w:val="17"/>
                <w:color w:val="auto"/>
              </w:rPr>
            </w:pPr>
          </w:p>
        </w:tc>
        <w:tc>
          <w:tcPr>
            <w:tcW w:w="800" w:type="dxa"/>
            <w:vAlign w:val="bottom"/>
            <w:tcBorders>
              <w:top w:val="single" w:sz="8" w:color="auto"/>
              <w:right w:val="single" w:sz="8" w:color="CCEEFF"/>
            </w:tcBorders>
            <w:gridSpan w:val="3"/>
            <w:shd w:val="clear" w:color="auto" w:fill="CCEEFF"/>
          </w:tcPr>
          <w:p>
            <w:pPr>
              <w:spacing w:after="0"/>
              <w:rPr>
                <w:sz w:val="17"/>
                <w:szCs w:val="17"/>
                <w:color w:val="auto"/>
              </w:rPr>
            </w:pPr>
          </w:p>
        </w:tc>
        <w:tc>
          <w:tcPr>
            <w:tcW w:w="540" w:type="dxa"/>
            <w:vAlign w:val="bottom"/>
            <w:gridSpan w:val="3"/>
            <w:shd w:val="clear" w:color="auto" w:fill="CCEEFF"/>
          </w:tcPr>
          <w:p>
            <w:pPr>
              <w:spacing w:after="0"/>
              <w:rPr>
                <w:sz w:val="17"/>
                <w:szCs w:val="17"/>
                <w:color w:val="auto"/>
              </w:rPr>
            </w:pPr>
          </w:p>
        </w:tc>
        <w:tc>
          <w:tcPr>
            <w:tcW w:w="680" w:type="dxa"/>
            <w:vAlign w:val="bottom"/>
            <w:tcBorders>
              <w:top w:val="single" w:sz="8" w:color="auto"/>
            </w:tcBorders>
            <w:gridSpan w:val="3"/>
            <w:shd w:val="clear" w:color="auto" w:fill="CCEEFF"/>
          </w:tcPr>
          <w:p>
            <w:pPr>
              <w:spacing w:after="0"/>
              <w:rPr>
                <w:sz w:val="17"/>
                <w:szCs w:val="17"/>
                <w:color w:val="auto"/>
              </w:rPr>
            </w:pPr>
          </w:p>
        </w:tc>
        <w:tc>
          <w:tcPr>
            <w:tcW w:w="580" w:type="dxa"/>
            <w:vAlign w:val="bottom"/>
            <w:tcBorders>
              <w:right w:val="single" w:sz="8" w:color="CCEEFF"/>
            </w:tcBorders>
            <w:gridSpan w:val="5"/>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2021 (unaudited)</w:t>
            </w:r>
          </w:p>
        </w:tc>
        <w:tc>
          <w:tcPr>
            <w:tcW w:w="6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23,032</w:t>
            </w:r>
          </w:p>
        </w:tc>
        <w:tc>
          <w:tcPr>
            <w:tcW w:w="60" w:type="dxa"/>
            <w:vAlign w:val="bottom"/>
            <w:tcBorders>
              <w:righ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w:t>
            </w:r>
          </w:p>
        </w:tc>
        <w:tc>
          <w:tcPr>
            <w:tcW w:w="400" w:type="dxa"/>
            <w:vAlign w:val="bottom"/>
            <w:gridSpan w:val="5"/>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25,198,606</w:t>
            </w:r>
          </w:p>
        </w:tc>
        <w:tc>
          <w:tcPr>
            <w:tcW w:w="8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676,561</w:t>
            </w:r>
          </w:p>
        </w:tc>
        <w:tc>
          <w:tcPr>
            <w:tcW w:w="2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w w:val="96"/>
              </w:rPr>
              <w:t>$</w:t>
            </w:r>
            <w:r>
              <w:rPr>
                <w:rFonts w:ascii="Arial" w:cs="Arial" w:eastAsia="Arial" w:hAnsi="Arial"/>
                <w:sz w:val="18"/>
                <w:szCs w:val="18"/>
                <w:b w:val="1"/>
                <w:bCs w:val="1"/>
                <w:color w:val="auto"/>
                <w:w w:val="96"/>
              </w:rPr>
              <w:t>(699,685)</w:t>
            </w:r>
          </w:p>
        </w:tc>
        <w:tc>
          <w:tcPr>
            <w:tcW w:w="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 (23,122)</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$ 70,454</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1"/>
              </w:rPr>
              <w:t>$ 47,332</w:t>
            </w:r>
          </w:p>
        </w:tc>
        <w:tc>
          <w:tcPr>
            <w:tcW w:w="0" w:type="dxa"/>
            <w:vAlign w:val="bottom"/>
          </w:tcPr>
          <w:p>
            <w:pPr>
              <w:spacing w:after="0"/>
              <w:rPr>
                <w:sz w:val="1"/>
                <w:szCs w:val="1"/>
                <w:color w:val="auto"/>
              </w:rPr>
            </w:pPr>
          </w:p>
        </w:tc>
      </w:tr>
      <w:tr>
        <w:trPr>
          <w:trHeight w:val="20"/>
        </w:trPr>
        <w:tc>
          <w:tcPr>
            <w:tcW w:w="214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80" w:type="dxa"/>
            <w:vAlign w:val="bottom"/>
            <w:tcBorders>
              <w:top w:val="single" w:sz="8" w:color="auto"/>
              <w:bottom w:val="single" w:sz="8" w:color="auto"/>
            </w:tcBorders>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60" w:type="dxa"/>
            <w:vAlign w:val="bottom"/>
            <w:tcBorders>
              <w:top w:val="single" w:sz="8" w:color="auto"/>
              <w:bottom w:val="single" w:sz="8" w:color="auto"/>
            </w:tcBorders>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0" w:type="dxa"/>
            <w:vAlign w:val="bottom"/>
            <w:tcBorders>
              <w:top w:val="single" w:sz="8" w:color="auto"/>
              <w:bottom w:val="single" w:sz="8" w:color="auto"/>
            </w:tcBorders>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020" w:type="dxa"/>
            <w:vAlign w:val="bottom"/>
            <w:gridSpan w:val="61"/>
          </w:tcPr>
          <w:p>
            <w:pPr>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CONDENSED NOTES TO THE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(Expressed in thousands of U.S. dollars — except share data)</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DESCRIPTION OF BUSINESS</w:t>
      </w:r>
    </w:p>
    <w:p>
      <w:pPr>
        <w:spacing w:after="0" w:line="121" w:lineRule="exact"/>
        <w:rPr>
          <w:sz w:val="20"/>
          <w:szCs w:val="20"/>
          <w:color w:val="auto"/>
        </w:rPr>
      </w:pPr>
    </w:p>
    <w:p>
      <w:pPr>
        <w:ind w:left="120" w:right="300" w:firstLine="440"/>
        <w:spacing w:after="0" w:line="291" w:lineRule="auto"/>
        <w:rPr>
          <w:sz w:val="20"/>
          <w:szCs w:val="20"/>
          <w:color w:val="auto"/>
        </w:rPr>
      </w:pPr>
      <w:r>
        <w:rPr>
          <w:rFonts w:ascii="Arial" w:cs="Arial" w:eastAsia="Arial" w:hAnsi="Arial"/>
          <w:sz w:val="16"/>
          <w:szCs w:val="16"/>
          <w:color w:val="auto"/>
        </w:rPr>
        <w:t>Navios Maritime Holdings Inc. (“Navios Holdings” or the “Company”) (NYSE: NM) owns (i) a controlling equity stake in Navios South American Logistics Inc. (“Navios Logistics”), one of the largest infrastructure and logistics companies in the Hidrovia region of South America; and</w:t>
      </w:r>
    </w:p>
    <w:p>
      <w:pPr>
        <w:ind w:left="120" w:right="320" w:hanging="4"/>
        <w:spacing w:after="0" w:line="260" w:lineRule="auto"/>
        <w:tabs>
          <w:tab w:leader="none" w:pos="38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interest in Navios Maritime Partners L.P. (“Navios Partners”) (NYSE:NMM), a United States publicly listed shipping company that owns and operates dry cargo and tanker vessels.</w:t>
      </w:r>
    </w:p>
    <w:p>
      <w:pPr>
        <w:spacing w:after="0" w:line="185"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In September 2022, Navios Holdings completed the sale of its 36-vessel dry bulk fleet consisting of cash and the assumption of bank debt and finance leases related to the vessels, and subject to a working capital adjustment at closing (the “Transaction”), to Navios Partners. The former dry bulk vessel operations were historically a separate reportable segment of the Company. Subsequent to the closing of the Transaction, the results of the dry bulk vessel operations are reported as discontinued operations for all periods presented. For further information see Note 15 “Discontinued operations” in the interim condensed consolidated financial statements. Upon the closing of the Transaction, the Company has one reportable segment.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Navios South American Logistics Inc.</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Navios Logistics, a consolidated subsidiary of the Company, was incorporated under the laws of the Republic of the Marshall Islands on December 17, 2007. Navios Logistics believes it is one of the largest infrastructure and logistics companies in the Hidrovia region river system, the main navigable river system in the region (the “Hidrovia region”), and on the cabotage trades along the south-eastern coast of South America. Navios Logistics serves its customers in the Hidrovia region through its three existing port storage and transfer facilities (the “Port Terminal Business”). The Port Terminal Business comprises its grain port terminal (the “Grain Port Terminal”), which supports agricultural and forest-related exports; its iron-ore port terminal (the “Iron Ore Port Terminal”), which supports mineral-related exports; and its liquid port terminal (the “Liquid Port Terminal”), with tank storage for refined petroleum products. The Grain Port Terminal and the Iron Ore Port Terminal (together, the “Dry Port Terminal”) are located in Nueva Palmira, Uruguay, and the Liquid Port Terminal is located in San Antonio, Paraguay. Navios Logistics complements these three port terminals with a diverse fleet of 271 barges and 30 pushboats that operate in its barge business (the “Barge Business”), and seven vessels, comprising five tankers, one bunker vessel and one river and estuary product tanker, all of which operate in its cabotage business (“the Cabotage Business”). Navios Logistics provides transportation for dry cargo (cereals, cotton pellets, soybeans, wheat, limestone (clinker), mineral iron, and rolling stones), liquid cargo (hydrocarbons such as crude oil, gas oil, naphtha, fuel oil and vegetable oils) and liquefied cargo (liquefied petroleum gas or “LPG”). As of September 30, 2022, Navios Holdings owned 63.8% of Navios Logistics’ stock.</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Navios Partners</w:t>
      </w:r>
    </w:p>
    <w:p>
      <w:pPr>
        <w:spacing w:after="0" w:line="117"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Navios Partners is an international owner and operator of dry cargo and tanker vessels and is engaged in the seaborne transportation services of a wide range of liquid and dry cargo commodities. Types of commodities Navios Partners transports include crude oil, refined petroleum, chemicals, iron ore, coal, grain, fertilizer and containers. Navios Partners charters its vessels under short-, medium-, and longer-term charters.</w:t>
      </w:r>
    </w:p>
    <w:p>
      <w:pPr>
        <w:spacing w:after="0" w:line="14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On March 31, 2021, Navios Partners acquired Navios Maritime Containers L.P. (“Navios Containers”) in a merger transaction (the “NMCI Merger”). Following the completion of the NMCI Merger Navios Holdings had no equity investment in Navios Containers. For more information about the NMCI Merger, see Note 13 “Investments in Affiliate Companies and Investments in Available-For-Sale Securities” to the interim condensed consolidated financial statements.</w:t>
      </w:r>
    </w:p>
    <w:p>
      <w:pPr>
        <w:spacing w:after="0" w:line="18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On October 15, 2021, Navios Maritime Acquisition Corporation (“Navios Acquisition”) and Navios Partners consummated a merger transaction (the “NNA Merger”). Following the consummation of the NNA Merger, Navios Holdings had no equity investment in Navios Acquisition. For more information about the NNA Merger, see Note 13 “Investments in Affiliate Companies and Investments in Available-For-Sale Securities” to the interim condensed consolidated financial statements.</w:t>
      </w:r>
    </w:p>
    <w:p>
      <w:pPr>
        <w:spacing w:after="0" w:line="187"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As of both September 30, 2022 and December 31, 2021, Navios Holdings had a 10.3% ownership interest in Navios Partners. Incentive distribution rights are held by a consolidated subsidiary of Navios Holdings.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CONDENSED NOTES TO THE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(Expressed in thousands of U.S. dollars — except share data)</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35" w:lineRule="exact"/>
        <w:rPr>
          <w:sz w:val="20"/>
          <w:szCs w:val="20"/>
          <w:color w:val="auto"/>
        </w:rPr>
      </w:pPr>
    </w:p>
    <w:p>
      <w:pPr>
        <w:ind w:left="540" w:right="80" w:hanging="424"/>
        <w:spacing w:after="0" w:line="290"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The accompanying interim condensed consolidated financial statements are unaudited, but, in the opinion of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reflect all adjustments for a fair statement of Navios Holdings’ consolidated balance sheets, statements of comprehensive income, statements of cash flows and statements of changes in equity for the periods presented. The results of operations for the interim periods are not necessarily indicative of results for the full year. The footnotes are condensed as permitted by the requirements for interim financial statements and accordingly, do not include information and disclosures required under United States generally accepted accounting principles (“U.S. GAAP”) for complete financial statements. All such adjustments are deemed to be of a normal recurring nature. These interim financial statements should be read in conjunction with the Company’s consolidated financial statements and notes included in Navios Holdings’ Annual Report for the year ended December 31, 2021 filed on Form 20-F with the Securities and Exchange Commission (“SEC”).</w:t>
      </w:r>
    </w:p>
    <w:p>
      <w:pPr>
        <w:spacing w:after="0" w:line="57" w:lineRule="exact"/>
        <w:rPr>
          <w:sz w:val="20"/>
          <w:szCs w:val="20"/>
          <w:color w:val="auto"/>
        </w:rPr>
      </w:pPr>
    </w:p>
    <w:p>
      <w:pPr>
        <w:ind w:left="560" w:right="80" w:firstLine="423"/>
        <w:spacing w:after="0" w:line="272" w:lineRule="auto"/>
        <w:rPr>
          <w:sz w:val="20"/>
          <w:szCs w:val="20"/>
          <w:color w:val="auto"/>
        </w:rPr>
      </w:pPr>
      <w:r>
        <w:rPr>
          <w:rFonts w:ascii="Arial" w:cs="Arial" w:eastAsia="Arial" w:hAnsi="Arial"/>
          <w:sz w:val="17"/>
          <w:szCs w:val="17"/>
          <w:color w:val="auto"/>
        </w:rPr>
        <w:t>Based on internal forecasts and projections that take into account potential changes in the Company’s trading performance and other assets, management believes that the Company has adequate financial resources to continue in operation and meet its financial commitments, including but not limited to capital expenditures and debt service obligations, for a period of at least twelve months from the date of issuance of the interim condensed consolidated financial statements. Although internal forecasts and projections are driven by market data and are subject to future volatility along with other factors outside the control of the Company, with the existence of alternative liquidity sources and management’s ability to utilize them if needed, management concludes that the Company has the ability to continue as a going concern as of the date of the issuance of the interim condensed consolidated financial statements.</w:t>
      </w:r>
    </w:p>
    <w:p>
      <w:pPr>
        <w:spacing w:after="0" w:line="69" w:lineRule="exact"/>
        <w:rPr>
          <w:sz w:val="20"/>
          <w:szCs w:val="20"/>
          <w:color w:val="auto"/>
        </w:rPr>
      </w:pPr>
    </w:p>
    <w:p>
      <w:pPr>
        <w:ind w:left="560" w:firstLine="423"/>
        <w:spacing w:after="0" w:line="259" w:lineRule="auto"/>
        <w:rPr>
          <w:sz w:val="20"/>
          <w:szCs w:val="20"/>
          <w:color w:val="auto"/>
        </w:rPr>
      </w:pPr>
      <w:r>
        <w:rPr>
          <w:rFonts w:ascii="Arial" w:cs="Arial" w:eastAsia="Arial" w:hAnsi="Arial"/>
          <w:sz w:val="18"/>
          <w:szCs w:val="18"/>
          <w:color w:val="auto"/>
        </w:rPr>
        <w:t>Following Russia’s invasion of Ukraine in February 2022 the United States, the European Union, the United Kingdom and other countries have announced sanctions against Russia, and may impose wider sanctions and take other actions in the future. To date, no apparent consequences have been identified on the Company’s business. Notwithstanding the foregoing, it is possible that these tensions might eventually have an adverse impact on our business, financial condition, results of operations and cash flows.</w:t>
      </w:r>
    </w:p>
    <w:p>
      <w:pPr>
        <w:spacing w:after="0" w:line="214" w:lineRule="exact"/>
        <w:rPr>
          <w:sz w:val="20"/>
          <w:szCs w:val="20"/>
          <w:color w:val="auto"/>
        </w:rPr>
      </w:pPr>
    </w:p>
    <w:p>
      <w:pPr>
        <w:ind w:left="540" w:right="100" w:hanging="424"/>
        <w:spacing w:after="0" w:line="263"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accompanying interim condensed consolidated financial statements include the accounts of Navios Holdings,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Marshall Islands corporation, and its majority owned subsidiaries. All significant intercompany balances and transactions have been eliminated in the consolidated statements.</w:t>
      </w:r>
    </w:p>
    <w:p>
      <w:pPr>
        <w:spacing w:after="0" w:line="76" w:lineRule="exact"/>
        <w:rPr>
          <w:sz w:val="20"/>
          <w:szCs w:val="20"/>
          <w:color w:val="auto"/>
        </w:rPr>
      </w:pPr>
    </w:p>
    <w:p>
      <w:pPr>
        <w:ind w:left="560" w:right="20" w:firstLine="423"/>
        <w:spacing w:after="0" w:line="255" w:lineRule="auto"/>
        <w:rPr>
          <w:sz w:val="20"/>
          <w:szCs w:val="20"/>
          <w:color w:val="auto"/>
        </w:rPr>
      </w:pPr>
      <w:r>
        <w:rPr>
          <w:rFonts w:ascii="Arial" w:cs="Arial" w:eastAsia="Arial" w:hAnsi="Arial"/>
          <w:sz w:val="18"/>
          <w:szCs w:val="18"/>
          <w:b w:val="1"/>
          <w:bCs w:val="1"/>
          <w:i w:val="1"/>
          <w:iCs w:val="1"/>
          <w:color w:val="auto"/>
        </w:rPr>
        <w:t xml:space="preserve">Subsidiaries: </w:t>
      </w:r>
      <w:r>
        <w:rPr>
          <w:rFonts w:ascii="Arial" w:cs="Arial" w:eastAsia="Arial" w:hAnsi="Arial"/>
          <w:sz w:val="18"/>
          <w:szCs w:val="18"/>
          <w:color w:val="auto"/>
        </w:rPr>
        <w:t>Subsidiaries are those entities in which the Company has an interest of more than one half of the voting rights or otherwise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power to govern the financial and operating policies. The acquisition method of accounting is used to account for the acquisition of subsidiaries. The cost of an acquisition is measured as the fair value of the assets given up, shares issued or liabilities undertaken at the date of acquisition. The excess of the cost of acquisition over the fair value of the net assets acquired and liabilities assumed is recorded as goodwill. All subsidiaries included in the interim condensed consolidated financial statements are 100% owned, except for Navios Logistics, which is 63.8% owned by Navios Holdings.</w:t>
      </w:r>
    </w:p>
    <w:p>
      <w:pPr>
        <w:spacing w:after="0" w:line="84" w:lineRule="exact"/>
        <w:rPr>
          <w:sz w:val="20"/>
          <w:szCs w:val="20"/>
          <w:color w:val="auto"/>
        </w:rPr>
      </w:pPr>
    </w:p>
    <w:p>
      <w:pPr>
        <w:ind w:left="560" w:right="20" w:firstLine="423"/>
        <w:spacing w:after="0" w:line="290" w:lineRule="auto"/>
        <w:rPr>
          <w:sz w:val="20"/>
          <w:szCs w:val="20"/>
          <w:color w:val="auto"/>
        </w:rPr>
      </w:pPr>
      <w:r>
        <w:rPr>
          <w:rFonts w:ascii="Arial" w:cs="Arial" w:eastAsia="Arial" w:hAnsi="Arial"/>
          <w:sz w:val="16"/>
          <w:szCs w:val="16"/>
          <w:b w:val="1"/>
          <w:bCs w:val="1"/>
          <w:i w:val="1"/>
          <w:iCs w:val="1"/>
          <w:color w:val="auto"/>
        </w:rPr>
        <w:t xml:space="preserve">Investments in Affiliate Companies: </w:t>
      </w:r>
      <w:r>
        <w:rPr>
          <w:rFonts w:ascii="Arial" w:cs="Arial" w:eastAsia="Arial" w:hAnsi="Arial"/>
          <w:sz w:val="16"/>
          <w:szCs w:val="16"/>
          <w:color w:val="auto"/>
        </w:rPr>
        <w:t>Affiliate companies are entities over which the Company generally has between 20% and 50%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voting rights, or over which the Company has significant influence, but it does not exercise control. Investments in these entities are accounted for under the equity method of accounting. Under this method, the Company records an investment in the stock of an affiliate company at cost, and adjusts the carrying amount for its share of the earnings or losses of the affiliate company subsequent to the date of investment and reports the recognized earnings or losses in income. Dividends received from an affiliate company reduce the carrying amount of the investment. The Company recognizes gains and losses in earnings for the issuance of shares by its affiliate companies, provided that the issuance of shares qualifies as a sale of shares. When the Company’s share of losses in an affiliate company equals or exceeds its interest in the affiliate company, the Company does not recognize further losses, unless the Company has incurred obligations or made payments on behalf of the affiliate company.</w:t>
      </w:r>
    </w:p>
    <w:p>
      <w:pPr>
        <w:spacing w:after="0" w:line="53" w:lineRule="exact"/>
        <w:rPr>
          <w:sz w:val="20"/>
          <w:szCs w:val="20"/>
          <w:color w:val="auto"/>
        </w:rPr>
      </w:pPr>
    </w:p>
    <w:p>
      <w:pPr>
        <w:ind w:left="560" w:right="40" w:firstLine="423"/>
        <w:spacing w:after="0" w:line="277" w:lineRule="auto"/>
        <w:rPr>
          <w:sz w:val="20"/>
          <w:szCs w:val="20"/>
          <w:color w:val="auto"/>
        </w:rPr>
      </w:pPr>
      <w:r>
        <w:rPr>
          <w:rFonts w:ascii="Arial" w:cs="Arial" w:eastAsia="Arial" w:hAnsi="Arial"/>
          <w:sz w:val="17"/>
          <w:szCs w:val="17"/>
          <w:b w:val="1"/>
          <w:bCs w:val="1"/>
          <w:color w:val="auto"/>
        </w:rPr>
        <w:t xml:space="preserve">Affiliate companies included in the financial statements accounted for under the equity method: </w:t>
      </w:r>
      <w:r>
        <w:rPr>
          <w:rFonts w:ascii="Arial" w:cs="Arial" w:eastAsia="Arial" w:hAnsi="Arial"/>
          <w:sz w:val="17"/>
          <w:szCs w:val="17"/>
          <w:color w:val="auto"/>
        </w:rPr>
        <w:t>In the interim condensed consolidated</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statements of Navios Holdings, the following entities are included as affiliate companies and are accounted for under the equity method for such periods: (i) Navios Partners and its subsidiaries (ownership interest as of June 30, 2022 was 10.3%); Navios Acquisition and its subsidiaries (ownership interest through the Navios Partners’ NNA Merger in October 2021, was 6.9%); and (iii) Navios Containers and its subsidiaries (ownership interest through Navios Partners’ NMCI Merger in March 2021 was 3.9%) .</w:t>
      </w:r>
    </w:p>
    <w:p>
      <w:pPr>
        <w:spacing w:after="0" w:line="320" w:lineRule="exact"/>
        <w:rPr>
          <w:sz w:val="20"/>
          <w:szCs w:val="20"/>
          <w:color w:val="auto"/>
        </w:rPr>
      </w:pPr>
    </w:p>
    <w:p>
      <w:pPr>
        <w:ind w:left="540" w:hanging="424"/>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560" w:right="340" w:firstLine="423"/>
        <w:spacing w:after="0" w:line="286" w:lineRule="auto"/>
        <w:rPr>
          <w:sz w:val="20"/>
          <w:szCs w:val="20"/>
          <w:color w:val="auto"/>
        </w:rPr>
      </w:pPr>
      <w:r>
        <w:rPr>
          <w:rFonts w:ascii="Arial" w:cs="Arial" w:eastAsia="Arial" w:hAnsi="Arial"/>
          <w:sz w:val="17"/>
          <w:szCs w:val="17"/>
          <w:color w:val="auto"/>
        </w:rPr>
        <w:t>Revenue is recognized when (or as) the Company transfers promised goods or services to its customers in amounts that reflect the consideration to which the company expects to be entitled to in exchange for those goods or services, which occurs when (or as) the Company satisfies its contractual obligations and transfers control of the promised goods or services to its customers.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CONDENSED NOTES TO THE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(Expressed in thousands of U.S. dollars — except share data)</w:t>
      </w:r>
    </w:p>
    <w:p>
      <w:pPr>
        <w:spacing w:after="0" w:line="251" w:lineRule="exact"/>
        <w:rPr>
          <w:sz w:val="20"/>
          <w:szCs w:val="20"/>
          <w:color w:val="auto"/>
        </w:rPr>
      </w:pPr>
    </w:p>
    <w:p>
      <w:pPr>
        <w:ind w:left="560" w:firstLine="423"/>
        <w:spacing w:after="0" w:line="275" w:lineRule="auto"/>
        <w:rPr>
          <w:sz w:val="20"/>
          <w:szCs w:val="20"/>
          <w:color w:val="auto"/>
        </w:rPr>
      </w:pPr>
      <w:r>
        <w:rPr>
          <w:rFonts w:ascii="Arial" w:cs="Arial" w:eastAsia="Arial" w:hAnsi="Arial"/>
          <w:sz w:val="17"/>
          <w:szCs w:val="17"/>
          <w:color w:val="auto"/>
        </w:rPr>
        <w:t>In determining the appropriate amount of revenue to be recognized as it fulfills its obligations under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the Company satisfies each performance obligation.</w:t>
      </w:r>
    </w:p>
    <w:p>
      <w:pPr>
        <w:spacing w:after="0" w:line="68" w:lineRule="exact"/>
        <w:rPr>
          <w:sz w:val="20"/>
          <w:szCs w:val="20"/>
          <w:color w:val="auto"/>
        </w:rPr>
      </w:pPr>
    </w:p>
    <w:p>
      <w:pPr>
        <w:ind w:left="560" w:firstLine="423"/>
        <w:spacing w:after="0" w:line="259" w:lineRule="auto"/>
        <w:rPr>
          <w:sz w:val="20"/>
          <w:szCs w:val="20"/>
          <w:color w:val="auto"/>
        </w:rPr>
      </w:pPr>
      <w:r>
        <w:rPr>
          <w:rFonts w:ascii="Arial" w:cs="Arial" w:eastAsia="Arial" w:hAnsi="Arial"/>
          <w:sz w:val="18"/>
          <w:szCs w:val="18"/>
          <w:color w:val="auto"/>
        </w:rPr>
        <w:t>Voyage revenues for the transportation of cargo are recognized ratably over the estimated relative transit time of each voyage. A voyage is deemed to commence when a vessel arrives at the loading port, as applicable under the contract, and is deemed to end upon the completion of the discharge of the current cargo. Under a voyage charter, a vessel is provided for the transportation of specific goods between specific ports in return for payment of an agreed upon freight per ton of cargo.</w:t>
      </w:r>
    </w:p>
    <w:p>
      <w:pPr>
        <w:spacing w:after="0" w:line="79" w:lineRule="exact"/>
        <w:rPr>
          <w:sz w:val="20"/>
          <w:szCs w:val="20"/>
          <w:color w:val="auto"/>
        </w:rPr>
      </w:pPr>
    </w:p>
    <w:p>
      <w:pPr>
        <w:ind w:left="560" w:right="40" w:firstLine="423"/>
        <w:spacing w:after="0" w:line="259" w:lineRule="auto"/>
        <w:rPr>
          <w:sz w:val="20"/>
          <w:szCs w:val="20"/>
          <w:color w:val="auto"/>
        </w:rPr>
      </w:pPr>
      <w:r>
        <w:rPr>
          <w:rFonts w:ascii="Arial" w:cs="Arial" w:eastAsia="Arial" w:hAnsi="Arial"/>
          <w:sz w:val="18"/>
          <w:szCs w:val="18"/>
          <w:color w:val="auto"/>
        </w:rPr>
        <w:t>Revenues are recorded net of address commissions. Address commissions represent a discount provided directly to the charterers based on a fixed percentage of the agreed upon charter rate. Since address commissions represent a discount (sales incentive) on services rendered by the Company and no identifiable benefit is received in exchange for the consideration provided to the charterer, these commissions are presented as a reduction of revenue.</w:t>
      </w:r>
    </w:p>
    <w:p>
      <w:pPr>
        <w:spacing w:after="0" w:line="79" w:lineRule="exact"/>
        <w:rPr>
          <w:sz w:val="20"/>
          <w:szCs w:val="20"/>
          <w:color w:val="auto"/>
        </w:rPr>
      </w:pPr>
    </w:p>
    <w:p>
      <w:pPr>
        <w:ind w:left="560" w:firstLine="423"/>
        <w:spacing w:after="0" w:line="293" w:lineRule="auto"/>
        <w:rPr>
          <w:sz w:val="20"/>
          <w:szCs w:val="20"/>
          <w:color w:val="auto"/>
        </w:rPr>
      </w:pPr>
      <w:r>
        <w:rPr>
          <w:rFonts w:ascii="Arial" w:cs="Arial" w:eastAsia="Arial" w:hAnsi="Arial"/>
          <w:sz w:val="16"/>
          <w:szCs w:val="16"/>
          <w:color w:val="auto"/>
        </w:rPr>
        <w:t>Revenue from contracts of affreightment (“COA”)/voyage contracts relating to our barges are recognized ratably over the estimated relative transit time of each voyage. A voyage is deemed to commence upon the barge’s arrival at the loading port, as applicable under the contract, and is deemed to end upon the completion of discharge under the current voyage. The percentage of transit time is based on the days traveled as of the balance sheet date divided by the total days expected for the voyage. The position of the barge at the balance sheet date is determined by the days traveled as of the balance sheet date over the total voyage of the pushboat having the barge in tow. Revenue arising from contracts that provide our customers with continuous access to convoy capacity is recognized ratably over the period of the contracts.</w:t>
      </w:r>
    </w:p>
    <w:p>
      <w:pPr>
        <w:spacing w:after="0" w:line="56" w:lineRule="exact"/>
        <w:rPr>
          <w:sz w:val="20"/>
          <w:szCs w:val="20"/>
          <w:color w:val="auto"/>
        </w:rPr>
      </w:pPr>
    </w:p>
    <w:p>
      <w:pPr>
        <w:ind w:left="560" w:right="120" w:firstLine="423"/>
        <w:spacing w:after="0" w:line="277" w:lineRule="auto"/>
        <w:rPr>
          <w:sz w:val="20"/>
          <w:szCs w:val="20"/>
          <w:color w:val="auto"/>
        </w:rPr>
      </w:pPr>
      <w:r>
        <w:rPr>
          <w:rFonts w:ascii="Arial" w:cs="Arial" w:eastAsia="Arial" w:hAnsi="Arial"/>
          <w:sz w:val="18"/>
          <w:szCs w:val="18"/>
          <w:color w:val="auto"/>
        </w:rPr>
        <w:t>Demurrage income represents payments made by the charterer to the vessel owner when loading or discharging time exceeds the stipulated time in the voyage charter and is recognized as it is earned.</w:t>
      </w:r>
    </w:p>
    <w:p>
      <w:pPr>
        <w:spacing w:after="0" w:line="62" w:lineRule="exact"/>
        <w:rPr>
          <w:sz w:val="20"/>
          <w:szCs w:val="20"/>
          <w:color w:val="auto"/>
        </w:rPr>
      </w:pPr>
    </w:p>
    <w:p>
      <w:pPr>
        <w:ind w:left="560" w:right="140" w:firstLine="423"/>
        <w:spacing w:after="0" w:line="342" w:lineRule="auto"/>
        <w:rPr>
          <w:sz w:val="20"/>
          <w:szCs w:val="20"/>
          <w:color w:val="auto"/>
        </w:rPr>
      </w:pPr>
      <w:r>
        <w:rPr>
          <w:rFonts w:ascii="Arial" w:cs="Arial" w:eastAsia="Arial" w:hAnsi="Arial"/>
          <w:sz w:val="16"/>
          <w:szCs w:val="16"/>
          <w:color w:val="auto"/>
        </w:rPr>
        <w:t>The Company recognizes revenue ratably from the vessel’s/barge’s arrival at the loading port, as applicable under the contract, to when the charterer’s cargo is discharged as well as defer costs that meet the definition of “costs to fulfill a contract” and relate directly to the contract.</w:t>
      </w:r>
    </w:p>
    <w:p>
      <w:pPr>
        <w:spacing w:after="0" w:line="16" w:lineRule="exact"/>
        <w:rPr>
          <w:sz w:val="20"/>
          <w:szCs w:val="20"/>
          <w:color w:val="auto"/>
        </w:rPr>
      </w:pPr>
    </w:p>
    <w:p>
      <w:pPr>
        <w:ind w:left="560" w:firstLine="423"/>
        <w:spacing w:after="0" w:line="272" w:lineRule="auto"/>
        <w:rPr>
          <w:sz w:val="20"/>
          <w:szCs w:val="20"/>
          <w:color w:val="auto"/>
        </w:rPr>
      </w:pPr>
      <w:r>
        <w:rPr>
          <w:rFonts w:ascii="Arial" w:cs="Arial" w:eastAsia="Arial" w:hAnsi="Arial"/>
          <w:sz w:val="17"/>
          <w:szCs w:val="17"/>
          <w:color w:val="auto"/>
        </w:rPr>
        <w:t>Revenues from time chartering and bareboat chartering of vessels and barges are accounted for as operating leases and are thus recognized on a straight line basis as the average revenue over the rental periods of such charter agreements as service is performed, except for loss generating time charters, in which case the loss is recognized in the period when such loss is determined. A time charter involves placing a vessel or barge at the charterer’s disposal for a period of time during which the charterer uses the vessel in return for the payment of a specified daily hire rate. Short period charters for less than three months are referred to as spot-charters. Charters extending three months to a year are generally referred to as medium-term charters. All other charters are considered long-term. For time-charters, the owner of the vessel typically pays the vessel’s operating costs, such as crews, maintenance and insurance.</w:t>
      </w:r>
    </w:p>
    <w:p>
      <w:pPr>
        <w:spacing w:after="0" w:line="69" w:lineRule="exact"/>
        <w:rPr>
          <w:sz w:val="20"/>
          <w:szCs w:val="20"/>
          <w:color w:val="auto"/>
        </w:rPr>
      </w:pPr>
    </w:p>
    <w:p>
      <w:pPr>
        <w:ind w:left="560" w:right="80" w:firstLine="423"/>
        <w:spacing w:after="0" w:line="271" w:lineRule="auto"/>
        <w:rPr>
          <w:sz w:val="20"/>
          <w:szCs w:val="20"/>
          <w:color w:val="auto"/>
        </w:rPr>
      </w:pPr>
      <w:r>
        <w:rPr>
          <w:rFonts w:ascii="Arial" w:cs="Arial" w:eastAsia="Arial" w:hAnsi="Arial"/>
          <w:sz w:val="17"/>
          <w:szCs w:val="17"/>
          <w:color w:val="auto"/>
        </w:rPr>
        <w:t>Revenues from dry port terminal operations consist of an agreed flat fee per ton and cover the services performed to unload barges (or trucks), transfer the product into silos or the stockpiles for temporary storage and then loading the ocean-going vessels. Revenues are recognized upon completion of loading the ocean-going vessels. Revenue arising from contracts that provide our customers with continuous access to port terminal storage and transshipment capacity is recognized ratably over the period of the contracts. Additionally, fees are charged for vessel dockage and for storage time in excess of contractually specified terms. Dockage revenues are recognized ratably up to completion of loading as the performance obligation is met evenly over the loading period. Storage fees are assessed and recognized at the point when the product remains in the silo storage beyond the contractually agreed time allowed. Storage fee revenue is recognized ratably over the storage period and ends when the product is loaded onto the ocean-going vessel.</w:t>
      </w:r>
    </w:p>
    <w:p>
      <w:pPr>
        <w:spacing w:after="0" w:line="70" w:lineRule="exact"/>
        <w:rPr>
          <w:sz w:val="20"/>
          <w:szCs w:val="20"/>
          <w:color w:val="auto"/>
        </w:rPr>
      </w:pPr>
    </w:p>
    <w:p>
      <w:pPr>
        <w:ind w:left="560" w:right="220" w:firstLine="423"/>
        <w:spacing w:after="0" w:line="273" w:lineRule="auto"/>
        <w:rPr>
          <w:sz w:val="20"/>
          <w:szCs w:val="20"/>
          <w:color w:val="auto"/>
        </w:rPr>
      </w:pPr>
      <w:r>
        <w:rPr>
          <w:rFonts w:ascii="Arial" w:cs="Arial" w:eastAsia="Arial" w:hAnsi="Arial"/>
          <w:sz w:val="17"/>
          <w:szCs w:val="17"/>
          <w:color w:val="auto"/>
        </w:rPr>
        <w:t>Revenues from liquid port terminal consist mainly of sales of petroleum products in the Paraguayan market and revenues from liquid port operations. Revenues from liquid port terminal operations consist of an agreed flat fee per cubic meter or a fixed rate over a specific period to cover the services performed to unload barges, transfer the products into the tanks for temporary storage and then loading the trucks. Revenues that consist of an agreed flat fee per cubic meter are recognized upon completion of loading the trucks. Revenues from liquid port terminal operations that consist of a fixed rate over a specific period are recognized ratably over the storage period as the performance obligation is met evenly over time, ending when the product is loaded onto the trucks.</w:t>
      </w:r>
    </w:p>
    <w:p>
      <w:pPr>
        <w:spacing w:after="0" w:line="70" w:lineRule="exact"/>
        <w:rPr>
          <w:sz w:val="20"/>
          <w:szCs w:val="20"/>
          <w:color w:val="auto"/>
        </w:rPr>
      </w:pPr>
    </w:p>
    <w:p>
      <w:pPr>
        <w:ind w:left="560" w:right="40" w:firstLine="423"/>
        <w:spacing w:after="0" w:line="259" w:lineRule="auto"/>
        <w:rPr>
          <w:sz w:val="20"/>
          <w:szCs w:val="20"/>
          <w:color w:val="auto"/>
        </w:rPr>
      </w:pPr>
      <w:r>
        <w:rPr>
          <w:rFonts w:ascii="Arial" w:cs="Arial" w:eastAsia="Arial" w:hAnsi="Arial"/>
          <w:sz w:val="18"/>
          <w:szCs w:val="18"/>
          <w:color w:val="auto"/>
        </w:rPr>
        <w:t>Additionally, revenues consist of an agreed flat fee per cubic meter to cover the services performed to unload barges, transfer the products into the tanks for temporary storage, and to load the trucks. Revenues are recognized upon completion of loading the trucks. Additionally, fees are charged for storage time in excess of contractually specified terms. Storage fee revenue is recognized ratably over the storage period and ends when the product is loaded onto the trucks.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 CONDENSED NOTES TO THE</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(Expressed in thousands of U.S. dollars — except share data)</w:t>
      </w:r>
    </w:p>
    <w:p>
      <w:pPr>
        <w:spacing w:after="0" w:line="25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Expenses related to our revenue-generating contracts are recognized as incurred.</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following table reflect the revenue earned per category from continuing operations for the three and nine month periods ended</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September 30, 2022 and 2021:</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7"/>
              </w:rPr>
              <w:t>Three Month</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w:t>
            </w: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Nine Month</w:t>
            </w: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Nine Month</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Period Ended</w:t>
            </w:r>
          </w:p>
        </w:tc>
        <w:tc>
          <w:tcPr>
            <w:tcW w:w="14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Period Ended</w:t>
            </w:r>
          </w:p>
        </w:tc>
        <w:tc>
          <w:tcPr>
            <w:tcW w:w="14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Period Ended</w:t>
            </w: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Period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COA/Voyage revenue</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22,169</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68,046</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Time chartering revenue</w:t>
            </w:r>
          </w:p>
        </w:tc>
        <w:tc>
          <w:tcPr>
            <w:tcW w:w="15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17,670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10,967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42,871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32,940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Port terminal revenue</w:t>
            </w:r>
          </w:p>
        </w:tc>
        <w:tc>
          <w:tcPr>
            <w:tcW w:w="154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29,093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22,101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77,084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Storage fees (dry port) revenue</w:t>
            </w:r>
          </w:p>
        </w:tc>
        <w:tc>
          <w:tcPr>
            <w:tcW w:w="15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2,130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Dockage revenue</w:t>
            </w:r>
          </w:p>
        </w:tc>
        <w:tc>
          <w:tcPr>
            <w:tcW w:w="154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2,013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1,479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5,120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Sale of products revenue</w:t>
            </w:r>
          </w:p>
        </w:tc>
        <w:tc>
          <w:tcPr>
            <w:tcW w:w="15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4,955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Liquid port terminal revenue</w:t>
            </w:r>
          </w:p>
        </w:tc>
        <w:tc>
          <w:tcPr>
            <w:tcW w:w="154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1,561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1,496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4,636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308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880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74,437</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63,524</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202,776</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174,318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160" w:firstLine="423"/>
        <w:spacing w:after="0" w:line="282" w:lineRule="auto"/>
        <w:rPr>
          <w:sz w:val="20"/>
          <w:szCs w:val="20"/>
          <w:color w:val="auto"/>
        </w:rPr>
      </w:pPr>
      <w:r>
        <w:rPr>
          <w:rFonts w:ascii="Arial" w:cs="Arial" w:eastAsia="Arial" w:hAnsi="Arial"/>
          <w:sz w:val="18"/>
          <w:szCs w:val="18"/>
          <w:b w:val="1"/>
          <w:bCs w:val="1"/>
          <w:color w:val="auto"/>
        </w:rPr>
        <w:t xml:space="preserve">Deferred Income and Cash Received In Advance: </w:t>
      </w:r>
      <w:r>
        <w:rPr>
          <w:rFonts w:ascii="Arial" w:cs="Arial" w:eastAsia="Arial" w:hAnsi="Arial"/>
          <w:sz w:val="18"/>
          <w:szCs w:val="18"/>
          <w:color w:val="auto"/>
        </w:rPr>
        <w:t>Deferred voyage revenue primarily relates to cash received from charterers prior to it</w:t>
      </w:r>
      <w:r>
        <w:rPr>
          <w:rFonts w:ascii="Arial" w:cs="Arial" w:eastAsia="Arial" w:hAnsi="Arial"/>
          <w:sz w:val="18"/>
          <w:szCs w:val="18"/>
          <w:b w:val="1"/>
          <w:bCs w:val="1"/>
          <w:color w:val="auto"/>
        </w:rPr>
        <w:t xml:space="preserve"> </w:t>
      </w:r>
      <w:r>
        <w:rPr>
          <w:rFonts w:ascii="Arial" w:cs="Arial" w:eastAsia="Arial" w:hAnsi="Arial"/>
          <w:sz w:val="18"/>
          <w:szCs w:val="18"/>
          <w:color w:val="auto"/>
        </w:rPr>
        <w:t>being earned.</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These amounts are recognized as revenue over the voyage or charter period.</w:t>
      </w:r>
    </w:p>
    <w:p>
      <w:pPr>
        <w:spacing w:after="0" w:line="252"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Adoption of new accounting pronouncements:</w:t>
      </w:r>
    </w:p>
    <w:p>
      <w:pPr>
        <w:spacing w:after="0" w:line="117" w:lineRule="exact"/>
        <w:rPr>
          <w:sz w:val="20"/>
          <w:szCs w:val="20"/>
          <w:color w:val="auto"/>
        </w:rPr>
      </w:pPr>
    </w:p>
    <w:p>
      <w:pPr>
        <w:ind w:left="560" w:firstLine="423"/>
        <w:spacing w:after="0" w:line="291" w:lineRule="auto"/>
        <w:rPr>
          <w:sz w:val="20"/>
          <w:szCs w:val="20"/>
          <w:color w:val="auto"/>
        </w:rPr>
      </w:pPr>
      <w:r>
        <w:rPr>
          <w:rFonts w:ascii="Arial" w:cs="Arial" w:eastAsia="Arial" w:hAnsi="Arial"/>
          <w:sz w:val="16"/>
          <w:szCs w:val="16"/>
          <w:color w:val="auto"/>
        </w:rPr>
        <w:t>In July 2021, the FASB issued ASU 2021-05, Lease (Topic 842): Lessors—Certain Leases with Variable Lease Payments (“ASU 2021-05”). The guidance in ASU 2021-05 amends the lease classification requirements for the lessors under certain leases containing variable payments to align with practice under ASC 840. The lessor should classify and account for a lease with variable lease payments that do not depend on a reference index or a rate as an operating lease if both of the following criteria are met: 1) the lease would have been classified as a sales-type lease or a direct financing lease in accordance with the classification criteria in ASC 842-10-25-2 through 25-3; and 2) the lessor would have otherwise recognized a day-one loss. The amendments in ASU 2021-05 are effective for fiscal years beginning after December 15, 2021. The adoption of this ASU on January 1, 2022 did not have a material impact on the Company’s interim condensed consolidated financial statements.</w:t>
      </w:r>
    </w:p>
    <w:p>
      <w:pPr>
        <w:spacing w:after="0" w:line="58" w:lineRule="exact"/>
        <w:rPr>
          <w:sz w:val="20"/>
          <w:szCs w:val="20"/>
          <w:color w:val="auto"/>
        </w:rPr>
      </w:pPr>
    </w:p>
    <w:p>
      <w:pPr>
        <w:ind w:left="560" w:right="20" w:firstLine="423"/>
        <w:spacing w:after="0" w:line="272" w:lineRule="auto"/>
        <w:rPr>
          <w:sz w:val="20"/>
          <w:szCs w:val="20"/>
          <w:color w:val="auto"/>
        </w:rPr>
      </w:pPr>
      <w:r>
        <w:rPr>
          <w:rFonts w:ascii="Arial" w:cs="Arial" w:eastAsia="Arial" w:hAnsi="Arial"/>
          <w:sz w:val="17"/>
          <w:szCs w:val="17"/>
          <w:color w:val="auto"/>
        </w:rPr>
        <w:t>On August 5, 2020, the FASB issued ASU No. 2020-06, Debt -Debt with Conversion and Other Options (Subtopic 470-20) and Derivatives and Hedging -Contracts in Entity’s Own Equity (Subtopic 815-40). The objective of this update is to improve understandability and reduce complexity on distinguishing liabilities from equity. Amendments affect entities that issue convertible instruments and/or contracts indexed to and potentially settled in an entity’s own equity. The amendments in this update are effective for public business entities for fiscal years beginning after December 15, 2021, including interim periods within those fiscal years. Adoption is allowed through either a modified retrospective method of transition or a fully retrospective method of transition. The adoption of this ASU on January 1, 2022 did not have a material impact on the Company’s opening balances and interim condensed consolidated financial statements.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CASH AND CASH EQUIVALENTS AND RESTRICTED CASH</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Cash and cash equivalents and restricted cash consisted of the following: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9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Cash on hand and at banks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3"/>
              </w:rPr>
              <w:t>34,554</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53,323</w:t>
            </w:r>
          </w:p>
        </w:tc>
        <w:tc>
          <w:tcPr>
            <w:tcW w:w="4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Short-term deposits and highly liquid funds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w w:val="87"/>
              </w:rPr>
              <w:t>56,510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23"/>
        </w:trPr>
        <w:tc>
          <w:tcPr>
            <w:tcW w:w="5960" w:type="dxa"/>
            <w:vAlign w:val="bottom"/>
          </w:tcPr>
          <w:p>
            <w:pPr>
              <w:spacing w:after="0"/>
              <w:rPr>
                <w:sz w:val="20"/>
                <w:szCs w:val="20"/>
                <w:color w:val="auto"/>
              </w:rPr>
            </w:pPr>
            <w:r>
              <w:rPr>
                <w:rFonts w:ascii="Arial" w:cs="Arial" w:eastAsia="Arial" w:hAnsi="Arial"/>
                <w:sz w:val="18"/>
                <w:szCs w:val="18"/>
                <w:b w:val="1"/>
                <w:bCs w:val="1"/>
                <w:color w:val="auto"/>
              </w:rPr>
              <w:t>Cash and cash equivalents and restricted cash</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w w:val="83"/>
              </w:rPr>
              <w:t>91,074</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53,377</w:t>
            </w:r>
          </w:p>
        </w:tc>
        <w:tc>
          <w:tcPr>
            <w:tcW w:w="4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Short-term deposits and highly liquid funds relate to amounts held in banks for general financing purposes and represent deposits with an original maturity of less than three months and are included in the condensed consolidated balance sheets under the caption “Cash and cash equivalents”.</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00"/>
          </w:cols>
          <w:pgMar w:left="320" w:top="459" w:right="4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CONDENSED NOTES TO THE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(Expressed in thousands of U.S. dollars — except share data)</w:t>
      </w:r>
    </w:p>
    <w:p>
      <w:pPr>
        <w:spacing w:after="0" w:line="251"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Cash deposits and cash equivalents in excess of amounts covered by government-provided insurance are exposed to loss in the event of non-performance by financial institutions. Navios Holdings does maintain cash deposits and equivalents in excess of government provided insurance limits. Navios Holdings reduces exposure to credit risk by dealing with a diversified group of major financial institutions.</w:t>
      </w:r>
    </w:p>
    <w:p>
      <w:pPr>
        <w:spacing w:after="0" w:line="165"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As of both September 30, 2022 and December 31, 2021, within restricted cash, are included amounts held as security in the form of letters of guarantee or letters of credit totaling $10.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VESSELS, PORT TERMINALS AND OTHER FIXED ASSETS, NET</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Vessels, Port Terminals and Other Fixed Assets, net</w:t>
            </w:r>
          </w:p>
        </w:tc>
        <w:tc>
          <w:tcPr>
            <w:tcW w:w="3060" w:type="dxa"/>
            <w:vAlign w:val="bottom"/>
          </w:tcPr>
          <w:p>
            <w:pPr>
              <w:spacing w:after="0"/>
              <w:rPr>
                <w:sz w:val="14"/>
                <w:szCs w:val="14"/>
                <w:color w:val="auto"/>
              </w:rPr>
            </w:pPr>
          </w:p>
        </w:tc>
        <w:tc>
          <w:tcPr>
            <w:tcW w:w="9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180" w:type="dxa"/>
            <w:vAlign w:val="bottom"/>
            <w:gridSpan w:val="4"/>
          </w:tcPr>
          <w:p>
            <w:pPr>
              <w:ind w:left="1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7"/>
              </w:rPr>
              <w:t>Net Book</w:t>
            </w:r>
          </w:p>
        </w:tc>
        <w:tc>
          <w:tcPr>
            <w:tcW w:w="0" w:type="dxa"/>
            <w:vAlign w:val="bottom"/>
          </w:tcPr>
          <w:p>
            <w:pPr>
              <w:spacing w:after="0"/>
              <w:rPr>
                <w:sz w:val="1"/>
                <w:szCs w:val="1"/>
                <w:color w:val="auto"/>
              </w:rPr>
            </w:pPr>
          </w:p>
        </w:tc>
      </w:tr>
      <w:tr>
        <w:trPr>
          <w:trHeight w:val="178"/>
        </w:trPr>
        <w:tc>
          <w:tcPr>
            <w:tcW w:w="3160" w:type="dxa"/>
            <w:vAlign w:val="bottom"/>
            <w:gridSpan w:val="2"/>
            <w:vMerge w:val="continue"/>
          </w:tcPr>
          <w:p>
            <w:pPr>
              <w:spacing w:after="0"/>
              <w:rPr>
                <w:sz w:val="15"/>
                <w:szCs w:val="15"/>
                <w:color w:val="auto"/>
              </w:rPr>
            </w:pPr>
          </w:p>
        </w:tc>
        <w:tc>
          <w:tcPr>
            <w:tcW w:w="30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Depreciation</w:t>
            </w:r>
          </w:p>
        </w:tc>
        <w:tc>
          <w:tcPr>
            <w:tcW w:w="160" w:type="dxa"/>
            <w:vAlign w:val="bottom"/>
          </w:tcPr>
          <w:p>
            <w:pPr>
              <w:spacing w:after="0"/>
              <w:rPr>
                <w:sz w:val="15"/>
                <w:szCs w:val="15"/>
                <w:color w:val="auto"/>
              </w:rPr>
            </w:pPr>
          </w:p>
        </w:tc>
        <w:tc>
          <w:tcPr>
            <w:tcW w:w="80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December 31, 2021</w:t>
            </w:r>
          </w:p>
        </w:tc>
        <w:tc>
          <w:tcPr>
            <w:tcW w:w="30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$830,099</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8"/>
              </w:rPr>
              <w:t>(307,483)</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$522,616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Additions</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5,509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(22,078)</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(16,569)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losses</w:t>
            </w:r>
          </w:p>
        </w:tc>
        <w:tc>
          <w:tcPr>
            <w:tcW w:w="3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(14,920)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12,457</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Transfers to assets held for sale</w:t>
            </w:r>
          </w:p>
        </w:tc>
        <w:tc>
          <w:tcPr>
            <w:tcW w:w="30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(2,186)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2022</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818,501</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(317,103)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501,398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On September 8, 2022, the Company completed the sale of its 21 owned vessels to Navios Partners. For further information see Note 15 “Discontinued operations” in the condensed consolidated financial statements.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Navios Logistics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Deposits for Vessels and Port Terminals Acquisitions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As of September 30, 2022, Navios Logistics has paid $310 for the construction of a new stockpile in its Iron Ore Port Terminal and is included under the caption “Other long-term assets” in the interim condensed consolidated statement of financial position.</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As of September 30, 2022 and December 31, 2021, Navios Logistics has paid $765 and $713, respectively, for capitalized expenses for the development of its port operations in Port Murtinho, Brazil, which was included in the interim condensed consolidated statement of financial position under the caption “Other long-term assets”.</w:t>
      </w:r>
    </w:p>
    <w:p>
      <w:pPr>
        <w:spacing w:after="0" w:line="184"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During the first quarter of 2021, Navios Logistics completed the construction of six liquid barges. As of December 31, 2021, a total of $19,501 had been transferred to “Vessels, port terminals and other fixed assets, net” in the interim condensed consolidated statement of financial position, of which capitalized interest amounted to $1,062.</w:t>
      </w:r>
    </w:p>
    <w:p>
      <w:pPr>
        <w:spacing w:after="0" w:line="184"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During the first quarter of 2021, Navios Logistics completed the construction of two new tanks in its Liquid Port Terminal. As of December 31, 2021, a total of $1,843 had been transferred to “Vessels, port terminals and other fixed assets, net” in the interim condensed consolidated statement of financial position.</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During the second quarter of 2021, Navios Logistics completed the construction of a crane in its Grain Port Terminal. As of December 31, 2021, a total of $3,803 was transferred to “Vessels, port terminals and other fixed assets, net” in the interim condensed consolidated statement of financial position.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Impairment losses</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During the nine month period ended September 30, 2022, Navios Logistics incurred additions of $4,540 due to improvements to its Barge Business and Cabotage Business and $969 in connection to its Port Terminal Business.</w:t>
      </w:r>
    </w:p>
    <w:p>
      <w:pPr>
        <w:spacing w:after="0" w:line="17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As of September 30, 2022, the vessel Malva H met the criteria to be accounted for as assets held for sale and has been re-measured to its fair value less cost to sell leading to an impairment loss of $778 (including $732 remaining carrying balance of dry dock costs), which is included in the unaudited condensed consolidated statements of comprehensive income under the caption “Impairment loss”. The fair value of the vessel was determined to $2,186 based on the concluded sale price. The Company completed the sale of the Malva H, to an unrelated third party in October 2022.</w:t>
      </w:r>
    </w:p>
    <w:p>
      <w:pPr>
        <w:spacing w:after="0" w:line="15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During September 2022, the Company recorded an impairment loss of $2,417 for certain barges, representing the difference between the fair value and the carrying value together with the carrying value of deferred drydock and special survey costs, if any, related to these barges, which is included in the unaudited condensed consolidated statements of comprehensive income under the caption “Impairment loss”.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Vessel Acquisitions</w:t>
      </w:r>
    </w:p>
    <w:p>
      <w:pPr>
        <w:spacing w:after="0" w:line="117"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In the fourth quarter of 2020, Navios Logistics signed a purchase agreement with an unrelated third party for the acquisition of three pushboats and 18 tank barges (the “Navios Logistics 2020 Fleet”), for a purchase price of $30,000. The acquisition was completed on March 22, 2021. As of December 31, 2021, a total of $31,960 was transferred to “Vessels, port terminals and other fixed assets, net” in the interim condensed consolidated statement of financial position.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227"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CONDENSED NOTES TO THE</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(Expressed in thousands of U.S. dollars — except share data)</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INTANGIBLE ASSETS OTHER THAN GOODWILL</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020" w:type="dxa"/>
            <w:vAlign w:val="bottom"/>
            <w:vMerge w:val="restart"/>
          </w:tcPr>
          <w:p>
            <w:pPr>
              <w:spacing w:after="0"/>
              <w:rPr>
                <w:sz w:val="20"/>
                <w:szCs w:val="20"/>
                <w:color w:val="auto"/>
              </w:rPr>
            </w:pPr>
            <w:r>
              <w:rPr>
                <w:rFonts w:ascii="Arial" w:cs="Arial" w:eastAsia="Arial" w:hAnsi="Arial"/>
                <w:sz w:val="14"/>
                <w:szCs w:val="14"/>
                <w:b w:val="1"/>
                <w:bCs w:val="1"/>
                <w:color w:val="auto"/>
                <w:w w:val="87"/>
              </w:rPr>
              <w:t>Intangible assets</w:t>
            </w:r>
          </w:p>
        </w:tc>
        <w:tc>
          <w:tcPr>
            <w:tcW w:w="3400" w:type="dxa"/>
            <w:vAlign w:val="bottom"/>
            <w:vMerge w:val="restart"/>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1020" w:type="dxa"/>
            <w:vAlign w:val="bottom"/>
            <w:tcBorders>
              <w:bottom w:val="single" w:sz="8" w:color="auto"/>
            </w:tcBorders>
            <w:vMerge w:val="continue"/>
          </w:tcPr>
          <w:p>
            <w:pPr>
              <w:spacing w:after="0"/>
              <w:rPr>
                <w:sz w:val="15"/>
                <w:szCs w:val="15"/>
                <w:color w:val="auto"/>
              </w:rPr>
            </w:pPr>
          </w:p>
        </w:tc>
        <w:tc>
          <w:tcPr>
            <w:tcW w:w="3400" w:type="dxa"/>
            <w:vAlign w:val="bottom"/>
            <w:vMerge w:val="continue"/>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5"/>
              <w:spacing w:after="0" w:line="158" w:lineRule="exact"/>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5"/>
              <w:spacing w:after="0" w:line="158"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Acquisition cost</w:t>
            </w:r>
          </w:p>
        </w:tc>
        <w:tc>
          <w:tcPr>
            <w:tcW w:w="1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89,272</w:t>
            </w: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89,272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(42,386)</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(40,306)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Intangible assets net book value</w:t>
            </w:r>
          </w:p>
        </w:tc>
        <w:tc>
          <w:tcPr>
            <w:tcW w:w="1760" w:type="dxa"/>
            <w:vAlign w:val="bottom"/>
            <w:gridSpan w:val="2"/>
            <w:shd w:val="clear" w:color="auto" w:fill="CCEEFF"/>
          </w:tcPr>
          <w:p>
            <w:pPr>
              <w:ind w:left="156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46,886</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48,966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Amortization expense for the three month periods ended September 30, 2022 and 2021 amounted to $694 and $693, respectively, and for the nine month periods ended September 30, 2022 and 2021 amounted to $2,080 and $2,079, respectively.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remaining aggregate amortization of acquired intangibles as of September 30, 2022 will be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Period</w:t>
            </w:r>
          </w:p>
        </w:tc>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Year One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$ 2,770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Year Two</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rPr>
              <w:t>2,770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Year Three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2,770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Year Four</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rPr>
              <w:t>2,770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Year Five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2,770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rPr>
              <w:t>33,036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46,886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NOTE 6: BORROWINGS</w:t>
            </w: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360" w:type="dxa"/>
            <w:vAlign w:val="bottom"/>
            <w:gridSpan w:val="5"/>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60" w:type="dxa"/>
            <w:vAlign w:val="bottom"/>
            <w:gridSpan w:val="5"/>
          </w:tcPr>
          <w:p>
            <w:pPr>
              <w:ind w:left="440"/>
              <w:spacing w:after="0"/>
              <w:rPr>
                <w:sz w:val="20"/>
                <w:szCs w:val="20"/>
                <w:color w:val="auto"/>
              </w:rPr>
            </w:pPr>
            <w:r>
              <w:rPr>
                <w:rFonts w:ascii="Arial" w:cs="Arial" w:eastAsia="Arial" w:hAnsi="Arial"/>
                <w:sz w:val="18"/>
                <w:szCs w:val="18"/>
                <w:color w:val="auto"/>
                <w:w w:val="95"/>
              </w:rPr>
              <w:t>Borrowings, as of September 30, 2022 and December 31, 2021, consisted of the following:</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20" w:type="dxa"/>
            <w:vAlign w:val="bottom"/>
          </w:tcPr>
          <w:p>
            <w:pPr>
              <w:spacing w:after="0"/>
              <w:rPr>
                <w:sz w:val="24"/>
                <w:szCs w:val="24"/>
                <w:color w:val="auto"/>
              </w:rPr>
            </w:pPr>
          </w:p>
        </w:tc>
        <w:tc>
          <w:tcPr>
            <w:tcW w:w="4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Facility</w:t>
            </w:r>
          </w:p>
        </w:tc>
        <w:tc>
          <w:tcPr>
            <w:tcW w:w="5580" w:type="dxa"/>
            <w:vAlign w:val="bottom"/>
            <w:gridSpan w:val="2"/>
            <w:vMerge w:val="restart"/>
          </w:tcPr>
          <w:p>
            <w:pPr>
              <w:spacing w:after="0"/>
              <w:rPr>
                <w:sz w:val="24"/>
                <w:szCs w:val="2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1320" w:type="dxa"/>
            <w:vAlign w:val="bottom"/>
          </w:tcPr>
          <w:p>
            <w:pPr>
              <w:spacing w:after="0"/>
              <w:rPr>
                <w:sz w:val="15"/>
                <w:szCs w:val="15"/>
                <w:color w:val="auto"/>
              </w:rPr>
            </w:pPr>
          </w:p>
        </w:tc>
        <w:tc>
          <w:tcPr>
            <w:tcW w:w="460" w:type="dxa"/>
            <w:vAlign w:val="bottom"/>
            <w:tcBorders>
              <w:bottom w:val="single" w:sz="8" w:color="auto"/>
            </w:tcBorders>
            <w:gridSpan w:val="2"/>
            <w:vMerge w:val="continue"/>
          </w:tcPr>
          <w:p>
            <w:pPr>
              <w:spacing w:after="0"/>
              <w:rPr>
                <w:sz w:val="15"/>
                <w:szCs w:val="15"/>
                <w:color w:val="auto"/>
              </w:rPr>
            </w:pPr>
          </w:p>
        </w:tc>
        <w:tc>
          <w:tcPr>
            <w:tcW w:w="55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2"/>
              <w:spacing w:after="0" w:line="158"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3"/>
          </w:tcPr>
          <w:p>
            <w:pPr>
              <w:jc w:val="right"/>
              <w:ind w:right="190"/>
              <w:spacing w:after="0" w:line="158"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604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2022 Senior Secured Notes</w:t>
            </w: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155,000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40" w:type="dxa"/>
            <w:vAlign w:val="bottom"/>
            <w:gridSpan w:val="4"/>
          </w:tcPr>
          <w:p>
            <w:pPr>
              <w:spacing w:after="0"/>
              <w:rPr>
                <w:sz w:val="20"/>
                <w:szCs w:val="20"/>
                <w:color w:val="auto"/>
              </w:rPr>
            </w:pPr>
            <w:r>
              <w:rPr>
                <w:rFonts w:ascii="Arial" w:cs="Arial" w:eastAsia="Arial" w:hAnsi="Arial"/>
                <w:sz w:val="18"/>
                <w:szCs w:val="18"/>
                <w:color w:val="auto"/>
              </w:rPr>
              <w:t>2024 Notes</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8,626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8,626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NSM Loan (incl. accrued interest $306)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48,879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40" w:type="dxa"/>
            <w:vAlign w:val="bottom"/>
            <w:gridSpan w:val="4"/>
          </w:tcPr>
          <w:p>
            <w:pPr>
              <w:spacing w:after="0"/>
              <w:rPr>
                <w:sz w:val="20"/>
                <w:szCs w:val="20"/>
                <w:color w:val="auto"/>
              </w:rPr>
            </w:pPr>
            <w:r>
              <w:rPr>
                <w:rFonts w:ascii="Arial" w:cs="Arial" w:eastAsia="Arial" w:hAnsi="Arial"/>
                <w:sz w:val="18"/>
                <w:szCs w:val="18"/>
                <w:color w:val="auto"/>
              </w:rPr>
              <w:t>$115.0 million NSM Loan (incl. accrued interest $571)</w:t>
            </w: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64,630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Convertible Debenture</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117,646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40" w:type="dxa"/>
            <w:vAlign w:val="bottom"/>
            <w:gridSpan w:val="4"/>
          </w:tcPr>
          <w:p>
            <w:pPr>
              <w:spacing w:after="0"/>
              <w:rPr>
                <w:sz w:val="20"/>
                <w:szCs w:val="20"/>
                <w:color w:val="auto"/>
              </w:rPr>
            </w:pPr>
            <w:r>
              <w:rPr>
                <w:rFonts w:ascii="Arial" w:cs="Arial" w:eastAsia="Arial" w:hAnsi="Arial"/>
                <w:sz w:val="18"/>
                <w:szCs w:val="18"/>
                <w:color w:val="auto"/>
              </w:rPr>
              <w:t>2025 Logistics Senior Notes</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Navios Logistics other long-term loans and notes payable</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63,516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58,376</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6040" w:type="dxa"/>
            <w:vAlign w:val="bottom"/>
            <w:gridSpan w:val="4"/>
          </w:tcPr>
          <w:p>
            <w:pPr>
              <w:spacing w:after="0"/>
              <w:rPr>
                <w:sz w:val="20"/>
                <w:szCs w:val="20"/>
                <w:color w:val="auto"/>
              </w:rPr>
            </w:pPr>
            <w:r>
              <w:rPr>
                <w:rFonts w:ascii="Arial" w:cs="Arial" w:eastAsia="Arial" w:hAnsi="Arial"/>
                <w:sz w:val="18"/>
                <w:szCs w:val="18"/>
                <w:b w:val="1"/>
                <w:bCs w:val="1"/>
                <w:color w:val="auto"/>
              </w:rPr>
              <w:t>Total borrowings</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689,788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835,511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current portion, net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5"/>
              </w:rPr>
              <w:t>(130,693)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40" w:type="dxa"/>
            <w:vAlign w:val="bottom"/>
            <w:gridSpan w:val="4"/>
          </w:tcPr>
          <w:p>
            <w:pPr>
              <w:spacing w:after="0"/>
              <w:rPr>
                <w:sz w:val="20"/>
                <w:szCs w:val="20"/>
                <w:color w:val="auto"/>
              </w:rPr>
            </w:pPr>
            <w:r>
              <w:rPr>
                <w:rFonts w:ascii="Arial" w:cs="Arial" w:eastAsia="Arial" w:hAnsi="Arial"/>
                <w:sz w:val="18"/>
                <w:szCs w:val="18"/>
                <w:color w:val="auto"/>
              </w:rPr>
              <w:t>Less: deferred finance costs, net</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(13,113)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(18,061)</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long-term borrowings</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653,921</w:t>
            </w:r>
          </w:p>
        </w:tc>
        <w:tc>
          <w:tcPr>
            <w:tcW w:w="440" w:type="dxa"/>
            <w:vAlign w:val="bottom"/>
            <w:gridSpan w:val="3"/>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686,757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Navios Holdings Debt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2022 Senior Secured Notes</w:t>
      </w:r>
    </w:p>
    <w:p>
      <w:pPr>
        <w:spacing w:after="0" w:line="117"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On November 21, 2017, the Company and its wholly owned subsidiary, Navios Maritime Finance II (US) Inc. (together with the Company, the “Co-Issuers”) issued $305,000 of 11.25% Senior Notes due 2022, at a price of 97%. During the three and nine month periods ended September 30, 2022, the Company redeemed an aggregate principal amount of $90,000 and 155,000, respectively, of its 2022 Senior Secured Notes at a redemption price equal to 100.00% of the aggregate principal amount thereof, plus accrued and unpaid interest to, but excluding, the respective redemption dates. During each of the three and nine month periods ended September 30, 2021, the Company redeemed an aggregate principal amount of $140,000, of its 2022 Senior Secured Notes at a redemption price equal to 100.00% of the aggregate principal amount thereof, plus accrued and unpaid interest to, but excluding, the respective redemption dates. For the three and nine month periods ended September 30, 2022, the Company wrote off $0 and $221, respectively, of deferred financing costs associated with the redemptions and is included in the interim condensed consolidated statement of comprehensive income under the caption “Net income from discontinued operations”. For both the three and nine month periods ended September 30, 2021, the Company wrote off $1,677 of deferred financing costs associated with the Redemptions discussed above and is included in the interim condensed consolidated statement of comprehensive income within the caption “Net income from discontinued operations”.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40"/>
          </w:cols>
          <w:pgMar w:left="320" w:top="459" w:right="5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CONDENSED NOTES TO THE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(Expressed in thousands of U.S. dollars — except share data)</w:t>
      </w:r>
    </w:p>
    <w:p>
      <w:pPr>
        <w:spacing w:after="0" w:line="143"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In August 2022, the Company fully redeemed the outstanding balance of $80,000 on the 2022 Senior Secured Notes using cash received from the Transaction and the amount of $142 relating to deferred financing costs was written off. For further information see Note 15 “Discontinued operations” in the interim condensed consolidated financial statements.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2024 Notes</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On March 21, 2019, Navios Holdings issued $4,747 of 9.75% Senior Notes due 2024 (the “2024 Notes”) as an exchange for a total of 10,930 Series H ADSs (as defined herein) which were validly tendered as of that date.</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On April 21, 2019, Navios Holdings issued $3,879 of the 2024 Notes as an exchange for a total of 8,841 Series G ADSs (as defined herein) which were validly tendered as of that date.</w:t>
      </w:r>
    </w:p>
    <w:p>
      <w:pPr>
        <w:spacing w:after="0" w:line="170"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2024 Notes are Navios Holdings’ senior unsecured general obligations and rank senior in right of payment to any of Navios Holding’s existing and future debt that expressly provides that it is subordinated to the 2024 Notes, pari passu in right of payment with all of Navios Holding’s existing and future senior obligations, structurally subordinated in right of payment to the obligations of Navios Holding’s subsidiaries, and effectively subordinated in right of payment to any existing and future obligations of Navios Holdings that are secured by property or assets that do not secure the 2024 Notes, including the 2022 Senior Secured Notes and the 2022 Notes, to the extent of the value of any such property and assets securing such other obligations. The 2024 Notes are not guaranteed by any of Navios Holdings’ subsidiaries.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governing the 2024 Notes does not contain restrictive covenants but does include customary events of default.</w:t>
      </w:r>
    </w:p>
    <w:p>
      <w:pPr>
        <w:spacing w:after="0" w:line="22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Navios Holdings has the option to redeem the 2024 Notes, in whole or in part, at any time, at a redemption price equal to 100% of the principal amount of the 2024 Notes to be redeemed, plus accrued interest.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Secured Credit Facilities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NSM Loan I</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In December 2021, Navios Holdings entered into an amended and restated loan agreement to the existing NSM Loan (as defined herein) dated August 29, 2019 (the “NSM Loan I”). Pursuant to NSM Loan I, a wholly owned subsidiary of NSM made available to the Company a secured term loan of up to $127,632, in two tranches. The first tranche of $48,573 represented borrowings already made available to the Company under the NSM Loan and the second tranche of $79,059 represented new borrowings made available, in exchange for the release by NSM of certain existing collateral.</w:t>
      </w:r>
    </w:p>
    <w:p>
      <w:pPr>
        <w:spacing w:after="0" w:line="15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the third quarter of 2022, the outstanding balance under NSM Loan I was fully repaid using cash received from the Transaction. Such repayment was mandatory as per the terms of the loan agreement. The amount of $14,853 of accrued payment in kind (“PIK”) interest at 18% is included under the caption “Convertible debenture payable to affiliate companies”. For further information see Note 9 “Transactions with Related Party” in the interim condensed consolidated financial statements.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NSM Loan II</w:t>
      </w:r>
    </w:p>
    <w:p>
      <w:pPr>
        <w:spacing w:after="0" w:line="11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In December 2021, Navios Holdings entered an amended and restated loan agreement to the existing $115.0 million NSM Loan (as defined herein) dated June 29, 2021 (the “NSM Loan II” and, together with NSM Loan I, the “NSM Loans”). Pursuant to NSM Loan II, a wholly-owned subsidiary of NSM made up to $135,000 available to the Company under a secured term loan in two tranches. The first tranche of $64,059 represented outstanding borrowings already made available under the $115.0 million NSM Loan and the second tranche of $70,941 represented new borrowings made available, in exchange for the release by NSM of certain existing collateral.</w:t>
      </w:r>
    </w:p>
    <w:p>
      <w:pPr>
        <w:spacing w:after="0" w:line="188"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In the third quarter of 2022, the outstanding balance under NSM Loan II was fully repaid using cash received from the Transaction. Such repayment was mandatory as per the terms of the loan agreement. The amount of $15,759 of accrued PIK interest at 18% is included under the caption “Convertible debenture payable to affiliate companies”. For further information see Note 9 “Transactions with Related Party” in the interim condensed consolidated financial statements.</w:t>
      </w:r>
    </w:p>
    <w:p>
      <w:pPr>
        <w:spacing w:after="0" w:line="18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Upon completion of the refinancing in January 2022, NSM received an upfront fee of $24,000 in respect of the NSM Loan I and the NSM Loan II in the form of a Convertible Debenture that is included in the interim condensed consolidated statement of comprehensive income under the caption “Non-operating other finance cost”. The agreements also provided for prepayment premiums ranging from 5%-10% during the first 36 months of the term which was payable in the form of an increase to the outstanding principal amount of Convertible Debenture, as described below.</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Convertible Debenture</w:t>
      </w:r>
    </w:p>
    <w:p>
      <w:pPr>
        <w:spacing w:after="0" w:line="117"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In December 2021, Navios Holdings entered into a convertible debenture with NSM (the “Convertible Debenture”), covering certain payments under the NSM Loans including an upfront fee of $24,000, accrued interest, and prepayment fees. NSM has the option to convert any portion of the outstanding balance under the Convertible Debenture into shares of common stock of Navios Holdings pursuant to an agreed-upon mechanism. The Convertible Debenture has a term of five years and bears interest at the rate of 4% PIK,</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646"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CONDENSED NOTES TO THE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(Expressed in thousands of U.S. dollars — except share data)</w:t>
      </w:r>
    </w:p>
    <w:p>
      <w:pPr>
        <w:spacing w:after="0" w:line="143"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payable at maturity, if not earlier converted into shares of our common stock. As of September 30, 2022, the total outstanding balance of the Convertible Debenture amounted to $117,646, which consists of (i) the upfront fee of $24,000, (ii) $14,853 being the accrued PIK interest at 18% on the NSM Loan I, (iii) $15,759 being the accrued PIK interest at 18% on the NSM Loan II, (iv) $1,304 being the 4% PIK interest on the Convertible Debenture and (v) $61,730 being the applicable prepayment fee (as defined in the NSM Loans) incurred in connection with the repayments of the NSM Loan I and NSM Loan II described above, which prepayment fee was paid via increasing the outstanding principal amount of the Convertible Debenture. The Convertible Debenture is presented under the caption “Convertible debenture payable to affiliate companies”. For information on the Convertible Debenture, see Note 9 “Transactions with Related Parties” in the interim condensed consolidated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Navios Logistics Debt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2025 Logistics Senior Notes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 July 8, 2020, Navios Logistics and its wholly-owned subsidiary Navios Logistics Finance (US) Inc. (“Logistics Finance” and, together with Navios Logistics (the “Logistics Co-Issuers”) issued $500,000 in aggregate principal amount of senior secured notes due on July 1, 2025, at a fixed rate per annum of 10.75% (the “2025 Logistics Senior Notes”).</w:t>
      </w:r>
    </w:p>
    <w:p>
      <w:pPr>
        <w:spacing w:after="0" w:line="184"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2025 Co-Issuers have the option to redeem the 2025 Notes in whole or in part, at any time on or after August 1, 2022, at a fixed price of 108.063% of the principal amount, which declines to 102.688% on August 1, 2023 and to par on August 1, 2024. The Logistics Co-Issuers may also redeem all, but not less than all, of the 2025 Logistics Senior Notes at a price equal to 100% of the principal amount plus accrued and unpaid interest, if any, upon certain changes in law that would trigger the payment of withholding taxes. Furthermore, upon the occurrence of certain change of control events, the Logistics Co-Issuers may be required to offer to purchase 2025 Logistics Senior Notes from holders at a price equal to 101% of the principal amount plus accrued and unpaid interest, if any.</w:t>
      </w:r>
    </w:p>
    <w:p>
      <w:pPr>
        <w:spacing w:after="0" w:line="17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2025 Logistics Senior Notes are senior secured obligations of the Logistics Co-Issuers and rank equal in right of payment to all of their existing and future senior indebtedness and senior in right of payment to all of their future subordinated indebtedness. The 2025 Logistics Senior Notes are fully and unconditionally guaranteed, jointly and severally, by all of the Navios Logistics’ direct and indirect subsidiaries, other than the Logistics Co-Issuer. The 2025 Logistics Senior Notes are secured by (i) first priority ship mortgages on four tanker vessels servicing the Navios Logistics’ Cabotage Business (the (1) Elena H, (2) Makenita H, (3) Sara H and (4) He Man H) owned by certain subsidiary guarantors (such guarantors, the “Mortgaged Vessel Guarantors”) and related assignments of earnings and insurance, together with a first priority lien on the capital stock of each Mortgaged Vessel Guarantor; and (ii) an assignment by way of security of the Vale port contract (collectively, the “Collateral”). The 2025 Logistics Senior Notes are effectively senior to all existing and future obligations of the subsidiary guarantors that own Collateral, to the extent of the value of the Collateral but effectively junior to any existing and future secured obligations of the Logistics Co-Issuers and the subsidiary guarantors that are secured by assets other than the Collateral, to the extent of the value of any assets securing such other obligations. The indenture governing the 2025 Logistics Senior Notes contains restrictive covenants that limit, among other things, the ability of the Logistics Co-Issuers and their restricted subsidiaries to incur additional indebtedness, pay dividends and make distributions on common and preferred stock, make other restricted payments, make investments, incur liens, consolidate, merge, sell or otherwise dispose of all or substantially all of their assets and enter into certain transactions with affiliate companies, in each case, subject to exclusions, and other customary covenants. The indenture governing the 2025 Logistics Senior Notes also contains customary events of default.</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Logistics Co-Issuers were in compliance with the covenants as of September 30, 2022.</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of September 30, 2022 and December 31, 2021, deferred financing costs associated with the 2025 Logistics Senior Notes amounted to $13,033 and $15,927,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Navios Logistics Other Long-term Loans and Notes Payable</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On February 28, 2022, Navios Logistics entered into a $7,000 loan facility with Alpha Bank (the “2022 Navios Logistics Alpha Bank Loan”) in order to repay existing debt under the Navios Logistics Alpha Bank Loan. The 2022 Navios Logistics Alpha Bank Loan bears interest at a rate of the Secured Overnight Financing Rate (“SOFR”) plus 315 basis points. The 2022 Navios Logistics Alpha Bank Loan is repayable in twelve quarterly installments, beginning on August 18, 2022, with a final balloon payment of $2,800 on the last repayment date. On May 18, 2022, the amount available under this facility was fully drawn. As of September 30, 2022, the outstanding amount of the 2022 Term Bank Loan was $6,650. As of September 30, 2022 and December 31, 2021, unamortized deferred finance costs associated with the 2022 Navios Logistics Alpha Bank Loan amounted to $80 and $99, respectively.</w:t>
      </w:r>
    </w:p>
    <w:p>
      <w:pPr>
        <w:spacing w:after="0" w:line="19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On March 23, 2022, Navios Logistics entered into a $25,000 loan facility with Banco Bilbao Vizcaya Argentaria (the “2022 Navios Logistics BBVA Facility”) which was drawn down in two tranches. The first tranche of $17,000 was drawn down on March 22, 2022 and the second tranche of $8,000 was drawn down on September 22, 2022. The 2022 Navios Logistics BBVA Facility was used to repay existing debt with BBVA and for general corporate purposes. The 2022 Navios Logistics BBVA Facility bears interest at a rate of 4.25% per annum, is repayable in quarterly installments with final maturity on July 1, 2025 and is secured by assignments of certain receivables. As of September 30, 2022, the outstanding balance was $23,771.</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00"/>
          </w:cols>
          <w:pgMar w:left="320" w:top="459" w:right="4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CONDENSED NOTES TO THE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(Expressed in thousands of U.S. dollars — except share data)</w:t>
      </w:r>
    </w:p>
    <w:p>
      <w:pPr>
        <w:spacing w:after="0" w:line="143"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On March 25, 2022, Navios Logistics entered into a $5,000 loan facility with Banco Santander S.A. (the “Navios Logistics Santander Facility”) for general corporate purposes. The Navios Logistics Santander Facility bears interest at a rate of 4.20% per annum, is repayable in twelve equal quarterly installments with final maturity on March 7, 2026 and is secured by assignments of certain receivables. As of September 30, 2022, Navios Logistics had drawn the total available amount and the outstanding balance was $4,420.</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of September 30, 2022, Navios Logistics had long-term loans and notes payable, with a total outstanding balance of $63,516, including the three above mentioned financings. The purpose of the facilities was to finance the construction of its Dry Port Terminal, the acquisition of vessels, or for general corporate purposes. The facilities are mainly denominated in U.S. dollars and bear interest based on Commercial Interest Reference Rates (“CIRR”) or SOFR plus spread ranging from 3.15% to 8.50% per annum. The Company paid interest based on six-month LIBOR for its notes payable, and currently pays interest based on the CIRR. The facilities are repayable in installments and have maturities ranging from March 2024 to March 2026. See also the maturity table included below.</w:t>
      </w:r>
    </w:p>
    <w:p>
      <w:pPr>
        <w:spacing w:after="0" w:line="192"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During the nine month period ended September 30, 2022, the Company paid $74,520 related to its secured credit facilities, $332,013 related to amounts assumed by Navios Partners due to the Transaction as discussed above and $375,264 related to NSM Loans. During the nine month period ended September 30, 2022, the proceeds from the NSM Loans were $262,632, the proceeds from long term debt were $243,725 and the proceeds from the three sale and leaseback agreements were $53,000. The above payments and proceeds include debt from continuing and discontinued operations.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nine month period ended September 30, 2021, the Company paid $90,453 in relation to its secured credit facilities.</w:t>
      </w:r>
    </w:p>
    <w:p>
      <w:pPr>
        <w:spacing w:after="0" w:line="225"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annualized weighted average interest rates of the Company’s total borrowings (including debt from discontinued operations) for the three and nine month periods ended September 30, 2022 were 9.80% and 9.98%, respectively. The annualized weighted average interest rates of the Company’s total borrowings for the three and nine month periods ended September 30, 2021 were 9.90% and 9.51%, respectively.</w:t>
      </w:r>
    </w:p>
    <w:p>
      <w:pPr>
        <w:spacing w:after="0" w:line="16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maturity table below reflects the principal payments for the next five years and thereafter of all borrowings of Navios Holdings (including Navios Logistics) outstanding as of September 30, 2022, based on the repayment schedules of the respective loan facilities and the outstanding amount due under the debt securities.</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740" w:type="dxa"/>
            <w:vAlign w:val="bottom"/>
            <w:gridSpan w:val="3"/>
          </w:tcPr>
          <w:p>
            <w:pPr>
              <w:spacing w:after="0"/>
              <w:rPr>
                <w:sz w:val="20"/>
                <w:szCs w:val="20"/>
                <w:color w:val="auto"/>
              </w:rPr>
            </w:pPr>
            <w:r>
              <w:rPr>
                <w:rFonts w:ascii="Arial" w:cs="Arial" w:eastAsia="Arial" w:hAnsi="Arial"/>
                <w:sz w:val="14"/>
                <w:szCs w:val="14"/>
                <w:b w:val="1"/>
                <w:bCs w:val="1"/>
                <w:color w:val="auto"/>
              </w:rPr>
              <w:t>Payment due by period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22,784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September 30, 2024</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31,233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516,909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September 30, 2026</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117,646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689,788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FAIR VALUE OF FINANCIAL INSTRUMENTS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The carrying amounts reported in the consolidated balance sheets for interest bearing deposits and money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funds approximate their fair value because of the short maturity of these investments.</w:t>
      </w:r>
    </w:p>
    <w:p>
      <w:pPr>
        <w:spacing w:after="0" w:line="170"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Restricted cash: </w:t>
      </w:r>
      <w:r>
        <w:rPr>
          <w:rFonts w:ascii="Arial" w:cs="Arial" w:eastAsia="Arial" w:hAnsi="Arial"/>
          <w:sz w:val="18"/>
          <w:szCs w:val="18"/>
          <w:color w:val="auto"/>
        </w:rPr>
        <w:t>The carrying amounts reported in the consolidated balance sheets for interest bearing deposits approximate their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because of the short maturity of these investments.</w:t>
      </w:r>
    </w:p>
    <w:p>
      <w:pPr>
        <w:spacing w:after="0" w:line="170"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Borrowings: </w:t>
      </w:r>
      <w:r>
        <w:rPr>
          <w:rFonts w:ascii="Arial" w:cs="Arial" w:eastAsia="Arial" w:hAnsi="Arial"/>
          <w:sz w:val="18"/>
          <w:szCs w:val="18"/>
          <w:color w:val="auto"/>
        </w:rPr>
        <w:t>The book value has been adjusted to reflect the net presentation of deferred financing costs. The outstanding balance of the floating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 loans continues to approximate its fair value, excluding the effect of any deferred financing costs. As of September 30, 2022, the 2025 Logistics Senior Notes and four Navios Logistics’ loans are fixed rate borrowings and their fair value was determined based on quoted market prices. As of December 31, 2021, the 2025 Logistics Senior Notes, the 2022 Senior Secured Notes and two Navios Logistics’ loans were fixed rate borrowings and their fair value was determined based on quoted market prices.</w:t>
      </w:r>
    </w:p>
    <w:p>
      <w:pPr>
        <w:spacing w:after="0" w:line="188" w:lineRule="exact"/>
        <w:rPr>
          <w:sz w:val="20"/>
          <w:szCs w:val="20"/>
          <w:color w:val="auto"/>
        </w:rPr>
      </w:pPr>
    </w:p>
    <w:p>
      <w:pPr>
        <w:jc w:val="center"/>
        <w:ind w:left="740" w:right="140"/>
        <w:spacing w:after="0" w:line="449" w:lineRule="auto"/>
        <w:rPr>
          <w:sz w:val="20"/>
          <w:szCs w:val="20"/>
          <w:color w:val="auto"/>
        </w:rPr>
      </w:pPr>
      <w:r>
        <w:rPr>
          <w:rFonts w:ascii="Arial" w:cs="Arial" w:eastAsia="Arial" w:hAnsi="Arial"/>
          <w:sz w:val="18"/>
          <w:szCs w:val="18"/>
          <w:b w:val="1"/>
          <w:bCs w:val="1"/>
          <w:i w:val="1"/>
          <w:iCs w:val="1"/>
          <w:color w:val="auto"/>
        </w:rPr>
        <w:t xml:space="preserve">Loans payable to affiliate companies, including Convertible Debenture: </w:t>
      </w:r>
      <w:r>
        <w:rPr>
          <w:rFonts w:ascii="Arial" w:cs="Arial" w:eastAsia="Arial" w:hAnsi="Arial"/>
          <w:sz w:val="18"/>
          <w:szCs w:val="18"/>
          <w:color w:val="auto"/>
        </w:rPr>
        <w:t>The carrying amount of the fixed rate loan approximates its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F-14</w:t>
      </w:r>
    </w:p>
    <w:p>
      <w:pPr>
        <w:sectPr>
          <w:pgSz w:w="11900" w:h="16838" w:orient="portrait"/>
          <w:cols w:equalWidth="0" w:num="1">
            <w:col w:w="11100"/>
          </w:cols>
          <w:pgMar w:left="320" w:top="459" w:right="4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CONDENSED NOTES TO THE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(Expressed in thousands of U.S. dollars — except share data)</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estimated fair values of the Company’s financial instruments are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4"/>
                <w:szCs w:val="14"/>
                <w:color w:val="auto"/>
              </w:rPr>
            </w:pPr>
          </w:p>
        </w:tc>
        <w:tc>
          <w:tcPr>
            <w:tcW w:w="18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 2021</w:t>
            </w:r>
          </w:p>
        </w:tc>
      </w:tr>
      <w:tr>
        <w:trPr>
          <w:trHeight w:val="142"/>
        </w:trPr>
        <w:tc>
          <w:tcPr>
            <w:tcW w:w="5880" w:type="dxa"/>
            <w:vAlign w:val="bottom"/>
          </w:tcPr>
          <w:p>
            <w:pPr>
              <w:spacing w:after="0"/>
              <w:rPr>
                <w:sz w:val="12"/>
                <w:szCs w:val="12"/>
                <w:color w:val="auto"/>
              </w:rPr>
            </w:pPr>
          </w:p>
        </w:tc>
        <w:tc>
          <w:tcPr>
            <w:tcW w:w="11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Book Value</w:t>
            </w: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2"/>
                <w:szCs w:val="12"/>
                <w:color w:val="auto"/>
              </w:rPr>
            </w:pPr>
          </w:p>
        </w:tc>
        <w:tc>
          <w:tcPr>
            <w:tcW w:w="11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Book Value</w:t>
            </w: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2"/>
                <w:szCs w:val="12"/>
                <w:color w:val="auto"/>
              </w:rPr>
            </w:pPr>
          </w:p>
        </w:tc>
      </w:tr>
      <w:tr>
        <w:trPr>
          <w:trHeight w:val="209"/>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91,064</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91,064</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53,367</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Senior and ship mortgage notes, net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(495,593)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(479,261)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(646,538)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(690,400)</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Long-term debt, including current portion</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(63,436)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(63,516)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(58,278)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(58,376)</w:t>
            </w:r>
          </w:p>
        </w:tc>
      </w:tr>
      <w:tr>
        <w:trPr>
          <w:trHeight w:val="202"/>
        </w:trPr>
        <w:tc>
          <w:tcPr>
            <w:tcW w:w="5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payable to affiliate companies, including current portion and</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Debenture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(112,634)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(113,509)</w:t>
            </w:r>
          </w:p>
        </w:tc>
      </w:tr>
      <w:tr>
        <w:trPr>
          <w:trHeight w:val="353"/>
        </w:trPr>
        <w:tc>
          <w:tcPr>
            <w:tcW w:w="5880" w:type="dxa"/>
            <w:vAlign w:val="bottom"/>
          </w:tcPr>
          <w:p>
            <w:pPr>
              <w:spacing w:after="0"/>
              <w:rPr>
                <w:sz w:val="20"/>
                <w:szCs w:val="20"/>
                <w:color w:val="auto"/>
              </w:rPr>
            </w:pPr>
            <w:r>
              <w:rPr>
                <w:rFonts w:ascii="Arial" w:cs="Arial" w:eastAsia="Arial" w:hAnsi="Arial"/>
                <w:sz w:val="18"/>
                <w:szCs w:val="18"/>
                <w:color w:val="auto"/>
              </w:rPr>
              <w:t>Convertible debenture payable to affiliate companies</w:t>
            </w:r>
            <w:r>
              <w:rPr>
                <w:rFonts w:ascii="Arial" w:cs="Arial" w:eastAsia="Arial" w:hAnsi="Arial"/>
                <w:sz w:val="26"/>
                <w:szCs w:val="26"/>
                <w:color w:val="auto"/>
                <w:vertAlign w:val="superscript"/>
              </w:rPr>
              <w:t>(2)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(117,646)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(117,646)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6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As required by the fair value guidance, assets are categorized in their entirety based on the lowest level of input that is significant to the fair value measurement.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September 30, 2022 and December 31, 2021, there were no assets measured at fair value on a recurring basis.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September 30, 2022, the Company’s assets measured at fair value on a non-recurring basis were:</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Fair Value Measurements as of September 30, 2022</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300" w:type="dxa"/>
            <w:vAlign w:val="bottom"/>
          </w:tcPr>
          <w:p>
            <w:pPr>
              <w:spacing w:after="0"/>
              <w:rPr>
                <w:sz w:val="10"/>
                <w:szCs w:val="10"/>
                <w:color w:val="auto"/>
              </w:rPr>
            </w:pPr>
          </w:p>
        </w:tc>
        <w:tc>
          <w:tcPr>
            <w:tcW w:w="17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Significant Other</w:t>
            </w:r>
          </w:p>
        </w:tc>
        <w:tc>
          <w:tcPr>
            <w:tcW w:w="100" w:type="dxa"/>
            <w:vAlign w:val="bottom"/>
          </w:tcPr>
          <w:p>
            <w:pPr>
              <w:spacing w:after="0"/>
              <w:rPr>
                <w:sz w:val="10"/>
                <w:szCs w:val="10"/>
                <w:color w:val="auto"/>
              </w:rPr>
            </w:pPr>
          </w:p>
        </w:tc>
        <w:tc>
          <w:tcPr>
            <w:tcW w:w="760" w:type="dxa"/>
            <w:vAlign w:val="bottom"/>
          </w:tcPr>
          <w:p>
            <w:pPr>
              <w:jc w:val="right"/>
              <w:ind w:right="20"/>
              <w:spacing w:after="0" w:line="119" w:lineRule="exact"/>
              <w:rPr>
                <w:sz w:val="20"/>
                <w:szCs w:val="20"/>
                <w:color w:val="auto"/>
              </w:rPr>
            </w:pPr>
            <w:r>
              <w:rPr>
                <w:rFonts w:ascii="Arial" w:cs="Arial" w:eastAsia="Arial" w:hAnsi="Arial"/>
                <w:sz w:val="13"/>
                <w:szCs w:val="13"/>
                <w:b w:val="1"/>
                <w:bCs w:val="1"/>
                <w:color w:val="auto"/>
                <w:w w:val="96"/>
              </w:rPr>
              <w:t>Significant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Active Markets for</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9"/>
              </w:rPr>
              <w:t>Total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(Level I)</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(Level II)</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(Level III)</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2,186</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Vessels, port terminals and other fixed assets, net</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884</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680"/>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4"/>
              </w:rPr>
              <w:t>3,070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2,186</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884</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Malva H met the criteria to be accounted for as assets held for sale and has been re-measured to its fair value less cost to sell leading to an impairment loss of $788. The fair value of Malva H was measured at $2,186, as at September 30, 2022.</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During September 2022, the Company agreed to sell certain barges in the near-term future and recorded an impairment loss of $2,417 for certain barges, representing the difference between the fair value and the carrying value together with the carrying value of deferred drydock and special survey costs, if any, related to these barges.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2021, the Company’s assets measured at fair value on a non-recurring basis were:</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Fair Value Measurements as of December 31, 2021</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620" w:type="dxa"/>
            <w:vAlign w:val="bottom"/>
          </w:tcPr>
          <w:p>
            <w:pPr>
              <w:spacing w:after="0"/>
              <w:rPr>
                <w:sz w:val="10"/>
                <w:szCs w:val="10"/>
                <w:color w:val="auto"/>
              </w:rPr>
            </w:pPr>
          </w:p>
        </w:tc>
        <w:tc>
          <w:tcPr>
            <w:tcW w:w="1740" w:type="dxa"/>
            <w:vAlign w:val="bottom"/>
            <w:gridSpan w:val="3"/>
          </w:tcPr>
          <w:p>
            <w:pPr>
              <w:jc w:val="center"/>
              <w:ind w:right="640"/>
              <w:spacing w:after="0" w:line="119" w:lineRule="exact"/>
              <w:rPr>
                <w:sz w:val="20"/>
                <w:szCs w:val="20"/>
                <w:color w:val="auto"/>
              </w:rPr>
            </w:pPr>
            <w:r>
              <w:rPr>
                <w:rFonts w:ascii="Arial" w:cs="Arial" w:eastAsia="Arial" w:hAnsi="Arial"/>
                <w:sz w:val="13"/>
                <w:szCs w:val="13"/>
                <w:b w:val="1"/>
                <w:bCs w:val="1"/>
                <w:color w:val="auto"/>
              </w:rPr>
              <w:t>Significant Other</w:t>
            </w:r>
          </w:p>
        </w:tc>
        <w:tc>
          <w:tcPr>
            <w:tcW w:w="80" w:type="dxa"/>
            <w:vAlign w:val="bottom"/>
          </w:tcPr>
          <w:p>
            <w:pPr>
              <w:spacing w:after="0"/>
              <w:rPr>
                <w:sz w:val="10"/>
                <w:szCs w:val="10"/>
                <w:color w:val="auto"/>
              </w:rPr>
            </w:pPr>
          </w:p>
        </w:tc>
        <w:tc>
          <w:tcPr>
            <w:tcW w:w="760" w:type="dxa"/>
            <w:vAlign w:val="bottom"/>
          </w:tcPr>
          <w:p>
            <w:pPr>
              <w:jc w:val="center"/>
              <w:ind w:right="2"/>
              <w:spacing w:after="0" w:line="119" w:lineRule="exact"/>
              <w:rPr>
                <w:sz w:val="20"/>
                <w:szCs w:val="20"/>
                <w:color w:val="auto"/>
              </w:rPr>
            </w:pPr>
            <w:r>
              <w:rPr>
                <w:rFonts w:ascii="Arial" w:cs="Arial" w:eastAsia="Arial" w:hAnsi="Arial"/>
                <w:sz w:val="13"/>
                <w:szCs w:val="13"/>
                <w:b w:val="1"/>
                <w:bCs w:val="1"/>
                <w:color w:val="auto"/>
              </w:rPr>
              <w:t>Significant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8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5"/>
              </w:rPr>
              <w:t>Total</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39"/>
              <w:spacing w:after="0"/>
              <w:rPr>
                <w:sz w:val="20"/>
                <w:szCs w:val="20"/>
                <w:color w:val="auto"/>
              </w:rPr>
            </w:pPr>
            <w:r>
              <w:rPr>
                <w:rFonts w:ascii="Arial" w:cs="Arial" w:eastAsia="Arial" w:hAnsi="Arial"/>
                <w:sz w:val="14"/>
                <w:szCs w:val="14"/>
                <w:b w:val="1"/>
                <w:bCs w:val="1"/>
                <w:color w:val="auto"/>
                <w:w w:val="98"/>
              </w:rPr>
              <w:t>(Level I)</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(Level II)</w:t>
            </w:r>
          </w:p>
        </w:tc>
        <w:tc>
          <w:tcPr>
            <w:tcW w:w="8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(Level III)</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Vessels, port terminals and other fixed assets, net</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7,500</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7,500</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7,500</w:t>
            </w:r>
          </w:p>
        </w:tc>
        <w:tc>
          <w:tcPr>
            <w:tcW w:w="6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Navios Logistics recorded an impairment loss of $21,966 for two of its tanker vessels operating in the Cabotage Business during the year ended December 31, 2021, the fair value of which is measured at $7,500, as at December 31, 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estimated fair value of our financial instruments that are not measured at fair value on a recurring basis, categorized based upon the fair value hierarchy, are as follows: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Level I: Inputs are unadjusted, quoted prices for identical assets or liabilities in active markets that we have the ability to access. Valuation of these items does not entail a significant amount of judgment.</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Level II: Inputs other than quoted prices included in Level I that are observable for the asset or liability through corroboration with market data at the measurement date.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III: Inputs that are unobservable.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 CONDENSED NOTES TO THE</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(Expressed in thousands of U.S. dollars — except share data)</w:t>
      </w:r>
    </w:p>
    <w:p>
      <w:pPr>
        <w:spacing w:after="0" w:line="13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6"/>
          </w:tcPr>
          <w:p>
            <w:pPr>
              <w:jc w:val="right"/>
              <w:ind w:right="33"/>
              <w:spacing w:after="0"/>
              <w:rPr>
                <w:sz w:val="20"/>
                <w:szCs w:val="20"/>
                <w:color w:val="auto"/>
              </w:rPr>
            </w:pPr>
            <w:r>
              <w:rPr>
                <w:rFonts w:ascii="Arial" w:cs="Arial" w:eastAsia="Arial" w:hAnsi="Arial"/>
                <w:sz w:val="14"/>
                <w:szCs w:val="14"/>
                <w:b w:val="1"/>
                <w:bCs w:val="1"/>
                <w:color w:val="auto"/>
              </w:rPr>
              <w:t>Fair Value Measurements at September 30, 2022</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356"/>
              <w:spacing w:after="0" w:line="142" w:lineRule="exact"/>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88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w w:val="94"/>
              </w:rPr>
              <w:t>(Level I)</w:t>
            </w:r>
          </w:p>
        </w:tc>
        <w:tc>
          <w:tcPr>
            <w:tcW w:w="1120" w:type="dxa"/>
            <w:vAlign w:val="bottom"/>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(Level II)</w:t>
            </w:r>
          </w:p>
        </w:tc>
        <w:tc>
          <w:tcPr>
            <w:tcW w:w="82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III)</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91,064</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91,064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Restricted cash</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6"/>
              <w:spacing w:after="0"/>
              <w:rPr>
                <w:sz w:val="20"/>
                <w:szCs w:val="20"/>
                <w:color w:val="auto"/>
              </w:rPr>
            </w:pPr>
            <w:r>
              <w:rPr>
                <w:rFonts w:ascii="Arial" w:cs="Arial" w:eastAsia="Arial" w:hAnsi="Arial"/>
                <w:sz w:val="18"/>
                <w:szCs w:val="18"/>
                <w:color w:val="auto"/>
              </w:rPr>
              <w:t>10</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460" w:type="dxa"/>
            <w:vAlign w:val="bottom"/>
            <w:gridSpan w:val="3"/>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Senior and ship mortgage notes</w:t>
            </w:r>
          </w:p>
        </w:tc>
        <w:tc>
          <w:tcPr>
            <w:tcW w:w="1640" w:type="dxa"/>
            <w:vAlign w:val="bottom"/>
            <w:gridSpan w:val="4"/>
            <w:shd w:val="clear" w:color="auto" w:fill="CCEEFF"/>
          </w:tcPr>
          <w:p>
            <w:pPr>
              <w:jc w:val="right"/>
              <w:ind w:right="96"/>
              <w:spacing w:after="0"/>
              <w:rPr>
                <w:sz w:val="20"/>
                <w:szCs w:val="20"/>
                <w:color w:val="auto"/>
              </w:rPr>
            </w:pPr>
            <w:r>
              <w:rPr>
                <w:rFonts w:ascii="Arial" w:cs="Arial" w:eastAsia="Arial" w:hAnsi="Arial"/>
                <w:sz w:val="18"/>
                <w:szCs w:val="18"/>
                <w:color w:val="auto"/>
              </w:rPr>
              <w:t>$(479,261)</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$(470,635)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(8,626)</w:t>
            </w: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tcPr>
          <w:p>
            <w:pPr>
              <w:spacing w:after="0" w:line="216" w:lineRule="exact"/>
              <w:rPr>
                <w:sz w:val="20"/>
                <w:szCs w:val="20"/>
                <w:color w:val="auto"/>
              </w:rPr>
            </w:pPr>
            <w:r>
              <w:rPr>
                <w:rFonts w:ascii="Arial" w:cs="Arial" w:eastAsia="Arial" w:hAnsi="Arial"/>
                <w:sz w:val="17"/>
                <w:szCs w:val="17"/>
                <w:color w:val="auto"/>
              </w:rPr>
              <w:t>Long-term debt, including current portion</w:t>
            </w:r>
            <w:r>
              <w:rPr>
                <w:rFonts w:ascii="Arial" w:cs="Arial" w:eastAsia="Arial" w:hAnsi="Arial"/>
                <w:sz w:val="25"/>
                <w:szCs w:val="25"/>
                <w:color w:val="auto"/>
                <w:vertAlign w:val="superscript"/>
              </w:rPr>
              <w:t>(1)</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(63,516)</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(63,516)</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460" w:type="dxa"/>
            <w:vAlign w:val="bottom"/>
            <w:gridSpan w:val="3"/>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Convertible debenture payable to affiliate companies</w:t>
            </w:r>
            <w:r>
              <w:rPr>
                <w:rFonts w:ascii="Arial" w:cs="Arial" w:eastAsia="Arial" w:hAnsi="Arial"/>
                <w:sz w:val="25"/>
                <w:szCs w:val="25"/>
                <w:color w:val="auto"/>
                <w:vertAlign w:val="superscript"/>
              </w:rPr>
              <w:t>(2)</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88"/>
              </w:rPr>
              <w:t>(117,646)</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8"/>
              </w:rPr>
              <w:t>(117,646)</w:t>
            </w: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392"/>
        </w:trPr>
        <w:tc>
          <w:tcPr>
            <w:tcW w:w="5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6"/>
          </w:tcPr>
          <w:p>
            <w:pPr>
              <w:jc w:val="right"/>
              <w:ind w:right="53"/>
              <w:spacing w:after="0"/>
              <w:rPr>
                <w:sz w:val="20"/>
                <w:szCs w:val="20"/>
                <w:color w:val="auto"/>
              </w:rPr>
            </w:pPr>
            <w:r>
              <w:rPr>
                <w:rFonts w:ascii="Arial" w:cs="Arial" w:eastAsia="Arial" w:hAnsi="Arial"/>
                <w:sz w:val="14"/>
                <w:szCs w:val="14"/>
                <w:b w:val="1"/>
                <w:bCs w:val="1"/>
                <w:color w:val="auto"/>
              </w:rPr>
              <w:t>Fair Value Measurements at December 31, 2021</w:t>
            </w: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5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356"/>
              <w:spacing w:after="0" w:line="142" w:lineRule="exact"/>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88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w w:val="98"/>
              </w:rPr>
              <w:t>(Level I)</w:t>
            </w:r>
          </w:p>
        </w:tc>
        <w:tc>
          <w:tcPr>
            <w:tcW w:w="1120" w:type="dxa"/>
            <w:vAlign w:val="bottom"/>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(Level II)</w:t>
            </w:r>
          </w:p>
        </w:tc>
        <w:tc>
          <w:tcPr>
            <w:tcW w:w="84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(Level III)</w:t>
            </w:r>
          </w:p>
        </w:tc>
        <w:tc>
          <w:tcPr>
            <w:tcW w:w="20" w:type="dxa"/>
            <w:vAlign w:val="bottom"/>
          </w:tcPr>
          <w:p>
            <w:pPr>
              <w:spacing w:after="0"/>
              <w:rPr>
                <w:sz w:val="12"/>
                <w:szCs w:val="12"/>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53,367</w:t>
            </w:r>
          </w:p>
        </w:tc>
        <w:tc>
          <w:tcPr>
            <w:tcW w:w="260" w:type="dxa"/>
            <w:vAlign w:val="bottom"/>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53,367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Restricted cash</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6"/>
              <w:spacing w:after="0"/>
              <w:rPr>
                <w:sz w:val="20"/>
                <w:szCs w:val="20"/>
                <w:color w:val="auto"/>
              </w:rPr>
            </w:pPr>
            <w:r>
              <w:rPr>
                <w:rFonts w:ascii="Arial" w:cs="Arial" w:eastAsia="Arial" w:hAnsi="Arial"/>
                <w:sz w:val="18"/>
                <w:szCs w:val="18"/>
                <w:color w:val="auto"/>
              </w:rPr>
              <w:t>10</w:t>
            </w:r>
          </w:p>
        </w:tc>
        <w:tc>
          <w:tcPr>
            <w:tcW w:w="26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00" w:type="dxa"/>
            <w:vAlign w:val="bottom"/>
          </w:tcPr>
          <w:p>
            <w:pPr>
              <w:ind w:left="180"/>
              <w:spacing w:after="0"/>
              <w:rPr>
                <w:sz w:val="20"/>
                <w:szCs w:val="20"/>
                <w:color w:val="auto"/>
              </w:rPr>
            </w:pPr>
            <w:r>
              <w:rPr>
                <w:rFonts w:ascii="Arial" w:cs="Arial" w:eastAsia="Arial" w:hAnsi="Arial"/>
                <w:sz w:val="18"/>
                <w:szCs w:val="18"/>
                <w:color w:val="auto"/>
              </w:rPr>
              <w:t>$</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Senior and ship mortgage notes</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0"/>
              </w:rPr>
              <w:t>(690,400)</w:t>
            </w:r>
          </w:p>
        </w:tc>
        <w:tc>
          <w:tcPr>
            <w:tcW w:w="260" w:type="dxa"/>
            <w:vAlign w:val="bottom"/>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0"/>
              </w:rPr>
              <w:t>(681,774)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(8,626)</w:t>
            </w:r>
          </w:p>
        </w:tc>
        <w:tc>
          <w:tcPr>
            <w:tcW w:w="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tcPr>
          <w:p>
            <w:pPr>
              <w:spacing w:after="0" w:line="216" w:lineRule="exact"/>
              <w:rPr>
                <w:sz w:val="20"/>
                <w:szCs w:val="20"/>
                <w:color w:val="auto"/>
              </w:rPr>
            </w:pPr>
            <w:r>
              <w:rPr>
                <w:rFonts w:ascii="Arial" w:cs="Arial" w:eastAsia="Arial" w:hAnsi="Arial"/>
                <w:sz w:val="17"/>
                <w:szCs w:val="17"/>
                <w:color w:val="auto"/>
              </w:rPr>
              <w:t>Long-term debt, including current portion</w:t>
            </w:r>
            <w:r>
              <w:rPr>
                <w:rFonts w:ascii="Arial" w:cs="Arial" w:eastAsia="Arial" w:hAnsi="Arial"/>
                <w:sz w:val="25"/>
                <w:szCs w:val="25"/>
                <w:color w:val="auto"/>
                <w:vertAlign w:val="superscript"/>
              </w:rPr>
              <w:t>(1)</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(58,376)</w:t>
            </w:r>
          </w:p>
        </w:tc>
        <w:tc>
          <w:tcPr>
            <w:tcW w:w="26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(58,376)</w:t>
            </w:r>
          </w:p>
        </w:tc>
        <w:tc>
          <w:tcPr>
            <w:tcW w:w="400" w:type="dxa"/>
            <w:vAlign w:val="bottom"/>
          </w:tcPr>
          <w:p>
            <w:pPr>
              <w:ind w:left="180"/>
              <w:spacing w:after="0"/>
              <w:rPr>
                <w:sz w:val="20"/>
                <w:szCs w:val="20"/>
                <w:color w:val="auto"/>
              </w:rPr>
            </w:pPr>
            <w:r>
              <w:rPr>
                <w:rFonts w:ascii="Arial" w:cs="Arial" w:eastAsia="Arial" w:hAnsi="Arial"/>
                <w:sz w:val="18"/>
                <w:szCs w:val="18"/>
                <w:color w:val="auto"/>
              </w:rPr>
              <w:t>$</w:t>
            </w:r>
          </w:p>
        </w:tc>
        <w:tc>
          <w:tcPr>
            <w:tcW w:w="460" w:type="dxa"/>
            <w:vAlign w:val="bottom"/>
            <w:gridSpan w:val="3"/>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Loans payable to affiliate companies, including current portion</w:t>
            </w:r>
            <w:r>
              <w:rPr>
                <w:rFonts w:ascii="Arial" w:cs="Arial" w:eastAsia="Arial" w:hAnsi="Arial"/>
                <w:sz w:val="25"/>
                <w:szCs w:val="25"/>
                <w:color w:val="auto"/>
                <w:vertAlign w:val="superscript"/>
              </w:rPr>
              <w:t>(2)</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0"/>
              </w:rPr>
              <w:t>(112,634)</w:t>
            </w:r>
          </w:p>
        </w:tc>
        <w:tc>
          <w:tcPr>
            <w:tcW w:w="260" w:type="dxa"/>
            <w:vAlign w:val="bottom"/>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8"/>
              </w:rPr>
              <w:t>(112,634)</w:t>
            </w:r>
          </w:p>
        </w:tc>
        <w:tc>
          <w:tcPr>
            <w:tcW w:w="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540" w:right="480" w:hanging="424"/>
        <w:spacing w:after="0" w:line="274"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fair value of the Company’s long-term debt is estimated based on currently available debt with similar contract terms, interest rates and remaining maturities, published quoted market prices as well as taking into account the Company’s creditworthiness.</w:t>
      </w:r>
    </w:p>
    <w:p>
      <w:pPr>
        <w:ind w:left="540" w:right="20" w:hanging="424"/>
        <w:spacing w:after="0" w:line="255"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fair value of the Company’s loans payable to affiliate companies and Convertible Debenture payable to affiliate companies is estimated based on currently available debt with similar contract terms, interest rate and remaining maturities as well as taking into account the counterparty’s creditworthiness.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21"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As of September 30, 2022, the Company was contingently liable for letters of guarantee and letters of credit amounting to $10 (December 31, 2021: $10) issued by one bank in favor of various organizations and the total amount was collateralized by cash deposits, which were included as a component of restricted cash.</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Navios Logistics has issued a guarantee and indemnity letter that guarantees the performance by Petrolera San Antonio S.A. (a consolidated subsidiary) of all its obligations to Vitol S.A. up to $12,000. This guarantee expires on March 1, 2023.</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July 22, 2016, Navios Logistics guaranteed the compliance of certain obligations related to Edolmix S.A. and Energías Renovables del Sur S.A. (entities wholly owned by Navios Logistics) under their respective direct user agreements with the Free Zone of Nueva Palmira, for the amounts of $847 and $519, respectively.</w:t>
      </w:r>
    </w:p>
    <w:p>
      <w:pPr>
        <w:spacing w:after="0" w:line="184"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In September 2020, Navios Logistics agreed to a settlement regarding a storage and transshipment contract in the Grain Port Terminal for a total amount to be paid to Navios Logistics as a result of the settlement of $4,140, which is collected in three equal installments of $1,380 on June 1, 2021, 2022 and 2023. In June 2021 and 2022, Navios Logistics collected the first and second installment, respectively.</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April 28, 2022, Navios Logistics entered into a five year finance leasing contract for eight liquid barges to be delivered from the fourth quarter of 2022 through the second quarter of 2023. The finance lease contract is payable by 60 consecutive monthly payments of $26 each, commencing with the delivery date of the applicable barge. At expiration, the Navios Logistics will have the ability to exercise the purchase option of these barges or extend the term of the finance leasing contract.</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July 2022, Vale S.A. announced the closing of the sale of its iron ore, manganese ore and logistics assets in the midwestern system to J&amp;F Mineracao Ltda., an entity controlled by J&amp;F Investimentos S.A. The Vale port contract entered into between Corporacion Navios S.A., a company controlled by Navios Logistics, and Vale International S.A. (“Vale”), dated September 27, 2013, remains in full force and effect. Any transfer, novation, or assignment of the Vale port contract or any obligations or rights arising thereunder by Vale is subject to the prior approval of the Navios counterparty.</w:t>
      </w:r>
    </w:p>
    <w:p>
      <w:pPr>
        <w:spacing w:after="0" w:line="15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Company is involved in a number of legal proceedings and has various unresolved claims pending arising in the ordinary course of business. Based on currently available information and the opinion of legal counsel, management believes that the final outcome will not have a significant effect on the Company’s operating results or financial position and that no additional provisions over and above provisions already reflected in the interim condensed consolidated financial statements are required.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TRANSACTIONS WITH RELATED PARTIES</w:t>
      </w:r>
    </w:p>
    <w:p>
      <w:pPr>
        <w:spacing w:after="0" w:line="117" w:lineRule="exact"/>
        <w:rPr>
          <w:sz w:val="20"/>
          <w:szCs w:val="20"/>
          <w:color w:val="auto"/>
        </w:rPr>
      </w:pPr>
    </w:p>
    <w:p>
      <w:pPr>
        <w:jc w:val="both"/>
        <w:ind w:left="120" w:right="160" w:firstLine="440"/>
        <w:spacing w:after="0" w:line="266" w:lineRule="auto"/>
        <w:rPr>
          <w:sz w:val="20"/>
          <w:szCs w:val="20"/>
          <w:color w:val="auto"/>
        </w:rPr>
      </w:pPr>
      <w:r>
        <w:rPr>
          <w:rFonts w:ascii="Arial" w:cs="Arial" w:eastAsia="Arial" w:hAnsi="Arial"/>
          <w:sz w:val="18"/>
          <w:szCs w:val="18"/>
          <w:b w:val="1"/>
          <w:bCs w:val="1"/>
          <w:color w:val="auto"/>
        </w:rPr>
        <w:t xml:space="preserve">Vessel Operating Expenses (management fees): </w:t>
      </w:r>
      <w:r>
        <w:rPr>
          <w:rFonts w:ascii="Arial" w:cs="Arial" w:eastAsia="Arial" w:hAnsi="Arial"/>
          <w:sz w:val="18"/>
          <w:szCs w:val="18"/>
          <w:color w:val="auto"/>
        </w:rPr>
        <w:t>Prior to the Transaction and pursuant to a management agreement dated August 29, 2019 (the</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Agreement”), with Navios Shipmanagement Inc., a subsidiary of N Shipmanagement Acquisition Corp. (together with its subsidiaries, “NSM” or the “Manager”), the Manager provided commercial and technical management</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80"/>
          </w:cols>
          <w:pgMar w:left="320" w:top="459" w:right="4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CONDENSED NOTES TO THE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(Expressed in thousands of U.S. dollars — except share data)</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services to Navios Holdings’ vessels. The term of this agreement was for an initial period of five years with an automatic extension period of five years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thereafter unless a notice for termination was received by either party. The ship management services fees provided by the Manager was a fixed rate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$3.7 per day per owned/bareboat-in vessel until August 2021, $3.8 per day per owned/bareboat-in vessel until August 2022 and $3.9 per day until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closing of the Transaction on September 8, 2022. The fee for the ship management services provided by the Manager was a daily fee of $0.03 per day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per charter-in vessel. Drydocking expenses under this agreement were reimbursed by Navios Holdings at cost. The agreement also provided for payment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a termination fee by Navios Holdings, equal to the fees charged for the full calendar year preceding the termination date, in the event the Management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Agreement is terminated on or before August 29, 2024, upon the occurrence of certain events. No such fees were triggered. Total management fees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vessel operating expenses for the three month periods ended September 30, 2022 and 2021 amounted to $6,022 and $8,655, respectively and are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presented under the caption “Net income from discontinued operations” in the interim condensed consolidated statements of comprehensive income.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management fees for vessel operating expenses for the nine month periods ended September 30, 2022 and 2021 amounted to $23,320 and $29,021,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respectively and are presented under the caption “Net income from discontinued operations” in the interim condensed consolidated statements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comprehensive income. During the three and nine month periods ended September 30, 2022, certain extraordinary fees and costs related to COVID-19</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measures, including crew related expenses, amounted to $373 and $1,705, respectively, and are presented under the caption “Net income from</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discontinued operations” in the interim condensed consolidated statements of comprehensive income. During the three and nine month periods ended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September 30, 2021, certain extraordinary fees and costs related to COVID-19 measures, including crew related expenses, amounted to $2,029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$1,876, respectively, and are presented under the caption “Net income from discontinued operations” in the interim condensed consolidated statements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comprehensive income.</w:t>
      </w:r>
    </w:p>
    <w:p>
      <w:pPr>
        <w:spacing w:after="0" w:line="207" w:lineRule="exact"/>
        <w:rPr>
          <w:sz w:val="20"/>
          <w:szCs w:val="20"/>
          <w:color w:val="auto"/>
        </w:rPr>
      </w:pPr>
    </w:p>
    <w:p>
      <w:pPr>
        <w:ind w:left="120" w:right="140" w:firstLine="440"/>
        <w:spacing w:after="0" w:line="261" w:lineRule="auto"/>
        <w:rPr>
          <w:sz w:val="20"/>
          <w:szCs w:val="20"/>
          <w:color w:val="auto"/>
        </w:rPr>
      </w:pPr>
      <w:r>
        <w:rPr>
          <w:rFonts w:ascii="Arial" w:cs="Arial" w:eastAsia="Arial" w:hAnsi="Arial"/>
          <w:sz w:val="18"/>
          <w:szCs w:val="18"/>
          <w:b w:val="1"/>
          <w:bCs w:val="1"/>
          <w:color w:val="auto"/>
        </w:rPr>
        <w:t xml:space="preserve">Navios Partners Guarantee: </w:t>
      </w:r>
      <w:r>
        <w:rPr>
          <w:rFonts w:ascii="Arial" w:cs="Arial" w:eastAsia="Arial" w:hAnsi="Arial"/>
          <w:sz w:val="18"/>
          <w:szCs w:val="18"/>
          <w:color w:val="auto"/>
        </w:rPr>
        <w:t>In November 2012 (as amended in March 2014), the Company entered into an agreement with Navios Partners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Navios Partners with guarantees against counterparty default on certain existing charters, which had previously been covered by the charter insurance for the same vessels, same periods and same amounts. In April 2021, the Company paid the amount of $5,000 to Navios Partners as the final settlement of the outstanding balance of the claim.</w:t>
      </w:r>
    </w:p>
    <w:p>
      <w:pPr>
        <w:spacing w:after="0" w:line="180" w:lineRule="exact"/>
        <w:rPr>
          <w:sz w:val="20"/>
          <w:szCs w:val="20"/>
          <w:color w:val="auto"/>
        </w:rPr>
      </w:pPr>
    </w:p>
    <w:p>
      <w:pPr>
        <w:ind w:left="120" w:right="180" w:firstLine="440"/>
        <w:spacing w:after="0" w:line="287" w:lineRule="auto"/>
        <w:rPr>
          <w:sz w:val="20"/>
          <w:szCs w:val="20"/>
          <w:color w:val="auto"/>
        </w:rPr>
      </w:pPr>
      <w:r>
        <w:rPr>
          <w:rFonts w:ascii="Arial" w:cs="Arial" w:eastAsia="Arial" w:hAnsi="Arial"/>
          <w:sz w:val="16"/>
          <w:szCs w:val="16"/>
          <w:b w:val="1"/>
          <w:bCs w:val="1"/>
          <w:color w:val="auto"/>
        </w:rPr>
        <w:t xml:space="preserve">General and administrative expenses: </w:t>
      </w:r>
      <w:r>
        <w:rPr>
          <w:rFonts w:ascii="Arial" w:cs="Arial" w:eastAsia="Arial" w:hAnsi="Arial"/>
          <w:sz w:val="16"/>
          <w:szCs w:val="16"/>
          <w:color w:val="auto"/>
        </w:rPr>
        <w:t>Pursuant to an administrative services agreement with the Manager dated August 29, 2019</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Services Agreement”), NSM provides administrative services to Navios Holdings. NSM is reimbursed for reasonable costs and expenses incurred in connection with the provision of these services. The term of this agreement is for an initial period of five years with an automatic extension for a period of five years thereafter unless a notice of termination is received by either party. The agreement also provides for payment of a termination fee by Navios Holdings, equal to the fees charged for the full calendar year preceding the termination date, in the event the Administrative Services Agreement is terminated on or before August 29, 2024, upon the occurrence of certain events. Total general and administrative expenses attributable to this agreement for each of the three and nine month periods ended September 30, 2022 and 2021 amounted to $135 and $405, respectively, and are presented under the caption “General and administrative expenses”. The total general and administrative expenses attributable to this agreement for the three month periods ended September 30, 2022 and 2021, which have been allocated to discontinued operations, amounted to $1,201 and $1,762, respectively, and are presented under the caption “Net income from discontinued operations”. The total general and administrative expenses attributable to this agreement for the nine month periods ended September 30, 2022 and 2021, which have been allocated to discontinued operations, amounted to $4,774 and $5,600, respectively, and are presented under the caption “Net income from discontinued operations”. For further information see Note 15 “Discontinued operations” in the interim condensed consolidated financial statements.</w:t>
      </w:r>
    </w:p>
    <w:p>
      <w:pPr>
        <w:spacing w:after="0" w:line="168" w:lineRule="exact"/>
        <w:rPr>
          <w:sz w:val="20"/>
          <w:szCs w:val="20"/>
          <w:color w:val="auto"/>
        </w:rPr>
      </w:pPr>
    </w:p>
    <w:p>
      <w:pPr>
        <w:jc w:val="both"/>
        <w:ind w:left="120" w:right="420" w:firstLine="440"/>
        <w:spacing w:after="0" w:line="301" w:lineRule="auto"/>
        <w:rPr>
          <w:sz w:val="20"/>
          <w:szCs w:val="20"/>
          <w:color w:val="auto"/>
        </w:rPr>
      </w:pPr>
      <w:r>
        <w:rPr>
          <w:rFonts w:ascii="Arial" w:cs="Arial" w:eastAsia="Arial" w:hAnsi="Arial"/>
          <w:sz w:val="16"/>
          <w:szCs w:val="16"/>
          <w:color w:val="auto"/>
        </w:rPr>
        <w:t>Pursuant to an administrative services agreement with the Manager dated August 29, 2019, NSM provides administrative services to Navios Logistics. Total general and administrative fees for each of the three month periods ended September 30, 2022 and 2021 amounted to $286 and are presented under the caption “General and administrative expenses”. Total general and administrative fees for each of the nine month periods ended September 30, 2022 and 2021 amounted to $858 and are presented under the caption “General and administrative expenses”.</w:t>
      </w:r>
    </w:p>
    <w:p>
      <w:pPr>
        <w:spacing w:after="0" w:line="153" w:lineRule="exact"/>
        <w:rPr>
          <w:sz w:val="20"/>
          <w:szCs w:val="20"/>
          <w:color w:val="auto"/>
        </w:rPr>
      </w:pPr>
    </w:p>
    <w:p>
      <w:pPr>
        <w:ind w:left="120" w:right="340" w:firstLine="440"/>
        <w:spacing w:after="0" w:line="282" w:lineRule="auto"/>
        <w:rPr>
          <w:sz w:val="20"/>
          <w:szCs w:val="20"/>
          <w:color w:val="auto"/>
        </w:rPr>
      </w:pPr>
      <w:r>
        <w:rPr>
          <w:rFonts w:ascii="Arial" w:cs="Arial" w:eastAsia="Arial" w:hAnsi="Arial"/>
          <w:sz w:val="18"/>
          <w:szCs w:val="18"/>
          <w:b w:val="1"/>
          <w:bCs w:val="1"/>
          <w:color w:val="auto"/>
        </w:rPr>
        <w:t xml:space="preserve">Balance due to affiliate companies: </w:t>
      </w:r>
      <w:r>
        <w:rPr>
          <w:rFonts w:ascii="Arial" w:cs="Arial" w:eastAsia="Arial" w:hAnsi="Arial"/>
          <w:sz w:val="18"/>
          <w:szCs w:val="18"/>
          <w:color w:val="auto"/>
        </w:rPr>
        <w:t>Balances due to NSM as of September 30, 2022 and December 31, 2021 amounted to $642 and to $385,</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w:t>
      </w:r>
    </w:p>
    <w:p>
      <w:pPr>
        <w:spacing w:after="0" w:line="162"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b w:val="1"/>
          <w:bCs w:val="1"/>
          <w:color w:val="auto"/>
        </w:rPr>
        <w:t xml:space="preserve">Midstream General Partner Option Agreement: </w:t>
      </w:r>
      <w:r>
        <w:rPr>
          <w:rFonts w:ascii="Arial" w:cs="Arial" w:eastAsia="Arial" w:hAnsi="Arial"/>
          <w:sz w:val="17"/>
          <w:szCs w:val="17"/>
          <w:color w:val="auto"/>
        </w:rPr>
        <w:t>Navios Holdings entered into an option agreement, with Navios Acquisition under which</w:t>
      </w:r>
      <w:r>
        <w:rPr>
          <w:rFonts w:ascii="Arial" w:cs="Arial" w:eastAsia="Arial" w:hAnsi="Arial"/>
          <w:sz w:val="17"/>
          <w:szCs w:val="17"/>
          <w:b w:val="1"/>
          <w:bCs w:val="1"/>
          <w:color w:val="auto"/>
        </w:rPr>
        <w:t xml:space="preserve"> </w:t>
      </w:r>
      <w:r>
        <w:rPr>
          <w:rFonts w:ascii="Arial" w:cs="Arial" w:eastAsia="Arial" w:hAnsi="Arial"/>
          <w:sz w:val="17"/>
          <w:szCs w:val="17"/>
          <w:color w:val="auto"/>
        </w:rPr>
        <w:t>Navios Acquisition, which owns and controls Navios Maritime Midstream Partners GP LLC (“Midstream General Partner”), granted Navios Holdings the option to acquire a minimum of 25% of the outstanding membership interests in Midstream General Partner and the incentive distribution rights in Navios Midstream representing the right to receive an increasing percentage of the quarterly distributions when certain conditions are met. The option shall expire on November 18, 2024. The purchase price for the acquisition for all or part of the option interest shall be an amount equal to its fair market value. As of September 30, 2022, Navios Holdings had not exercised any part of that option.</w:t>
      </w:r>
    </w:p>
    <w:p>
      <w:pPr>
        <w:spacing w:after="0" w:line="173" w:lineRule="exact"/>
        <w:rPr>
          <w:sz w:val="20"/>
          <w:szCs w:val="20"/>
          <w:color w:val="auto"/>
        </w:rPr>
      </w:pPr>
    </w:p>
    <w:p>
      <w:pPr>
        <w:ind w:left="120" w:right="160" w:firstLine="440"/>
        <w:spacing w:after="0" w:line="294" w:lineRule="auto"/>
        <w:rPr>
          <w:sz w:val="20"/>
          <w:szCs w:val="20"/>
          <w:color w:val="auto"/>
        </w:rPr>
      </w:pPr>
      <w:r>
        <w:rPr>
          <w:rFonts w:ascii="Arial" w:cs="Arial" w:eastAsia="Arial" w:hAnsi="Arial"/>
          <w:sz w:val="16"/>
          <w:szCs w:val="16"/>
          <w:b w:val="1"/>
          <w:bCs w:val="1"/>
          <w:color w:val="auto"/>
        </w:rPr>
        <w:t xml:space="preserve">Sale of Vessels and Sale of Rights to Navios Partners: </w:t>
      </w:r>
      <w:r>
        <w:rPr>
          <w:rFonts w:ascii="Arial" w:cs="Arial" w:eastAsia="Arial" w:hAnsi="Arial"/>
          <w:sz w:val="16"/>
          <w:szCs w:val="16"/>
          <w:color w:val="auto"/>
        </w:rPr>
        <w:t>In March 2021, Navios Holdings completed the sale to Navios Partners of the Navios</w:t>
      </w:r>
      <w:r>
        <w:rPr>
          <w:rFonts w:ascii="Arial" w:cs="Arial" w:eastAsia="Arial" w:hAnsi="Arial"/>
          <w:sz w:val="16"/>
          <w:szCs w:val="16"/>
          <w:b w:val="1"/>
          <w:bCs w:val="1"/>
          <w:color w:val="auto"/>
        </w:rPr>
        <w:t xml:space="preserve"> </w:t>
      </w:r>
      <w:r>
        <w:rPr>
          <w:rFonts w:ascii="Arial" w:cs="Arial" w:eastAsia="Arial" w:hAnsi="Arial"/>
          <w:sz w:val="16"/>
          <w:szCs w:val="16"/>
          <w:color w:val="auto"/>
        </w:rPr>
        <w:t>Centaurus, a 2012-built Panamax vessel of 81,472 dwt, and the Navios Avior, a 2012-built Panamax vessel of 81,355 dwt, for a sale price of $39,250, including working capital adjustments. In June 2021, Navios Holdings completed the sale to Navios Partners of the Navios Ray, a 2012 built Capesize vessel of 179,515 dwt, and the Navios Bonavis, a 2009 built Capesize vessel of 180,022 dwt, for a sale price of $58,000 and the sale of the Navios Koyo, a 2011-built Capesize vessel, previously chartered-in by Navios Holdings, for a sale price of $28,500. In July 2021, Navios Holdings completed the sale to Navios Partners of the Navios Azimuth, a 2011 built Capesize vessel of 179,169 dwt, for a sale price of $30,000.</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CONDENSED NOTES TO THE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(Expressed in thousands of U.S. dollars — except share data)</w:t>
      </w:r>
    </w:p>
    <w:p>
      <w:pPr>
        <w:spacing w:after="0" w:line="143"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In September 2022, Navios Holdings completed the sale of its 36-vessel dry bulk fleet to Navios Partners. For further information see Note 15 “Discontinued operations” in the interim condensed consolidated financial statements.</w:t>
      </w:r>
    </w:p>
    <w:p>
      <w:pPr>
        <w:spacing w:after="0" w:line="16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b w:val="1"/>
          <w:bCs w:val="1"/>
          <w:color w:val="auto"/>
        </w:rPr>
        <w:t xml:space="preserve">Secured credit facility with Navios Logistics (“Grimaud Loan”): </w:t>
      </w:r>
      <w:r>
        <w:rPr>
          <w:rFonts w:ascii="Arial" w:cs="Arial" w:eastAsia="Arial" w:hAnsi="Arial"/>
          <w:sz w:val="16"/>
          <w:szCs w:val="16"/>
          <w:color w:val="auto"/>
        </w:rPr>
        <w:t>On April 25, 2019, Navios Holdings entered into a secured credit facility of</w:t>
      </w:r>
      <w:r>
        <w:rPr>
          <w:rFonts w:ascii="Arial" w:cs="Arial" w:eastAsia="Arial" w:hAnsi="Arial"/>
          <w:sz w:val="16"/>
          <w:szCs w:val="16"/>
          <w:b w:val="1"/>
          <w:bCs w:val="1"/>
          <w:color w:val="auto"/>
        </w:rPr>
        <w:t xml:space="preserve"> </w:t>
      </w:r>
      <w:r>
        <w:rPr>
          <w:rFonts w:ascii="Arial" w:cs="Arial" w:eastAsia="Arial" w:hAnsi="Arial"/>
          <w:sz w:val="16"/>
          <w:szCs w:val="16"/>
          <w:color w:val="auto"/>
        </w:rPr>
        <w:t>up to $50,000 with Navios Logistics. This credit facility was secured by any 2022 Notes purchased by Navios Holdings with these funds. The secured credit facility included an arrangement fee of $500 and initially bore a fixed interest rate of 12.75% for the first year and 14.75% for the second year. On December 2, 2019, Navios Holdings and Navios Logistics agreed to increase the secured credit facility by $20,000. Following this amendment, as a result of the redemption of the 2022 Logistics Senior Notes, repayment of the Term Loan B Facility and the issuance of 2025 Logistics Senior Notes,</w:t>
      </w:r>
    </w:p>
    <w:p>
      <w:pPr>
        <w:spacing w:after="0" w:line="2" w:lineRule="exact"/>
        <w:rPr>
          <w:sz w:val="20"/>
          <w:szCs w:val="20"/>
          <w:color w:val="auto"/>
        </w:rPr>
      </w:pPr>
    </w:p>
    <w:p>
      <w:pPr>
        <w:ind w:left="120" w:right="80" w:hanging="4"/>
        <w:spacing w:after="0" w:line="260" w:lineRule="auto"/>
        <w:tabs>
          <w:tab w:leader="none" w:pos="3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interest rate on the secured credit facility decreased to 10.0%, and (b) the maturity of the secured credit facility was extended to December 2024. As of December 31, 2021, the total amount of this facility was repaid in full, as described below.</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Effective as of May 2021, and upon the release of certain collateral, the facility bore interest of 13.0% per annum.</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June 30, 2021, the Company entered into a supplemental agreement to the Grimaud Loan (the “Supplemental Grimaud Loan Agreement”) with Grimaud, whereby the Company and Grimaud agreed to amend the Grimaud Loan. Pursuant to the amendment, the Grimaud Loan could be repaid or prepaid in full by the issuance of shares of common stock of Navios Holdings. The effectiveness of the Supplemental Grimaud Loan Agreement was subject to, and contingent upon, prepayment of the Grimaud Loan in the amount of $7,500 in cash and the effectiveness of a registration statement registering the resale of Navios Holdings shares, among other conditions.</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July 13, 2021, the Grimaud Loan plus accrued interest was repaid by the Company in full through the issuance of 9,301,542 shares (the “Shares”) of the Company’s common stock and $7,500 in cash plus accrued and unpaid interest. Please see also Note 10 “Preferred and Common Stock” to the interim condensed consolidated financial statements.</w:t>
      </w:r>
    </w:p>
    <w:p>
      <w:pPr>
        <w:spacing w:after="0" w:line="18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color w:val="auto"/>
        </w:rPr>
        <w:t xml:space="preserve">NSM Loan: </w:t>
      </w:r>
      <w:r>
        <w:rPr>
          <w:rFonts w:ascii="Arial" w:cs="Arial" w:eastAsia="Arial" w:hAnsi="Arial"/>
          <w:sz w:val="17"/>
          <w:szCs w:val="17"/>
          <w:color w:val="auto"/>
        </w:rPr>
        <w:t>On August 29, 2019, Navios Holdings entered into a secured credit facility of $141,795 (including post-closing adjustments) with a</w:t>
      </w:r>
      <w:r>
        <w:rPr>
          <w:rFonts w:ascii="Arial" w:cs="Arial" w:eastAsia="Arial" w:hAnsi="Arial"/>
          <w:sz w:val="17"/>
          <w:szCs w:val="17"/>
          <w:b w:val="1"/>
          <w:bCs w:val="1"/>
          <w:color w:val="auto"/>
        </w:rPr>
        <w:t xml:space="preserve"> </w:t>
      </w:r>
      <w:r>
        <w:rPr>
          <w:rFonts w:ascii="Arial" w:cs="Arial" w:eastAsia="Arial" w:hAnsi="Arial"/>
          <w:sz w:val="17"/>
          <w:szCs w:val="17"/>
          <w:color w:val="auto"/>
        </w:rPr>
        <w:t>wholly owned subsidiary of NSM (the “NSM Loan”). In general, the amount owed reflected the excess of: (i) the liabilities of the ship management business (including liabilities for advances previously made by affiliate companies to the Company for ongoing operating costs, including technical management services, supplies, dry-docking and related expenses) other than liabilities the assumption of which formed part of the consideration for the sale of the management division over; (ii) the short term assets of the ship management business. The credit facility was repayable over a five-year period; of the initial amount, $47,000 was repayable in 2020 in equal quarterly installments, with the remaining principal repayment in equal quarterly installments over the following 48 months. In certain cases, principal payments could be deferred provided that no more than $20,000 of deferral may be outstanding during the first or second year and $10,000 outstanding in the third year. The loan agreement provided for interest at 5.0% annually, and 7.0% annually for deferred principal amounts.</w:t>
      </w:r>
    </w:p>
    <w:p>
      <w:pPr>
        <w:spacing w:after="0" w:line="17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December 2021, the Company entered into an amended and restated secured loan agreement with NSM in order to refinance the outstanding balance of this facility through the NSM Loan I (as defined herein). As of September 30, 2022, and following the refinancing, the NSM Loan was fully repaid.</w:t>
      </w:r>
    </w:p>
    <w:p>
      <w:pPr>
        <w:spacing w:after="0" w:line="180" w:lineRule="exact"/>
        <w:rPr>
          <w:sz w:val="20"/>
          <w:szCs w:val="20"/>
          <w:color w:val="auto"/>
        </w:rPr>
      </w:pPr>
    </w:p>
    <w:p>
      <w:pPr>
        <w:ind w:left="120" w:right="80" w:firstLine="440"/>
        <w:spacing w:after="0" w:line="258" w:lineRule="auto"/>
        <w:rPr>
          <w:sz w:val="20"/>
          <w:szCs w:val="20"/>
          <w:color w:val="auto"/>
        </w:rPr>
      </w:pPr>
      <w:r>
        <w:rPr>
          <w:rFonts w:ascii="Arial" w:cs="Arial" w:eastAsia="Arial" w:hAnsi="Arial"/>
          <w:sz w:val="18"/>
          <w:szCs w:val="18"/>
          <w:b w:val="1"/>
          <w:bCs w:val="1"/>
          <w:color w:val="auto"/>
        </w:rPr>
        <w:t xml:space="preserve">$50.0 million NSM Loan: </w:t>
      </w:r>
      <w:r>
        <w:rPr>
          <w:rFonts w:ascii="Arial" w:cs="Arial" w:eastAsia="Arial" w:hAnsi="Arial"/>
          <w:sz w:val="18"/>
          <w:szCs w:val="18"/>
          <w:color w:val="auto"/>
        </w:rPr>
        <w:t>In June 2020, the Company entered into a secured loan agreement with a wholly owned subsidiary of NSM, for a loan</w:t>
      </w:r>
      <w:r>
        <w:rPr>
          <w:rFonts w:ascii="Arial" w:cs="Arial" w:eastAsia="Arial" w:hAnsi="Arial"/>
          <w:sz w:val="18"/>
          <w:szCs w:val="18"/>
          <w:b w:val="1"/>
          <w:bCs w:val="1"/>
          <w:color w:val="auto"/>
        </w:rPr>
        <w:t xml:space="preserve"> </w:t>
      </w:r>
      <w:r>
        <w:rPr>
          <w:rFonts w:ascii="Arial" w:cs="Arial" w:eastAsia="Arial" w:hAnsi="Arial"/>
          <w:sz w:val="18"/>
          <w:szCs w:val="18"/>
          <w:color w:val="auto"/>
        </w:rPr>
        <w:t>of up to $50,000 to be used for general corporate purposes (the “$50.0 million NSM Loan”). The terms and conditions of the secured loan agreement were approved by a Special Committee of the Board of Directors comprised of independent directors. The loan agreement was repayable in up to 18 equal consecutive quarterly installments. The loan agreement provided for interest at a rate of 5.0% annually (and 7.0% annually for deferred principal amounts).</w:t>
      </w:r>
    </w:p>
    <w:p>
      <w:pPr>
        <w:spacing w:after="0" w:line="18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On July 12, 2021, the Company refinanced the total outstanding balance of $39,735 under this facility through the $115.0 million NSM Loan described below.</w:t>
      </w:r>
    </w:p>
    <w:p>
      <w:pPr>
        <w:spacing w:after="0" w:line="58" w:lineRule="exact"/>
        <w:rPr>
          <w:sz w:val="20"/>
          <w:szCs w:val="20"/>
          <w:color w:val="auto"/>
        </w:rPr>
      </w:pPr>
    </w:p>
    <w:p>
      <w:pPr>
        <w:jc w:val="both"/>
        <w:ind w:left="120" w:right="40" w:firstLine="440"/>
        <w:spacing w:after="0" w:line="287" w:lineRule="auto"/>
        <w:rPr>
          <w:sz w:val="20"/>
          <w:szCs w:val="20"/>
          <w:color w:val="auto"/>
        </w:rPr>
      </w:pPr>
      <w:r>
        <w:rPr>
          <w:rFonts w:ascii="Arial" w:cs="Arial" w:eastAsia="Arial" w:hAnsi="Arial"/>
          <w:sz w:val="16"/>
          <w:szCs w:val="16"/>
          <w:b w:val="1"/>
          <w:bCs w:val="1"/>
          <w:color w:val="auto"/>
        </w:rPr>
        <w:t xml:space="preserve">$115.0 million NSM Loan: </w:t>
      </w:r>
      <w:r>
        <w:rPr>
          <w:rFonts w:ascii="Arial" w:cs="Arial" w:eastAsia="Arial" w:hAnsi="Arial"/>
          <w:sz w:val="16"/>
          <w:szCs w:val="16"/>
          <w:color w:val="auto"/>
        </w:rPr>
        <w:t>In June 2021, the Company entered into a senior secured term loan facility with a wholly owned subsidiary of NSM</w:t>
      </w:r>
      <w:r>
        <w:rPr>
          <w:rFonts w:ascii="Arial" w:cs="Arial" w:eastAsia="Arial" w:hAnsi="Arial"/>
          <w:sz w:val="16"/>
          <w:szCs w:val="16"/>
          <w:b w:val="1"/>
          <w:bCs w:val="1"/>
          <w:color w:val="auto"/>
        </w:rPr>
        <w:t xml:space="preserve"> </w:t>
      </w:r>
      <w:r>
        <w:rPr>
          <w:rFonts w:ascii="Arial" w:cs="Arial" w:eastAsia="Arial" w:hAnsi="Arial"/>
          <w:sz w:val="16"/>
          <w:szCs w:val="16"/>
          <w:color w:val="auto"/>
        </w:rPr>
        <w:t>for a loan up to $115,000 (i) to refinance $39,736 being the outstanding balance under the $50.0 million NSM Loan described above (“Tranche A”), (ii) to redeem amount of $70,000 of 2022 Senior Secured Notes and (iii) to be used for general corporate purposes (“Tranche B”) (the “$115.0 million NSM Loan”). Tranche A was repayable in 14 quarterly installments of $2,838 and matured on November 30, 2024. Tranche B was repayable</w:t>
      </w:r>
    </w:p>
    <w:p>
      <w:pPr>
        <w:spacing w:after="0" w:line="2" w:lineRule="exact"/>
        <w:rPr>
          <w:sz w:val="20"/>
          <w:szCs w:val="20"/>
          <w:color w:val="auto"/>
        </w:rPr>
      </w:pPr>
    </w:p>
    <w:p>
      <w:pPr>
        <w:ind w:left="120" w:right="500"/>
        <w:spacing w:after="0" w:line="260" w:lineRule="auto"/>
        <w:rPr>
          <w:sz w:val="20"/>
          <w:szCs w:val="20"/>
          <w:color w:val="auto"/>
        </w:rPr>
      </w:pPr>
      <w:r>
        <w:rPr>
          <w:rFonts w:ascii="Arial" w:cs="Arial" w:eastAsia="Arial" w:hAnsi="Arial"/>
          <w:sz w:val="18"/>
          <w:szCs w:val="18"/>
          <w:color w:val="auto"/>
        </w:rPr>
        <w:t>in seven quarterly installments with the first two being of an amount of $22,632 each and the remaining of an amount of $6,000 each and matured on February 28, 2023.</w:t>
      </w:r>
    </w:p>
    <w:p>
      <w:pPr>
        <w:spacing w:after="0" w:line="77"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Both tranches bore interest at a rate of 10.5% per annum, payable quarterly. The Company could have elected to defer one scheduled amortization payment by 90 days and interest payments, in which case the applicable interest rate would be 12.0% per annum, compounded quarterly.</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July 12, 2021, the amount under this facility was fully drawn.</w:t>
      </w:r>
    </w:p>
    <w:p>
      <w:pPr>
        <w:spacing w:after="0" w:line="11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In December 2021, the Company entered into an amended and restated secured loan agreement with NSM in order to refinance the outstanding balance of that facility through the NSM Loan I (as defined herein). As of September 30, 2022, and following the refinancing, the $115.0 million NSM Loan was fully repaid. As of September 30, 2022, the Company wrote off $875 of deferred financing costs and was included in the interim condensed consolidated statement of comprehensive income under the caption “Net income from discontinued operations”.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97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CONDENSED NOTES TO THE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(Expressed in thousands of U.S. dollars — except share data)</w:t>
      </w:r>
    </w:p>
    <w:p>
      <w:pPr>
        <w:spacing w:after="0" w:line="139"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b w:val="1"/>
          <w:bCs w:val="1"/>
          <w:color w:val="auto"/>
        </w:rPr>
        <w:t xml:space="preserve">NSM Loan I: </w:t>
      </w:r>
      <w:r>
        <w:rPr>
          <w:rFonts w:ascii="Arial" w:cs="Arial" w:eastAsia="Arial" w:hAnsi="Arial"/>
          <w:sz w:val="18"/>
          <w:szCs w:val="18"/>
          <w:color w:val="auto"/>
        </w:rPr>
        <w:t>In December 2021, Navios Holdings entered into an amended and restated loan agreement to the existing NSM Loan dated</w:t>
      </w:r>
      <w:r>
        <w:rPr>
          <w:rFonts w:ascii="Arial" w:cs="Arial" w:eastAsia="Arial" w:hAnsi="Arial"/>
          <w:sz w:val="18"/>
          <w:szCs w:val="18"/>
          <w:b w:val="1"/>
          <w:bCs w:val="1"/>
          <w:color w:val="auto"/>
        </w:rPr>
        <w:t xml:space="preserve"> </w:t>
      </w:r>
      <w:r>
        <w:rPr>
          <w:rFonts w:ascii="Arial" w:cs="Arial" w:eastAsia="Arial" w:hAnsi="Arial"/>
          <w:sz w:val="18"/>
          <w:szCs w:val="18"/>
          <w:color w:val="auto"/>
        </w:rPr>
        <w:t>August 29, 2019, whereby a wholly-owned subsidiary of NSM made available to the Company a secured term loan of up to $127,632 (the “NSM Loan I”), in two tranches: (i) the first tranche of $48,573 represented borrowings already made available and (ii) the second tranche of $79,059 represented new borrowings made available in exchange of the release by NSM of certain existing collateral. The NSM Loan I was repayable in quarterly installments of $5,000 with the first installment falling due in the third quarter of 2023. The NSM Loan I had a four-year term and bore interest at a rate of (i) 18% per annum until the 2022 Senior Secured Notes were repaid and 16.5% per annum thereafter when paid in the form of Convertible Debenture for the first 18 months (“PIK Interest”) and (ii) 13.5% per annum when paid in the form of cash. The NSM Loan I would be paid in PIK Interest for the first 18 months, due also in optional prepayment during that period and thereafter in either cash or PIK Interest at the election of the Borrower. As of September 30, 2022, an amount of $14,853 accrued PIK interest at 18% is included under the caption “Convertible debenture payable to affiliate companies”.</w:t>
      </w:r>
    </w:p>
    <w:p>
      <w:pPr>
        <w:spacing w:after="0" w:line="198" w:lineRule="exact"/>
        <w:rPr>
          <w:sz w:val="20"/>
          <w:szCs w:val="20"/>
          <w:color w:val="auto"/>
        </w:rPr>
      </w:pPr>
    </w:p>
    <w:p>
      <w:pPr>
        <w:jc w:val="both"/>
        <w:ind w:left="120" w:right="660" w:firstLine="440"/>
        <w:spacing w:after="0" w:line="263" w:lineRule="auto"/>
        <w:rPr>
          <w:sz w:val="20"/>
          <w:szCs w:val="20"/>
          <w:color w:val="auto"/>
        </w:rPr>
      </w:pPr>
      <w:r>
        <w:rPr>
          <w:rFonts w:ascii="Arial" w:cs="Arial" w:eastAsia="Arial" w:hAnsi="Arial"/>
          <w:sz w:val="18"/>
          <w:szCs w:val="18"/>
          <w:color w:val="auto"/>
        </w:rPr>
        <w:t>In the third quarter of 2022, the outstanding balance under NSM Loan I was fully repaid using cash received from the Transaction. Such repayment was mandatory as per the terms of the loan agreement. For further information see Note 15 “Discontinued operations” in the interim condensed consolidated financial statements.</w:t>
      </w:r>
    </w:p>
    <w:p>
      <w:pPr>
        <w:spacing w:after="0" w:line="180"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6"/>
          <w:szCs w:val="16"/>
          <w:b w:val="1"/>
          <w:bCs w:val="1"/>
          <w:color w:val="auto"/>
        </w:rPr>
        <w:t xml:space="preserve">NSM Loan II: </w:t>
      </w:r>
      <w:r>
        <w:rPr>
          <w:rFonts w:ascii="Arial" w:cs="Arial" w:eastAsia="Arial" w:hAnsi="Arial"/>
          <w:sz w:val="16"/>
          <w:szCs w:val="16"/>
          <w:color w:val="auto"/>
        </w:rPr>
        <w:t>In December 2021, Navios Holdings entered into an amended and restated loan agreement to the existing $115.0 million NSM</w:t>
      </w:r>
      <w:r>
        <w:rPr>
          <w:rFonts w:ascii="Arial" w:cs="Arial" w:eastAsia="Arial" w:hAnsi="Arial"/>
          <w:sz w:val="16"/>
          <w:szCs w:val="16"/>
          <w:b w:val="1"/>
          <w:bCs w:val="1"/>
          <w:color w:val="auto"/>
        </w:rPr>
        <w:t xml:space="preserve"> </w:t>
      </w:r>
      <w:r>
        <w:rPr>
          <w:rFonts w:ascii="Arial" w:cs="Arial" w:eastAsia="Arial" w:hAnsi="Arial"/>
          <w:sz w:val="16"/>
          <w:szCs w:val="16"/>
          <w:color w:val="auto"/>
        </w:rPr>
        <w:t>Loan dated June 29, 2021 whereby a wholly-owned subsidiary of NSM made available to the Company a secured term loan of up to $135,000 (the “NSM Loan II”) in two tranches (i) the first tranche of $64,059 represented outstanding borrowings already made available and (ii) the second tranche of $70,941 represented new borrowings to be made available, in exchange for the release by NSM of certain existing collateral. The NSM Loan II was repayable in quarterly installments of $5,000 with the first installment falling due in the third quarter of 2023. The NSM Loan II had a four year term and bore interest at a rate of (i) 18% per annum until the 2022 Senior Secured Notes were repaid and 16.5% per annum thereafter, when paid in PIK Interest and (ii) 13.5% per annum when paid in the form of cash. The NSM Loan II would be paid in PIK Interest for the first 18 months, due also in optional prepayment during that period and thereafter in either cash or PIK Interest at the election of the Borrower. As of September 30, 2022, an amount of $15,759 accrued PIK interest at 18% is included under the caption “Convertible debenture payable to affiliate companies”.</w:t>
      </w:r>
    </w:p>
    <w:p>
      <w:pPr>
        <w:spacing w:after="0" w:line="170" w:lineRule="exact"/>
        <w:rPr>
          <w:sz w:val="20"/>
          <w:szCs w:val="20"/>
          <w:color w:val="auto"/>
        </w:rPr>
      </w:pPr>
    </w:p>
    <w:p>
      <w:pPr>
        <w:jc w:val="both"/>
        <w:ind w:left="120" w:right="660" w:firstLine="440"/>
        <w:spacing w:after="0" w:line="263" w:lineRule="auto"/>
        <w:rPr>
          <w:sz w:val="20"/>
          <w:szCs w:val="20"/>
          <w:color w:val="auto"/>
        </w:rPr>
      </w:pPr>
      <w:r>
        <w:rPr>
          <w:rFonts w:ascii="Arial" w:cs="Arial" w:eastAsia="Arial" w:hAnsi="Arial"/>
          <w:sz w:val="18"/>
          <w:szCs w:val="18"/>
          <w:color w:val="auto"/>
        </w:rPr>
        <w:t>In the third quarter of 2022, the outstanding balance under NSM Loan II was fully repaid using cash received from the Transaction. Such repayment was mandatory as per the terms of the loan agreement. For further information see Note 15 “Discontinued operations” in the interim condensed consolidated financial statements.</w:t>
      </w:r>
    </w:p>
    <w:p>
      <w:pPr>
        <w:spacing w:after="0" w:line="184"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Upon completion of the refinancing in January 2022, NSM received an upfront fee of $24,000 in respect of the NSM Loan I and the NSM Loan II in the form of a Convertible Debenture that is included in the interim condensed consolidated statement of comprehensive income under the caption “Non-operating other finance cost”. The agreements also provide for prepayment premiums ranging from 5%-10% during the first 36 months of the term which is payable in the form of an increase to the outstanding principal amount of Convertible Debenture, as described below.</w:t>
      </w:r>
    </w:p>
    <w:p>
      <w:pPr>
        <w:spacing w:after="0" w:line="167"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b w:val="1"/>
          <w:bCs w:val="1"/>
          <w:color w:val="auto"/>
        </w:rPr>
        <w:t xml:space="preserve">Convertible Debenture: </w:t>
      </w:r>
      <w:r>
        <w:rPr>
          <w:rFonts w:ascii="Arial" w:cs="Arial" w:eastAsia="Arial" w:hAnsi="Arial"/>
          <w:sz w:val="16"/>
          <w:szCs w:val="16"/>
          <w:color w:val="auto"/>
        </w:rPr>
        <w:t>In December 2021, Navios Holdings entered into the Convertible Debenture with NSM, covering an upfront fee of</w:t>
      </w:r>
      <w:r>
        <w:rPr>
          <w:rFonts w:ascii="Arial" w:cs="Arial" w:eastAsia="Arial" w:hAnsi="Arial"/>
          <w:sz w:val="16"/>
          <w:szCs w:val="16"/>
          <w:b w:val="1"/>
          <w:bCs w:val="1"/>
          <w:color w:val="auto"/>
        </w:rPr>
        <w:t xml:space="preserve"> </w:t>
      </w:r>
      <w:r>
        <w:rPr>
          <w:rFonts w:ascii="Arial" w:cs="Arial" w:eastAsia="Arial" w:hAnsi="Arial"/>
          <w:sz w:val="16"/>
          <w:szCs w:val="16"/>
          <w:color w:val="auto"/>
        </w:rPr>
        <w:t>$24,000, accrued interest on the NSM Loans, and prepayment fees. NSM has the option to convert any portion of the outstanding balance under the Convertible Debenture into shares of common stock of Navios Holdings pursuant to an agreed-upon mechanism. The Convertible Debenture has a term of five years and bears interest at the rate of 4% PIK, payable at maturity, if not earlier converted into shares of our common stock. As of September 30, 2022, the total outstanding balance of the Convertible Debenture amounted to $117,646, which consists of (i) the upfront fee of $24,000, (ii) $14,853 being the accrued PIK interest at 18% on the NSM Loan I, (iii) $15,759 being the accrued PIK interest at 18% on the NSM Loan II, (iv) $1,304 being the 4% PIK interest on the Convertible Debenture and (v) $61,730 being the applicable prepayment fee incurred in connection with the repayments of the NSM Loan I and NSM Loan II described above, which prepayment fee was paid via increasing the outstanding principal amount of the Convertible Debenture. The Convertible Debenture is presented under the caption “Convertible debenture payable to affiliate companies”.</w:t>
      </w:r>
    </w:p>
    <w:p>
      <w:pPr>
        <w:spacing w:after="0" w:line="170"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In accordance with the terms of the Convertible Debenture, Navios Holdings issued 1,000 shares of preferred stock (the “Series I Preferred Stock”) on January 3, 2022, which have no voting and no economic rights. The Series I Preferred Stock represent 29,754,721 and 29,945,271 shares of common stock issuable as of September 30, 2022 and October 3, 2022, respectively, upon conversion of a Convertible Debenture and are deemed outstanding for voting purposes. Under the terms of the Convertible Debenture, the number of shares of Common Stock issuable upon conversion thereof will increase to the extent that amounts outstanding under the Convertible Debenture increase. NSM, the holder of the Series I Preferred Stock, may convert any or all of the outstanding preferred stock into common stock at its option at any time until the maturity of the Convertible Debenture at the conversion rate of $3.93 per common stock. In addition, there are also provisions for mandatory conversion upon the occurrence of certain events. NSM is an affiliate of our Chairwoman and Chief Executive Officer, Angeliki Frangou.</w:t>
      </w:r>
    </w:p>
    <w:p>
      <w:pPr>
        <w:spacing w:after="0" w:line="161"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 xml:space="preserve">Navios Logistics’ Shareholders Agreement: </w:t>
      </w:r>
      <w:r>
        <w:rPr>
          <w:rFonts w:ascii="Arial" w:cs="Arial" w:eastAsia="Arial" w:hAnsi="Arial"/>
          <w:sz w:val="18"/>
          <w:szCs w:val="18"/>
          <w:color w:val="auto"/>
        </w:rPr>
        <w:t>On November 19, 2019, Navios Holdings entered into a shareholder agreement with Peers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Inc. granting certain protections to minority shareholders in certain events.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9" w:right="4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CONDENSED NOTES TO THE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(Expressed in thousands of U.S. dollars — except share data)</w:t>
      </w:r>
    </w:p>
    <w:p>
      <w:pPr>
        <w:spacing w:after="0" w:line="139" w:lineRule="exact"/>
        <w:rPr>
          <w:sz w:val="20"/>
          <w:szCs w:val="20"/>
          <w:color w:val="auto"/>
        </w:rPr>
      </w:pPr>
    </w:p>
    <w:p>
      <w:pPr>
        <w:ind w:left="120" w:firstLine="440"/>
        <w:spacing w:after="0" w:line="277" w:lineRule="auto"/>
        <w:rPr>
          <w:sz w:val="20"/>
          <w:szCs w:val="20"/>
          <w:color w:val="auto"/>
        </w:rPr>
      </w:pPr>
      <w:r>
        <w:rPr>
          <w:rFonts w:ascii="Arial" w:cs="Arial" w:eastAsia="Arial" w:hAnsi="Arial"/>
          <w:sz w:val="17"/>
          <w:szCs w:val="17"/>
          <w:b w:val="1"/>
          <w:bCs w:val="1"/>
          <w:color w:val="auto"/>
        </w:rPr>
        <w:t xml:space="preserve">Promissory note: </w:t>
      </w:r>
      <w:r>
        <w:rPr>
          <w:rFonts w:ascii="Arial" w:cs="Arial" w:eastAsia="Arial" w:hAnsi="Arial"/>
          <w:sz w:val="17"/>
          <w:szCs w:val="17"/>
          <w:color w:val="auto"/>
        </w:rPr>
        <w:t>On July 30, 2021, Navios Logistics issued a $20,000 promissory note to Grimaud. The promissory note is payable in four semi-annual equal installments commencing on August 15, 2021. The Company has the ability to defer payment of one of the first three installments subject to certain conditions. On July 30, 2021, Grimaud entered into an assignment agreement with Peers Business Inc., whereby the promissory note was assigned to Peers Business Inc. Please refer to Note 10 “Preferred and Common Stock” to the interim condensed consolidated financial statements. As of September 30, 2022, the Company had paid an amount of $10,000 relating to the promissory note.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PREFERRED AND 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Vested, Surrendered and Forfeited</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During the three and nine month periods ended September 30, 2022, 37,878 and 37,907 restricted shares of common stock were forfeited, and 0 and 41,879 restricted stock units issued to the Company’s officers and directors vested, respectively.</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During the three and nine month periods ended September 30, 2021, 0 and 83 restricted shares of common stock were forfeited, and 0 and 37,879 restricted stock units issued to the Company’s officers and directors vested,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Issuance of Cumulative Perpetual Preferred Stock</w:t>
      </w:r>
    </w:p>
    <w:p>
      <w:pPr>
        <w:spacing w:after="0" w:line="117"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The Company’s 2,000,000 American Depositary Shares, Series G (“Series G ADSs”) and the 4,800,000 American Depositary Shares, Series H (“Series H ADSs”) are recorded at fair market value on issuance. Each of the shares represents 1/100th of a share of the Series G ADSs and Series H ADSs, with a liquidation preference of $2,500 per share ($25.00 per American Depositary Share). Dividends are payable quarterly in arrears on the Series G ADSs at a rate of 8.75% per annum and on the Series H ADSs at a rate of 8.625% per annum of the stated liquidation preference, which increased by 0.25% as of July 15, 2017 for each of Series G ADSs and Series H ADSs. The Company has accounted for these shares as equity.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G and Series H American Depositary Shares Exchange Offer</w:t>
      </w:r>
    </w:p>
    <w:p>
      <w:pPr>
        <w:spacing w:after="0" w:line="117"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On December 21, 2018, Navios Holdings announced that it commenced an offer to exchange cash and/or newly issued 2024 Notes for approximately 66 2/3% of each of the outstanding Series G ADSs and Series H ADSs.</w:t>
      </w:r>
    </w:p>
    <w:p>
      <w:pPr>
        <w:spacing w:after="0" w:line="17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As of March 21, 2019, a total of 10,930 Series H ADSs were validly tendered representing a net aggregate nominal value of approximately $26,297. Navios Holdings paid $997 for tender offer expenses, approximately $4,188 as cash consideration and a total of approximately $4,747 in aggregate principal amount of 2024 Notes. The difference between the carrying amount of the preferred shares redeemed and the fair value of the consideration transferred amounting to $16,365 was recorded in accumulated deficit. Following the completion of the offer, the Company cancelled the undeclared preferred dividend of Series H ADSs of $7,678.</w:t>
      </w:r>
    </w:p>
    <w:p>
      <w:pPr>
        <w:spacing w:after="0" w:line="18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As of April 18, 2019, a total of 8,841 Series G ADSs were validly tendered representing a net aggregate nominal value of approximately $21,271. Navios Holdings paid $620 for tender offer expenses, approximately $4,423 cash consideration and issued a total of approximately $3,879 principal amount of 2024 Notes. The difference between the carrying amount of the preferred shares redeemed and the fair value of the consideration transferred amounting to $12,568 was recorded in accumulated deficit. Following the completion of the offer, the company cancelled the undeclared preferred dividend of Series G ADSs of $6,798.</w:t>
      </w:r>
    </w:p>
    <w:p>
      <w:pPr>
        <w:spacing w:after="0" w:line="18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February 2016, Navios Holdings announced the suspension of payment of quarterly dividends on its preferred stock, including the Series G ADSs and Series H ADSs. On July 15, 2017, the Company reached six quarterly dividend payments in arrears relating to its Series G ADSs and Series H ADSs and as a result the respective dividend rate increased by 0.25%. Total undeclared preferred dividends as of September 30, 2022 were $34,193 (net of cancelled dividends).</w:t>
      </w:r>
    </w:p>
    <w:p>
      <w:pPr>
        <w:spacing w:after="0" w:line="18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On September 14, 2022, Navios Holdings announced that it commenced a tender offer to purchase up to $20,000 of the outstanding Series G ADSs and Series H ADSs. Please refer to Note 16 “Subsequent Events”.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I Preferred Stock</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In accordance with the terms of the Convertible Debenture, Navios Holdings issued 1,000 shares of Series I Preferred Stock on January 3, 2022, which have no voting and no economic rights. The Series I Preferred Stock represent 29,754,721 and 29,945,271 shares of common stock issuable as of September 30, 2022 and October 3, 2022, respectively, upon conversion of a Convertible Debenture and are deemed outstanding for voting purposes. Under the terms of the Convertible Debenture, the number of shares of Common Stock issuable upon conversion thereof will increase to the extent that amounts outstanding under the Convertible Debenture increase. NSM, the holder of the Series I Preferred Stock, may convert any or all of the outstanding preferred stock into common stock at its option at any time until the maturity of the Convertible Debenture at the conversion rate of $3.93 per common stock. In addition, there are also provisions for mandatory conversion upon the occurrence of certain events.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00"/>
          </w:cols>
          <w:pgMar w:left="320" w:top="459" w:right="4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CONDENSED NOTES TO THE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(Expressed in thousands of U.S. dollars — except share data)</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Issuances to Officers and Directors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December 15, 2021, pursuant to the stock plan approved by the Board of the Directors, 40,000 restricted shares of common stock were granted to Navios Holdings officers and directors and issued on January 15, 2022.</w:t>
      </w:r>
    </w:p>
    <w:p>
      <w:pPr>
        <w:spacing w:after="0" w:line="170"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Navios Holdings had outstanding as of September 30, 2022 and December 31, 2021, 25,200,713 shares and 25,198,620 shares, respectively, from which 2,414,263 shares are held by Navios Corporation. Preferred stock was 24,032 (5,350 Series G ADSs, 17,682 Series H ADSs and 1,000 Series I Preferred Stock) and 23,032 (5,350 Series G ADSs and 17,682 Series H ADSs) as of September 30, 2022 and December 31, 2021 respectively.</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October 2022, 2,414,263 shares held by Navios Corporation were cancelled.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 from Navios Logistics—Acquisition of noncontrolling interest</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On July 30, 2021, Navios Logistics declared and paid a pro rata dividend to the holders of its common equity in shares of Grimaud. All transactions were eliminated on consolidated level as of that date. Immediately thereafter, Grimaud agreed to redeem the equity interests held by its non-controlling shareholder in full at fair market value, which was payable through $16,000 in cash and the assignment of a $20,000 promissory note from Navios Logistics. As a result of the transaction, Grimaud is a wholly owned subsidiary of Navios Holdings. As of September 30, 2022 and December 31, 2021, a total amount of $5,000 and $21,000, respectively, was redeemed to the non-controlling shareholder and $10,000 remains due under the promissory note. Upon this transaction the Company derecognized its non-controlling interest in Grimaud with carrying value of $27,243 and recognized $8,757 of additional paid in capital.</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 of Navios Holdings shares of common stock</w:t>
      </w:r>
    </w:p>
    <w:p>
      <w:pPr>
        <w:spacing w:after="0" w:line="117" w:lineRule="exact"/>
        <w:rPr>
          <w:sz w:val="20"/>
          <w:szCs w:val="20"/>
          <w:color w:val="auto"/>
        </w:rPr>
      </w:pPr>
    </w:p>
    <w:p>
      <w:pPr>
        <w:jc w:val="both"/>
        <w:ind w:left="120" w:right="140" w:firstLine="440"/>
        <w:spacing w:after="0" w:line="277" w:lineRule="auto"/>
        <w:rPr>
          <w:sz w:val="20"/>
          <w:szCs w:val="20"/>
          <w:color w:val="auto"/>
        </w:rPr>
      </w:pPr>
      <w:r>
        <w:rPr>
          <w:rFonts w:ascii="Arial" w:cs="Arial" w:eastAsia="Arial" w:hAnsi="Arial"/>
          <w:sz w:val="18"/>
          <w:szCs w:val="18"/>
          <w:color w:val="auto"/>
        </w:rPr>
        <w:t>On July 13, 2021, the Company issued 9,301,542 shares of common stock in order to repay in full the Grimaud Loan. Please refer also to Note 9 “Transactions with Related Parties”.</w:t>
      </w:r>
    </w:p>
    <w:p>
      <w:pPr>
        <w:spacing w:after="0" w:line="170" w:lineRule="exact"/>
        <w:rPr>
          <w:sz w:val="20"/>
          <w:szCs w:val="20"/>
          <w:color w:val="auto"/>
        </w:rPr>
      </w:pPr>
    </w:p>
    <w:p>
      <w:pPr>
        <w:jc w:val="both"/>
        <w:ind w:left="120" w:right="120" w:firstLine="440"/>
        <w:spacing w:after="0" w:line="308" w:lineRule="auto"/>
        <w:rPr>
          <w:sz w:val="20"/>
          <w:szCs w:val="20"/>
          <w:color w:val="auto"/>
        </w:rPr>
      </w:pPr>
      <w:r>
        <w:rPr>
          <w:rFonts w:ascii="Arial" w:cs="Arial" w:eastAsia="Arial" w:hAnsi="Arial"/>
          <w:sz w:val="17"/>
          <w:szCs w:val="17"/>
          <w:color w:val="auto"/>
        </w:rPr>
        <w:t>As of September 30 2021, Grimaud sold 8,756,516 out of the 9,301,542 shares of common stock of Navios Holdings and generated net proceeds of $41,827, including costs of $129, part of which was used to fund the 2022 Senior Secured Notes Redemptions.</w:t>
      </w:r>
    </w:p>
    <w:p>
      <w:pPr>
        <w:spacing w:after="0" w:line="14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As of October 7, 2021, Grimaud sold the remaining 545,026 shares of common stock of Navios Holdings. Total net proceeds from the sale of the 9,301,542 shares of common stock were $44,613, including costs of $129.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OTHER INCOME, NET</w:t>
      </w:r>
    </w:p>
    <w:p>
      <w:pPr>
        <w:spacing w:after="0" w:line="12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During the three month periods ended September 30, 2022 and 2021, taxes other-than income taxes of Navios Logistics amounted to $1,646 and $1,437, respectively, and were included in the interim condensed consolidated statement of comprehensive income under the caption “Other expense, net”.</w:t>
      </w:r>
    </w:p>
    <w:p>
      <w:pPr>
        <w:spacing w:after="0" w:line="184"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During the nine month periods ended September 30, 2022 and 2021, taxes other-than income taxes of Navios Logistics amounted to $4,647 and $3,658, respectively, and were included in the interim condensed consolidated statement of comprehensive income under the caption “Other expense, net”.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EARNINGS PER COMMON SHARE</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Earnings per share is calculated by dividing net income attributable to Navios Holdings common stockholders by the weighted average number of shares of Navios Holdings outstanding during the periods presented. Net income attributable to Navios Holdings common stockholders is calculated by adding to (if a discount) or deducting from (if a premium) net income attributable to Navios Holdings common stockholders the difference between the fair value of the consideration paid upon redemption and the carrying value of the preferred stock, including the unamortized issuance costs of the preferred stock, and the amount of any undeclared dividend cancelled.</w:t>
      </w:r>
    </w:p>
    <w:p>
      <w:pPr>
        <w:spacing w:after="0" w:line="176"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For the three month periods ended September 30, 2022 and 2021, 193,091 and 384,418, respectively, are included in the calculation of diluted earnings per share. The Series I Preferred Stock are considered participating shares in earnings and are included in the calculation of basic and diluted earnings per common share.</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For the nine month periods ended September 30, 2022 and 2021, 198,864 and 386,811, respectively, are included in the calculation of diluted earnings per share. The Series I Preferred Stock are considered participating shares in earnings and are included in the calculation of basic and diluted earnings per common share.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00"/>
          </w:cols>
          <w:pgMar w:left="320" w:top="459" w:right="4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NOTES TO THE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(Expressed in thousands of U.S. dollars — except share data)</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Three Month</w:t>
            </w:r>
          </w:p>
        </w:tc>
        <w:tc>
          <w:tcPr>
            <w:tcW w:w="200" w:type="dxa"/>
            <w:vAlign w:val="bottom"/>
          </w:tcPr>
          <w:p>
            <w:pPr>
              <w:spacing w:after="0"/>
              <w:rPr>
                <w:sz w:val="14"/>
                <w:szCs w:val="1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Three Month</w:t>
            </w:r>
          </w:p>
        </w:tc>
        <w:tc>
          <w:tcPr>
            <w:tcW w:w="200" w:type="dxa"/>
            <w:vAlign w:val="bottom"/>
          </w:tcPr>
          <w:p>
            <w:pPr>
              <w:spacing w:after="0"/>
              <w:rPr>
                <w:sz w:val="14"/>
                <w:szCs w:val="1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Nine Month</w:t>
            </w:r>
          </w:p>
        </w:tc>
        <w:tc>
          <w:tcPr>
            <w:tcW w:w="20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Nine Month</w:t>
            </w:r>
          </w:p>
        </w:tc>
      </w:tr>
      <w:tr>
        <w:trPr>
          <w:trHeight w:val="148"/>
        </w:trPr>
        <w:tc>
          <w:tcPr>
            <w:tcW w:w="5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00" w:type="dxa"/>
            <w:vAlign w:val="bottom"/>
          </w:tcPr>
          <w:p>
            <w:pPr>
              <w:spacing w:after="0"/>
              <w:rPr>
                <w:sz w:val="12"/>
                <w:szCs w:val="12"/>
                <w:color w:val="auto"/>
              </w:rPr>
            </w:pPr>
          </w:p>
        </w:tc>
        <w:tc>
          <w:tcPr>
            <w:tcW w:w="11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00" w:type="dxa"/>
            <w:vAlign w:val="bottom"/>
          </w:tcPr>
          <w:p>
            <w:pPr>
              <w:spacing w:after="0"/>
              <w:rPr>
                <w:sz w:val="12"/>
                <w:szCs w:val="12"/>
                <w:color w:val="auto"/>
              </w:rPr>
            </w:pPr>
          </w:p>
        </w:tc>
        <w:tc>
          <w:tcPr>
            <w:tcW w:w="11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Period Ended</w:t>
            </w:r>
          </w:p>
        </w:tc>
      </w:tr>
      <w:tr>
        <w:trPr>
          <w:trHeight w:val="148"/>
        </w:trPr>
        <w:tc>
          <w:tcPr>
            <w:tcW w:w="5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56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2022</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CEEFF"/>
            </w:tcBorders>
          </w:tcPr>
          <w:p>
            <w:pPr>
              <w:spacing w:after="0"/>
              <w:rPr>
                <w:sz w:val="14"/>
                <w:szCs w:val="14"/>
                <w:color w:val="auto"/>
              </w:rPr>
            </w:pP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Net income attributable to Navios Holdings common stockholders</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38,958</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59,808</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78,918</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84,906</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5640" w:type="dxa"/>
            <w:vAlign w:val="bottom"/>
          </w:tcPr>
          <w:p>
            <w:pPr>
              <w:spacing w:after="0" w:line="201" w:lineRule="exact"/>
              <w:rPr>
                <w:sz w:val="20"/>
                <w:szCs w:val="20"/>
                <w:color w:val="auto"/>
              </w:rPr>
            </w:pPr>
            <w:r>
              <w:rPr>
                <w:rFonts w:ascii="Arial" w:cs="Arial" w:eastAsia="Arial" w:hAnsi="Arial"/>
                <w:sz w:val="18"/>
                <w:szCs w:val="18"/>
                <w:color w:val="auto"/>
              </w:rPr>
              <w:t>Declared and undeclared dividend on preferred stock and on unvested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640" w:type="dxa"/>
            <w:vAlign w:val="bottom"/>
          </w:tcPr>
          <w:p>
            <w:pPr>
              <w:ind w:left="180"/>
              <w:spacing w:after="0"/>
              <w:rPr>
                <w:sz w:val="20"/>
                <w:szCs w:val="20"/>
                <w:color w:val="auto"/>
              </w:rPr>
            </w:pPr>
            <w:r>
              <w:rPr>
                <w:rFonts w:ascii="Arial" w:cs="Arial" w:eastAsia="Arial" w:hAnsi="Arial"/>
                <w:sz w:val="18"/>
                <w:szCs w:val="18"/>
                <w:color w:val="auto"/>
              </w:rPr>
              <w:t>restricted shares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(1,284)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(1,284)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(3,845)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(3,845)</w:t>
            </w:r>
          </w:p>
        </w:tc>
      </w:tr>
      <w:tr>
        <w:trPr>
          <w:trHeight w:val="202"/>
        </w:trPr>
        <w:tc>
          <w:tcPr>
            <w:tcW w:w="5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Undistributed income attributable to Series I Preferred Stock participating</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shares</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(16,797)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(24,692)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9"/>
        </w:trPr>
        <w:tc>
          <w:tcPr>
            <w:tcW w:w="5640" w:type="dxa"/>
            <w:vAlign w:val="bottom"/>
          </w:tcPr>
          <w:p>
            <w:pPr>
              <w:spacing w:after="0"/>
              <w:rPr>
                <w:sz w:val="20"/>
                <w:szCs w:val="20"/>
                <w:color w:val="auto"/>
              </w:rPr>
            </w:pPr>
            <w:r>
              <w:rPr>
                <w:rFonts w:ascii="Arial" w:cs="Arial" w:eastAsia="Arial" w:hAnsi="Arial"/>
                <w:sz w:val="18"/>
                <w:szCs w:val="18"/>
                <w:color w:val="auto"/>
              </w:rPr>
              <w:t>Income available to Navios Holdings common stockholders, basic and</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640" w:type="dxa"/>
            <w:vAlign w:val="bottom"/>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20,877</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58,524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50,381</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81,061</w:t>
            </w:r>
          </w:p>
        </w:tc>
      </w:tr>
      <w:tr>
        <w:trPr>
          <w:trHeight w:val="20"/>
        </w:trPr>
        <w:tc>
          <w:tcPr>
            <w:tcW w:w="5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5640" w:type="dxa"/>
            <w:vAlign w:val="bottom"/>
          </w:tcPr>
          <w:p>
            <w:pPr>
              <w:spacing w:after="0" w:line="201" w:lineRule="exact"/>
              <w:rPr>
                <w:sz w:val="20"/>
                <w:szCs w:val="20"/>
                <w:color w:val="auto"/>
              </w:rPr>
            </w:pPr>
            <w:r>
              <w:rPr>
                <w:rFonts w:ascii="Arial" w:cs="Arial" w:eastAsia="Arial" w:hAnsi="Arial"/>
                <w:sz w:val="18"/>
                <w:szCs w:val="18"/>
                <w:color w:val="auto"/>
                <w:w w:val="96"/>
              </w:rPr>
              <w:t>Denominator for basic earnings per share attributable to Navios Holdings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7"/>
        </w:trPr>
        <w:tc>
          <w:tcPr>
            <w:tcW w:w="5640" w:type="dxa"/>
            <w:vAlign w:val="bottom"/>
          </w:tcPr>
          <w:p>
            <w:pPr>
              <w:ind w:left="180"/>
              <w:spacing w:after="0"/>
              <w:rPr>
                <w:sz w:val="20"/>
                <w:szCs w:val="20"/>
                <w:color w:val="auto"/>
              </w:rPr>
            </w:pPr>
            <w:r>
              <w:rPr>
                <w:rFonts w:ascii="Arial" w:cs="Arial" w:eastAsia="Arial" w:hAnsi="Arial"/>
                <w:sz w:val="18"/>
                <w:szCs w:val="18"/>
                <w:color w:val="auto"/>
              </w:rPr>
              <w:t>common stockholders — weighted average shares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22,654,825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15,924,134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22,647,128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14,065,205</w:t>
            </w:r>
          </w:p>
        </w:tc>
      </w:tr>
      <w:tr>
        <w:trPr>
          <w:trHeight w:val="202"/>
        </w:trPr>
        <w:tc>
          <w:tcPr>
            <w:tcW w:w="5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earnings per share attributable to Navios Holdings common</w:t>
            </w: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5.76</w:t>
            </w:r>
          </w:p>
        </w:tc>
      </w:tr>
      <w:tr>
        <w:trPr>
          <w:trHeight w:val="209"/>
        </w:trPr>
        <w:tc>
          <w:tcPr>
            <w:tcW w:w="5640" w:type="dxa"/>
            <w:vAlign w:val="bottom"/>
          </w:tcPr>
          <w:p>
            <w:pPr>
              <w:spacing w:after="0"/>
              <w:rPr>
                <w:sz w:val="20"/>
                <w:szCs w:val="20"/>
                <w:color w:val="auto"/>
              </w:rPr>
            </w:pPr>
            <w:r>
              <w:rPr>
                <w:rFonts w:ascii="Arial" w:cs="Arial" w:eastAsia="Arial" w:hAnsi="Arial"/>
                <w:sz w:val="18"/>
                <w:szCs w:val="18"/>
                <w:color w:val="auto"/>
                <w:w w:val="95"/>
              </w:rPr>
              <w:t>Denominator for diluted earnings per share attributable to Navios Holdings</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640" w:type="dxa"/>
            <w:vAlign w:val="bottom"/>
          </w:tcPr>
          <w:p>
            <w:pPr>
              <w:ind w:left="180"/>
              <w:spacing w:after="0"/>
              <w:rPr>
                <w:sz w:val="20"/>
                <w:szCs w:val="20"/>
                <w:color w:val="auto"/>
              </w:rPr>
            </w:pPr>
            <w:r>
              <w:rPr>
                <w:rFonts w:ascii="Arial" w:cs="Arial" w:eastAsia="Arial" w:hAnsi="Arial"/>
                <w:sz w:val="18"/>
                <w:szCs w:val="18"/>
                <w:color w:val="auto"/>
              </w:rPr>
              <w:t>common stockholders — weighted average shares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22,847,917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16,308,552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22,845,992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14,452,016</w:t>
            </w:r>
          </w:p>
        </w:tc>
      </w:tr>
      <w:tr>
        <w:trPr>
          <w:trHeight w:val="20"/>
        </w:trPr>
        <w:tc>
          <w:tcPr>
            <w:tcW w:w="5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6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Diluted earnings per share attributable to Navios Holdings common</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3.59</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w:t>
            </w:r>
          </w:p>
        </w:tc>
      </w:tr>
      <w:tr>
        <w:trPr>
          <w:trHeight w:val="20"/>
        </w:trPr>
        <w:tc>
          <w:tcPr>
            <w:tcW w:w="5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right="2880"/>
        <w:spacing w:after="0" w:line="378" w:lineRule="auto"/>
        <w:rPr>
          <w:sz w:val="20"/>
          <w:szCs w:val="20"/>
          <w:color w:val="auto"/>
        </w:rPr>
      </w:pPr>
      <w:r>
        <w:rPr>
          <w:rFonts w:ascii="Arial" w:cs="Arial" w:eastAsia="Arial" w:hAnsi="Arial"/>
          <w:sz w:val="18"/>
          <w:szCs w:val="18"/>
          <w:b w:val="1"/>
          <w:bCs w:val="1"/>
          <w:color w:val="auto"/>
        </w:rPr>
        <w:t>NOTE 13: INVESTMENTS IN AFFILIATE COMPANIES AND AVAILABLE-FOR-SALE SECURITIES Navios Partners</w:t>
      </w:r>
    </w:p>
    <w:p>
      <w:pPr>
        <w:ind w:left="120" w:right="20" w:firstLine="440"/>
        <w:spacing w:after="0" w:line="311" w:lineRule="auto"/>
        <w:rPr>
          <w:sz w:val="20"/>
          <w:szCs w:val="20"/>
          <w:color w:val="auto"/>
        </w:rPr>
      </w:pPr>
      <w:r>
        <w:rPr>
          <w:rFonts w:ascii="Arial" w:cs="Arial" w:eastAsia="Arial" w:hAnsi="Arial"/>
          <w:sz w:val="16"/>
          <w:szCs w:val="16"/>
          <w:color w:val="auto"/>
        </w:rPr>
        <w:t>On August 7, 2007, Navios Holdings formed Navios Partners under the laws of Marshall Islands. Navios GP L.L.C., a wholly owned subsidiary of Navios Holdings, was also formed on that date to act as the general partner of Navios Partners and received a 2.0% general partner interest. In August 2019, Navios Holdings sold the general partnership interests in Navios Partners (except for the incentive distribution rights) to NSM.</w:t>
      </w:r>
    </w:p>
    <w:p>
      <w:pPr>
        <w:spacing w:after="0" w:line="149"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As of September 30, 2022 and December 31, 2021 Navios Partners has issued 7,687,730 units, for both periods through its Continuous Offering Programs entered into from time to time. Pursuant to the issuance of common units, Navios Partners issued 156,895 general partnership units to its general partner both as of September 30, 2022 and December 31, 2021, in order to maintain its 2.0% general partnership interest.</w:t>
      </w:r>
    </w:p>
    <w:p>
      <w:pPr>
        <w:spacing w:after="0" w:line="14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As of September 30, 2022 and as a result of the NMCI Merger and NNA Merger, Navios Holdings holds a total of 3,183,199 common units representing a 10.3% interest in Navios Partners, and the investment in Navios Partners is accounted for under the equity method. Incentive distribution rights are held by Navios GP L.L.C.</w:t>
      </w:r>
    </w:p>
    <w:p>
      <w:pPr>
        <w:spacing w:after="0" w:line="184" w:lineRule="exact"/>
        <w:rPr>
          <w:sz w:val="20"/>
          <w:szCs w:val="20"/>
          <w:color w:val="auto"/>
        </w:rPr>
      </w:pPr>
    </w:p>
    <w:p>
      <w:pPr>
        <w:ind w:left="120" w:right="700" w:firstLine="440"/>
        <w:spacing w:after="0" w:line="308" w:lineRule="auto"/>
        <w:rPr>
          <w:sz w:val="20"/>
          <w:szCs w:val="20"/>
          <w:color w:val="auto"/>
        </w:rPr>
      </w:pPr>
      <w:r>
        <w:rPr>
          <w:rFonts w:ascii="Arial" w:cs="Arial" w:eastAsia="Arial" w:hAnsi="Arial"/>
          <w:sz w:val="17"/>
          <w:szCs w:val="17"/>
          <w:color w:val="auto"/>
        </w:rPr>
        <w:t>As of September 30, 2022 and December 31, 2021, the carrying amount of the investment in Navios Partners was $78,052 and $125,744, respectively. During the period ended September 30, 2022, the Company recognized an other-than-temporary impairment</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CONDENSED NOTES TO THE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(Expressed in thousands of U.S. dollars — except share data)</w:t>
      </w:r>
    </w:p>
    <w:p>
      <w:pPr>
        <w:spacing w:after="0" w:line="143"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loss (“OTTI”) of $97,688 relating to its investment in Navios Partners, as the decline in fair value of the investment to below its carrying value is not considered temporary. The amount was included under the caption “Equity in net (losses)/earnings of affiliate companies”.</w:t>
      </w:r>
    </w:p>
    <w:p>
      <w:pPr>
        <w:spacing w:after="0" w:line="170"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As of September 30, 2022 and December 31, 2021, the pre-OTTI loss unamortized difference between the carrying amount of the investment in Navios Partners and the amount of the Company’s underlying equity in net assets of Navios Partners was $53,568 and $56,351, respectively. As a result of the OTTI loss recorded as at September 30, 2022, the Company will recompute this difference to be amortized in future period through “Equity in net (losses)/earnings of affiliate companies” over the remaining life of the tangible and intangible assets of Navios Partners.</w:t>
      </w:r>
    </w:p>
    <w:p>
      <w:pPr>
        <w:spacing w:after="0" w:line="15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Total equity method income of $27,516 and $14,829 were recognized under the caption “Equity in net (losses)/earnings of affiliate companies” for the three month periods ended September 30, 2022 and 2021, respectively, and total equity-method income of $50,475 and $53,152 was recognized under the caption “Equity in net (losses)/earnings of affiliate companies” for the nine month periods ended September 30, 2022 and 2021, respectively.</w:t>
      </w:r>
    </w:p>
    <w:p>
      <w:pPr>
        <w:spacing w:after="0" w:line="14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Dividends received during each of the three month periods ended September 30, 2022 and 2021 were $159 and $128, respectively, and for each of the nine month periods ended September 30, 2022 and 2021, were $477 and $360,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Navios Acquisition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August 25, 2021, Navios Partners entered into an Agreement and Plan of Merger with Navios Acquisition.</w:t>
      </w:r>
    </w:p>
    <w:p>
      <w:pPr>
        <w:spacing w:after="0" w:line="225"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On August 25, 2021, Navios Partners purchased 44,117,647 shares of Navios Acquisition, thereby acquiring a controlling interest in Navios Acquisition, and the results of operations of Navios Acquisition are included in Navios Partners’ consolidated statements of operations commencing on August 26, 2021. Pursuant to the NNA Merger, on August 26, 2021, Navios Acquisition called for redemption of all of its outstanding 8.125% first Priority Ship Mortgage Notes due November 15, 2021 (the “Navios Acquisition’s Ship Mortgage Notes”) and remitted to the indenture trustee the aggregate redemption price payable to the holders of the Navios Acquisition’s Ship Mortgage Notes to satisfy and discharge Navios Acquisition’s obligations under the indenture relating to the Navios Acquisition Ship Mortgage Notes. The redemption date for the Navios Acquisition Ship Mortgage Notes was September 25, 2021.</w:t>
      </w:r>
    </w:p>
    <w:p>
      <w:pPr>
        <w:spacing w:after="0" w:line="195"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On October 15, 2021, Navios Partners completed the NNA Merger. As a result thereof, Navios Acquisition became a wholly owned subsidiary of Navios Partners. Each outstanding common unit of Navios Acquisition that was held by a unitholder, other than Navios Partners, Navios Acquisition and their respective subsidiaries, was converted into the right to receive 0.1275 common units of Navios Partners. As a result of the NNA Merger, 3,388,226 common units of Navios Partners were issued to former public unitholders of Navios Acquisition.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Upon completion of the NNA Merger, Navios Holdings derecognized its investment in Navios Acquisition.</w:t>
      </w:r>
    </w:p>
    <w:p>
      <w:pPr>
        <w:spacing w:after="0" w:line="225"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Total equity-method loss of nil and $(500), was recognized under the caption “Equity in net (losses)/earnings of affiliate companies” for the three month periods ended September 30, 2022 and 2021, respectively. Total equity-method income of nil and $1,185, was recognized under the caption “Equity in net (losses)/earnings of affiliate companies” for the nine month periods ended September 30, 2022 and 2021, respectively.</w:t>
      </w:r>
    </w:p>
    <w:p>
      <w:pPr>
        <w:spacing w:after="0" w:line="16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Dividends received for each of the three month periods ended September 30, 2022 and 2021, and for each of the nine month periods ended September 30, 2022 and 2021 were nil.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Navios Containers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Following the sale of the Navios Containers general partnership interest that was consummated on August 30, 2019, Navios Holdings evaluated its investment in the common stock of Navios Containers under ASC 323 and concluded that it had the ability to exercise significant influence over the operating and financial policies of Navios Containers and, therefore, its investment in Navios Containers was accounted for under the equity method, through the NMCI Merger on March 31, 2021.</w:t>
      </w:r>
    </w:p>
    <w:p>
      <w:pPr>
        <w:spacing w:after="0" w:line="18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On January 4, 2021, Navios Containers and Navios Partners announced that they had entered into a definitive merger agreement. Under the terms of the NMCI Merger, Navios Partners acquired all of the publicly held common units of Navios Containers through the issuance of 8,133,452 newly issued common units of Navios Partners in exchange for the publicly held common units of Navios Containers at an exchange ratio of 0.39 units of Navios Partners for each Navios Containers common unit. The NMCI Merger was completed on March 31, 2021.</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Upon completion of the NMCI Merger, as of March 31, 2021, Navios Holdings derecognized its investment in Navios Containers.</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Total equity-method income was nil for both the three month periods ended September 30, 2022 and 2021. Total equity-method income of nil and $596, was recognized under the caption “Equity in net (losses)/earnings of affiliate companies” for the nine month periods ended September 30, 2022 and 2021, respectively.</w:t>
      </w:r>
    </w:p>
    <w:p>
      <w:pPr>
        <w:spacing w:after="0" w:line="184"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Following the results of the significance tests performed by the Company, it was concluded that one affiliate company met the significance threshold requiring summarized financial information of all affiliate companies presented.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754"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CONDENSED NOTES TO THE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(Expressed in thousands of U.S. dollars — except share data)</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Summarized financial information of the affiliate company is presented below:</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Income Statement</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ind w:left="680"/>
              <w:spacing w:after="0"/>
              <w:rPr>
                <w:sz w:val="20"/>
                <w:szCs w:val="20"/>
                <w:color w:val="auto"/>
              </w:rPr>
            </w:pPr>
            <w:r>
              <w:rPr>
                <w:rFonts w:ascii="Arial" w:cs="Arial" w:eastAsia="Arial" w:hAnsi="Arial"/>
                <w:sz w:val="14"/>
                <w:szCs w:val="14"/>
                <w:b w:val="1"/>
                <w:bCs w:val="1"/>
                <w:color w:val="auto"/>
                <w:w w:val="95"/>
              </w:rPr>
              <w:t>Navios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40" w:type="dxa"/>
            <w:vAlign w:val="bottom"/>
            <w:gridSpan w:val="2"/>
            <w:vMerge w:val="continue"/>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620"/>
              <w:spacing w:after="0" w:line="158" w:lineRule="exact"/>
              <w:rPr>
                <w:sz w:val="20"/>
                <w:szCs w:val="20"/>
                <w:color w:val="auto"/>
              </w:rPr>
            </w:pPr>
            <w:r>
              <w:rPr>
                <w:rFonts w:ascii="Arial" w:cs="Arial" w:eastAsia="Arial" w:hAnsi="Arial"/>
                <w:sz w:val="14"/>
                <w:szCs w:val="14"/>
                <w:b w:val="1"/>
                <w:bCs w:val="1"/>
                <w:color w:val="auto"/>
              </w:rPr>
              <w:t>Partners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20" w:type="dxa"/>
            <w:vAlign w:val="bottom"/>
            <w:tcBorders>
              <w:top w:val="single" w:sz="8" w:color="auto"/>
            </w:tcBorders>
          </w:tcPr>
          <w:p>
            <w:pPr>
              <w:spacing w:after="0"/>
              <w:rPr>
                <w:sz w:val="10"/>
                <w:szCs w:val="10"/>
                <w:color w:val="auto"/>
              </w:rPr>
            </w:pPr>
          </w:p>
        </w:tc>
        <w:tc>
          <w:tcPr>
            <w:tcW w:w="3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380" w:type="dxa"/>
            <w:vAlign w:val="bottom"/>
            <w:tcBorders>
              <w:top w:val="single" w:sz="8" w:color="auto"/>
            </w:tcBorders>
            <w:gridSpan w:val="3"/>
          </w:tcPr>
          <w:p>
            <w:pPr>
              <w:jc w:val="right"/>
              <w:ind w:right="437"/>
              <w:spacing w:after="0" w:line="126" w:lineRule="exact"/>
              <w:rPr>
                <w:sz w:val="20"/>
                <w:szCs w:val="20"/>
                <w:color w:val="auto"/>
              </w:rPr>
            </w:pPr>
            <w:r>
              <w:rPr>
                <w:rFonts w:ascii="Arial" w:cs="Arial" w:eastAsia="Arial" w:hAnsi="Arial"/>
                <w:sz w:val="14"/>
                <w:szCs w:val="14"/>
                <w:b w:val="1"/>
                <w:bCs w:val="1"/>
                <w:color w:val="auto"/>
                <w:w w:val="99"/>
              </w:rPr>
              <w:t>Three Month</w:t>
            </w:r>
          </w:p>
        </w:tc>
        <w:tc>
          <w:tcPr>
            <w:tcW w:w="880" w:type="dxa"/>
            <w:vAlign w:val="bottom"/>
            <w:tcBorders>
              <w:top w:val="single" w:sz="8" w:color="auto"/>
            </w:tcBorders>
            <w:gridSpan w:val="2"/>
          </w:tcPr>
          <w:p>
            <w:pPr>
              <w:jc w:val="center"/>
              <w:spacing w:after="0" w:line="126" w:lineRule="exact"/>
              <w:rPr>
                <w:sz w:val="20"/>
                <w:szCs w:val="20"/>
                <w:color w:val="auto"/>
              </w:rPr>
            </w:pPr>
            <w:r>
              <w:rPr>
                <w:rFonts w:ascii="Arial" w:cs="Arial" w:eastAsia="Arial" w:hAnsi="Arial"/>
                <w:sz w:val="14"/>
                <w:szCs w:val="14"/>
                <w:b w:val="1"/>
                <w:bCs w:val="1"/>
                <w:color w:val="auto"/>
                <w:w w:val="97"/>
              </w:rPr>
              <w:t>Three Month</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717"/>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720" w:type="dxa"/>
            <w:vAlign w:val="bottom"/>
          </w:tcPr>
          <w:p>
            <w:pPr>
              <w:jc w:val="center"/>
              <w:ind w:right="7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000" w:type="dxa"/>
            <w:vAlign w:val="bottom"/>
            <w:gridSpan w:val="3"/>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w w:val="95"/>
              </w:rPr>
              <w:t>322,387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227,957</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Time charter and voyage expenses</w:t>
            </w:r>
          </w:p>
        </w:tc>
        <w:tc>
          <w:tcPr>
            <w:tcW w:w="2000" w:type="dxa"/>
            <w:vAlign w:val="bottom"/>
            <w:gridSpan w:val="3"/>
          </w:tcPr>
          <w:p>
            <w:pPr>
              <w:ind w:left="17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7"/>
              <w:spacing w:after="0"/>
              <w:rPr>
                <w:sz w:val="20"/>
                <w:szCs w:val="20"/>
                <w:color w:val="auto"/>
              </w:rPr>
            </w:pPr>
            <w:r>
              <w:rPr>
                <w:rFonts w:ascii="Arial" w:cs="Arial" w:eastAsia="Arial" w:hAnsi="Arial"/>
                <w:sz w:val="18"/>
                <w:szCs w:val="18"/>
                <w:color w:val="auto"/>
              </w:rPr>
              <w:t>(35,439)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(11,465)</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vessel expenses</w:t>
            </w:r>
          </w:p>
        </w:tc>
        <w:tc>
          <w:tcPr>
            <w:tcW w:w="2000" w:type="dxa"/>
            <w:vAlign w:val="bottom"/>
            <w:gridSpan w:val="3"/>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(15,398)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(10,864)</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Vessel operating expenses</w:t>
            </w:r>
          </w:p>
        </w:tc>
        <w:tc>
          <w:tcPr>
            <w:tcW w:w="2000" w:type="dxa"/>
            <w:vAlign w:val="bottom"/>
            <w:gridSpan w:val="3"/>
          </w:tcPr>
          <w:p>
            <w:pPr>
              <w:ind w:left="17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7"/>
              <w:spacing w:after="0"/>
              <w:rPr>
                <w:sz w:val="20"/>
                <w:szCs w:val="20"/>
                <w:color w:val="auto"/>
              </w:rPr>
            </w:pPr>
            <w:r>
              <w:rPr>
                <w:rFonts w:ascii="Arial" w:cs="Arial" w:eastAsia="Arial" w:hAnsi="Arial"/>
                <w:sz w:val="18"/>
                <w:szCs w:val="18"/>
                <w:color w:val="auto"/>
              </w:rPr>
              <w:t>(78,928)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(53,952)</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00" w:type="dxa"/>
            <w:vAlign w:val="bottom"/>
            <w:gridSpan w:val="3"/>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w w:val="95"/>
              </w:rPr>
              <w:t>257,164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162,054</w:t>
            </w:r>
          </w:p>
        </w:tc>
        <w:tc>
          <w:tcPr>
            <w:tcW w:w="0" w:type="dxa"/>
            <w:vAlign w:val="bottom"/>
          </w:tcPr>
          <w:p>
            <w:pPr>
              <w:spacing w:after="0"/>
              <w:rPr>
                <w:sz w:val="1"/>
                <w:szCs w:val="1"/>
                <w:color w:val="auto"/>
              </w:rPr>
            </w:pPr>
          </w:p>
        </w:tc>
      </w:tr>
      <w:tr>
        <w:trPr>
          <w:trHeight w:val="369"/>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Income Statement</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Navios</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240" w:type="dxa"/>
            <w:vAlign w:val="bottom"/>
            <w:gridSpan w:val="2"/>
            <w:vMerge w:val="continue"/>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660"/>
              <w:spacing w:after="0" w:line="158" w:lineRule="exact"/>
              <w:rPr>
                <w:sz w:val="20"/>
                <w:szCs w:val="20"/>
                <w:color w:val="auto"/>
              </w:rPr>
            </w:pPr>
            <w:r>
              <w:rPr>
                <w:rFonts w:ascii="Arial" w:cs="Arial" w:eastAsia="Arial" w:hAnsi="Arial"/>
                <w:sz w:val="14"/>
                <w:szCs w:val="14"/>
                <w:b w:val="1"/>
                <w:bCs w:val="1"/>
                <w:color w:val="auto"/>
              </w:rPr>
              <w:t>Partners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20" w:type="dxa"/>
            <w:vAlign w:val="bottom"/>
            <w:tcBorders>
              <w:top w:val="single" w:sz="8" w:color="auto"/>
            </w:tcBorders>
          </w:tcPr>
          <w:p>
            <w:pPr>
              <w:spacing w:after="0"/>
              <w:rPr>
                <w:sz w:val="10"/>
                <w:szCs w:val="10"/>
                <w:color w:val="auto"/>
              </w:rPr>
            </w:pPr>
          </w:p>
        </w:tc>
        <w:tc>
          <w:tcPr>
            <w:tcW w:w="3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Borders>
              <w:top w:val="single" w:sz="8" w:color="auto"/>
            </w:tcBorders>
            <w:gridSpan w:val="2"/>
          </w:tcPr>
          <w:p>
            <w:pPr>
              <w:jc w:val="right"/>
              <w:ind w:right="397"/>
              <w:spacing w:after="0" w:line="126" w:lineRule="exact"/>
              <w:rPr>
                <w:sz w:val="20"/>
                <w:szCs w:val="20"/>
                <w:color w:val="auto"/>
              </w:rPr>
            </w:pPr>
            <w:r>
              <w:rPr>
                <w:rFonts w:ascii="Arial" w:cs="Arial" w:eastAsia="Arial" w:hAnsi="Arial"/>
                <w:sz w:val="14"/>
                <w:szCs w:val="14"/>
                <w:b w:val="1"/>
                <w:bCs w:val="1"/>
                <w:color w:val="auto"/>
              </w:rPr>
              <w:t>Nine Month</w:t>
            </w:r>
          </w:p>
        </w:tc>
        <w:tc>
          <w:tcPr>
            <w:tcW w:w="880" w:type="dxa"/>
            <w:vAlign w:val="bottom"/>
            <w:tcBorders>
              <w:top w:val="single" w:sz="8" w:color="auto"/>
            </w:tcBorders>
            <w:gridSpan w:val="2"/>
          </w:tcPr>
          <w:p>
            <w:pPr>
              <w:jc w:val="center"/>
              <w:spacing w:after="0" w:line="126" w:lineRule="exact"/>
              <w:rPr>
                <w:sz w:val="20"/>
                <w:szCs w:val="20"/>
                <w:color w:val="auto"/>
              </w:rPr>
            </w:pPr>
            <w:r>
              <w:rPr>
                <w:rFonts w:ascii="Arial" w:cs="Arial" w:eastAsia="Arial" w:hAnsi="Arial"/>
                <w:sz w:val="14"/>
                <w:szCs w:val="14"/>
                <w:b w:val="1"/>
                <w:bCs w:val="1"/>
                <w:color w:val="auto"/>
                <w:w w:val="97"/>
              </w:rPr>
              <w:t>Nine Month</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617"/>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720" w:type="dxa"/>
            <w:vAlign w:val="bottom"/>
          </w:tcPr>
          <w:p>
            <w:pPr>
              <w:jc w:val="center"/>
              <w:ind w:right="7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000" w:type="dxa"/>
            <w:vAlign w:val="bottom"/>
            <w:gridSpan w:val="3"/>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839,665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445,029</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Time charter and voyage expenses</w:t>
            </w:r>
          </w:p>
        </w:tc>
        <w:tc>
          <w:tcPr>
            <w:tcW w:w="2000" w:type="dxa"/>
            <w:vAlign w:val="bottom"/>
            <w:gridSpan w:val="3"/>
          </w:tcPr>
          <w:p>
            <w:pPr>
              <w:ind w:left="18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77"/>
              <w:spacing w:after="0"/>
              <w:rPr>
                <w:sz w:val="20"/>
                <w:szCs w:val="20"/>
                <w:color w:val="auto"/>
              </w:rPr>
            </w:pPr>
            <w:r>
              <w:rPr>
                <w:rFonts w:ascii="Arial" w:cs="Arial" w:eastAsia="Arial" w:hAnsi="Arial"/>
                <w:sz w:val="18"/>
                <w:szCs w:val="18"/>
                <w:color w:val="auto"/>
              </w:rPr>
              <w:t>(74,300)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(19,829)</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vessel expenses</w:t>
            </w:r>
          </w:p>
        </w:tc>
        <w:tc>
          <w:tcPr>
            <w:tcW w:w="2000" w:type="dxa"/>
            <w:vAlign w:val="bottom"/>
            <w:gridSpan w:val="3"/>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(39,511)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(18,007)</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Vessel operating expenses</w:t>
            </w:r>
          </w:p>
        </w:tc>
        <w:tc>
          <w:tcPr>
            <w:tcW w:w="2000" w:type="dxa"/>
            <w:vAlign w:val="bottom"/>
            <w:gridSpan w:val="3"/>
          </w:tcPr>
          <w:p>
            <w:pPr>
              <w:ind w:left="18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77"/>
              <w:spacing w:after="0"/>
              <w:rPr>
                <w:sz w:val="20"/>
                <w:szCs w:val="20"/>
                <w:color w:val="auto"/>
              </w:rPr>
            </w:pPr>
            <w:r>
              <w:rPr>
                <w:rFonts w:ascii="Arial" w:cs="Arial" w:eastAsia="Arial" w:hAnsi="Arial"/>
                <w:sz w:val="18"/>
                <w:szCs w:val="18"/>
                <w:color w:val="auto"/>
                <w:w w:val="98"/>
              </w:rPr>
              <w:t>(226,089)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(118,685)</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00" w:type="dxa"/>
            <w:vAlign w:val="bottom"/>
            <w:gridSpan w:val="3"/>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460,989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398,646</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LEASES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Time charter out contracts</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Company’s contract revenues from time chartering are governed by ASC 842. Upon adoption of ASC 842, the timing and recognition of earnings from the time charter contracts to which the Company is party did not change from previous practice.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Land lease agreements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September 30, 2022, Navios Logistics had land lease agreements whose remaining lease terms ranged from 43.4 years to 43.8 years.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Office lease agreements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September 30, 2022, Navios Logistics had office lease agreements whose remaining lease terms ranged from less than 0.8 years to 4.1 years.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tables below present the components of the Company’s lease expense for the three and nine month periods ended September 30, 2022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2021:</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Lease expense for charter-in contracts</w:t>
      </w:r>
    </w:p>
    <w:p>
      <w:pPr>
        <w:spacing w:after="0" w:line="35"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Lease expense for land lease agreements</w:t>
      </w:r>
    </w:p>
    <w:p>
      <w:pPr>
        <w:spacing w:after="0" w:line="46"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Lease expense for office lease agreements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86"/>
              </w:rPr>
              <w:t>Logistics Business</w:t>
            </w:r>
          </w:p>
        </w:tc>
        <w:tc>
          <w:tcPr>
            <w:tcW w:w="12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6"/>
              </w:rPr>
              <w:t>Logistics Business</w:t>
            </w: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7"/>
              </w:rPr>
              <w:t>Three Month</w:t>
            </w:r>
          </w:p>
        </w:tc>
        <w:tc>
          <w:tcPr>
            <w:tcW w:w="12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Three Month</w:t>
            </w: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12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Period Ended</w:t>
            </w:r>
          </w:p>
        </w:tc>
      </w:tr>
      <w:tr>
        <w:trPr>
          <w:trHeight w:val="171"/>
        </w:trPr>
        <w:tc>
          <w:tcPr>
            <w:tcW w:w="20" w:type="dxa"/>
            <w:vAlign w:val="bottom"/>
          </w:tcPr>
          <w:p>
            <w:pPr>
              <w:spacing w:after="0"/>
              <w:rPr>
                <w:sz w:val="14"/>
                <w:szCs w:val="14"/>
                <w:color w:val="auto"/>
              </w:rPr>
            </w:pPr>
          </w:p>
        </w:tc>
        <w:tc>
          <w:tcPr>
            <w:tcW w:w="206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0"/>
              </w:rPr>
              <w:t>September 30, 2022</w:t>
            </w:r>
          </w:p>
        </w:tc>
        <w:tc>
          <w:tcPr>
            <w:tcW w:w="12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September 30, 2021</w:t>
            </w:r>
          </w:p>
        </w:tc>
      </w:tr>
      <w:tr>
        <w:trPr>
          <w:trHeight w:val="195"/>
        </w:trPr>
        <w:tc>
          <w:tcPr>
            <w:tcW w:w="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1,019</w:t>
            </w:r>
          </w:p>
        </w:tc>
        <w:tc>
          <w:tcPr>
            <w:tcW w:w="8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1,591</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right"/>
              <w:ind w:right="88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2"/>
          </w:tcPr>
          <w:p>
            <w:pPr>
              <w:jc w:val="right"/>
              <w:ind w:right="88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-3200400</wp:posOffset>
            </wp:positionH>
            <wp:positionV relativeFrom="paragraph">
              <wp:posOffset>-419100</wp:posOffset>
            </wp:positionV>
            <wp:extent cx="531495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14950" cy="146050"/>
                    </a:xfrm>
                    <a:prstGeom prst="rect">
                      <a:avLst/>
                    </a:prstGeom>
                    <a:noFill/>
                  </pic:spPr>
                </pic:pic>
              </a:graphicData>
            </a:graphic>
          </wp:anchor>
        </w:drawing>
        <w:drawing>
          <wp:anchor simplePos="0" relativeHeight="251657728" behindDoc="1" locked="0" layoutInCell="0" allowOverlap="1">
            <wp:simplePos x="0" y="0"/>
            <wp:positionH relativeFrom="column">
              <wp:posOffset>-3200400</wp:posOffset>
            </wp:positionH>
            <wp:positionV relativeFrom="paragraph">
              <wp:posOffset>-136525</wp:posOffset>
            </wp:positionV>
            <wp:extent cx="531495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5760" w:space="720"/>
            <w:col w:w="4640"/>
          </w:cols>
          <w:pgMar w:left="320" w:top="459" w:right="459" w:bottom="1440" w:gutter="0" w:footer="0" w:header="0"/>
          <w:type w:val="continuous"/>
        </w:sectPr>
      </w:pPr>
    </w:p>
    <w:p>
      <w:pPr>
        <w:ind w:left="1440"/>
        <w:spacing w:after="0"/>
        <w:tabs>
          <w:tab w:leader="none" w:pos="6460" w:val="left"/>
          <w:tab w:leader="none" w:pos="7260" w:val="left"/>
          <w:tab w:leader="none" w:pos="8540" w:val="left"/>
          <w:tab w:leader="none" w:pos="9340" w:val="left"/>
        </w:tabs>
        <w:rPr>
          <w:sz w:val="20"/>
          <w:szCs w:val="20"/>
          <w:color w:val="auto"/>
        </w:rPr>
      </w:pP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1,335</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color w:val="auto"/>
        </w:rPr>
        <w:t>1,810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17145</wp:posOffset>
            </wp:positionV>
            <wp:extent cx="7626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263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34290</wp:posOffset>
            </wp:positionV>
            <wp:extent cx="7626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263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17145</wp:posOffset>
            </wp:positionV>
            <wp:extent cx="7626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263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34290</wp:posOffset>
            </wp:positionV>
            <wp:extent cx="7626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Lease expense for charter-in contracts</w:t>
      </w:r>
    </w:p>
    <w:p>
      <w:pPr>
        <w:spacing w:after="0" w:line="35"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Lease expense for land lease agreements</w:t>
      </w:r>
    </w:p>
    <w:p>
      <w:pPr>
        <w:spacing w:after="0" w:line="46"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Lease expense for office lease agreements</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jc w:val="center"/>
        <w:ind w:right="148"/>
        <w:spacing w:after="0"/>
        <w:rPr>
          <w:sz w:val="20"/>
          <w:szCs w:val="20"/>
          <w:color w:val="auto"/>
        </w:rPr>
      </w:pPr>
      <w:r>
        <w:rPr>
          <w:rFonts w:ascii="Arial" w:cs="Arial" w:eastAsia="Arial" w:hAnsi="Arial"/>
          <w:sz w:val="13"/>
          <w:szCs w:val="13"/>
          <w:b w:val="1"/>
          <w:bCs w:val="1"/>
          <w:color w:val="auto"/>
        </w:rPr>
        <w:t>Logistics Business</w:t>
      </w:r>
    </w:p>
    <w:p>
      <w:pPr>
        <w:spacing w:after="0" w:line="3" w:lineRule="exact"/>
        <w:rPr>
          <w:sz w:val="20"/>
          <w:szCs w:val="20"/>
          <w:color w:val="auto"/>
        </w:rPr>
      </w:pPr>
    </w:p>
    <w:p>
      <w:pPr>
        <w:jc w:val="center"/>
        <w:ind w:right="148"/>
        <w:spacing w:after="0"/>
        <w:rPr>
          <w:sz w:val="20"/>
          <w:szCs w:val="20"/>
          <w:color w:val="auto"/>
        </w:rPr>
      </w:pPr>
      <w:r>
        <w:rPr>
          <w:rFonts w:ascii="Arial" w:cs="Arial" w:eastAsia="Arial" w:hAnsi="Arial"/>
          <w:sz w:val="14"/>
          <w:szCs w:val="14"/>
          <w:b w:val="1"/>
          <w:bCs w:val="1"/>
          <w:color w:val="auto"/>
        </w:rPr>
        <w:t>Nine Month</w:t>
      </w:r>
    </w:p>
    <w:p>
      <w:pPr>
        <w:jc w:val="center"/>
        <w:ind w:right="148"/>
        <w:spacing w:after="0" w:line="221" w:lineRule="auto"/>
        <w:rPr>
          <w:sz w:val="20"/>
          <w:szCs w:val="20"/>
          <w:color w:val="auto"/>
        </w:rPr>
      </w:pPr>
      <w:r>
        <w:rPr>
          <w:rFonts w:ascii="Arial" w:cs="Arial" w:eastAsia="Arial" w:hAnsi="Arial"/>
          <w:sz w:val="14"/>
          <w:szCs w:val="14"/>
          <w:b w:val="1"/>
          <w:bCs w:val="1"/>
          <w:color w:val="auto"/>
        </w:rPr>
        <w:t>Period Ended</w:t>
      </w:r>
    </w:p>
    <w:p>
      <w:pPr>
        <w:jc w:val="center"/>
        <w:ind w:right="148"/>
        <w:spacing w:after="0"/>
        <w:rPr>
          <w:sz w:val="20"/>
          <w:szCs w:val="20"/>
          <w:color w:val="auto"/>
        </w:rPr>
      </w:pPr>
      <w:r>
        <w:rPr>
          <w:rFonts w:ascii="Arial" w:cs="Arial" w:eastAsia="Arial" w:hAnsi="Arial"/>
          <w:sz w:val="12"/>
          <w:szCs w:val="12"/>
          <w:b w:val="1"/>
          <w:bCs w:val="1"/>
          <w:u w:val="single" w:color="auto"/>
          <w:color w:val="auto"/>
        </w:rPr>
        <w:t>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10795</wp:posOffset>
            </wp:positionV>
            <wp:extent cx="531495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spacing w:after="0" w:line="12" w:lineRule="exact"/>
        <w:rPr>
          <w:sz w:val="20"/>
          <w:szCs w:val="20"/>
          <w:color w:val="auto"/>
        </w:rPr>
      </w:pPr>
    </w:p>
    <w:p>
      <w:pPr>
        <w:ind w:left="806" w:hanging="806"/>
        <w:spacing w:after="0"/>
        <w:tabs>
          <w:tab w:leader="none" w:pos="806" w:val="left"/>
        </w:tabs>
        <w:numPr>
          <w:ilvl w:val="0"/>
          <w:numId w:val="15"/>
        </w:numPr>
        <w:rPr>
          <w:rFonts w:ascii="Arial" w:cs="Arial" w:eastAsia="Arial" w:hAnsi="Arial"/>
          <w:sz w:val="15"/>
          <w:szCs w:val="15"/>
          <w:color w:val="auto"/>
        </w:rPr>
      </w:pPr>
      <w:r>
        <w:rPr>
          <w:rFonts w:ascii="Arial" w:cs="Arial" w:eastAsia="Arial" w:hAnsi="Arial"/>
          <w:sz w:val="15"/>
          <w:szCs w:val="15"/>
          <w:color w:val="auto"/>
        </w:rPr>
        <w:t>3,040</w:t>
      </w:r>
    </w:p>
    <w:p>
      <w:pPr>
        <w:spacing w:after="0" w:line="42" w:lineRule="exact"/>
        <w:rPr>
          <w:rFonts w:ascii="Arial" w:cs="Arial" w:eastAsia="Arial" w:hAnsi="Arial"/>
          <w:sz w:val="15"/>
          <w:szCs w:val="15"/>
          <w:color w:val="auto"/>
        </w:rPr>
      </w:pPr>
    </w:p>
    <w:p>
      <w:pPr>
        <w:ind w:left="926"/>
        <w:spacing w:after="0"/>
        <w:rPr>
          <w:rFonts w:ascii="Arial" w:cs="Arial" w:eastAsia="Arial" w:hAnsi="Arial"/>
          <w:sz w:val="15"/>
          <w:szCs w:val="15"/>
          <w:color w:val="auto"/>
        </w:rPr>
      </w:pPr>
      <w:r>
        <w:rPr>
          <w:rFonts w:ascii="Arial" w:cs="Arial" w:eastAsia="Arial" w:hAnsi="Arial"/>
          <w:sz w:val="16"/>
          <w:szCs w:val="16"/>
          <w:color w:val="auto"/>
        </w:rPr>
        <w:t>467</w:t>
      </w:r>
    </w:p>
    <w:p>
      <w:pPr>
        <w:spacing w:after="0" w:line="32" w:lineRule="exact"/>
        <w:rPr>
          <w:rFonts w:ascii="Arial" w:cs="Arial" w:eastAsia="Arial" w:hAnsi="Arial"/>
          <w:sz w:val="15"/>
          <w:szCs w:val="15"/>
          <w:color w:val="auto"/>
        </w:rPr>
      </w:pPr>
    </w:p>
    <w:p>
      <w:pPr>
        <w:ind w:left="926"/>
        <w:spacing w:after="0"/>
        <w:rPr>
          <w:rFonts w:ascii="Arial" w:cs="Arial" w:eastAsia="Arial" w:hAnsi="Arial"/>
          <w:sz w:val="15"/>
          <w:szCs w:val="15"/>
          <w:color w:val="auto"/>
        </w:rPr>
      </w:pPr>
      <w:r>
        <w:rPr>
          <w:rFonts w:ascii="Arial" w:cs="Arial" w:eastAsia="Arial" w:hAnsi="Arial"/>
          <w:sz w:val="16"/>
          <w:szCs w:val="16"/>
          <w:color w:val="auto"/>
        </w:rPr>
        <w:t>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-116205</wp:posOffset>
            </wp:positionV>
            <wp:extent cx="531495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jc w:val="center"/>
        <w:ind w:right="1353"/>
        <w:spacing w:after="0"/>
        <w:rPr>
          <w:sz w:val="20"/>
          <w:szCs w:val="20"/>
          <w:color w:val="auto"/>
        </w:rPr>
      </w:pPr>
      <w:r>
        <w:rPr>
          <w:rFonts w:ascii="Arial" w:cs="Arial" w:eastAsia="Arial" w:hAnsi="Arial"/>
          <w:sz w:val="13"/>
          <w:szCs w:val="13"/>
          <w:b w:val="1"/>
          <w:bCs w:val="1"/>
          <w:color w:val="auto"/>
        </w:rPr>
        <w:t>Logistics Business</w:t>
      </w:r>
    </w:p>
    <w:p>
      <w:pPr>
        <w:spacing w:after="0" w:line="3" w:lineRule="exact"/>
        <w:rPr>
          <w:sz w:val="20"/>
          <w:szCs w:val="20"/>
          <w:color w:val="auto"/>
        </w:rPr>
      </w:pPr>
    </w:p>
    <w:p>
      <w:pPr>
        <w:jc w:val="center"/>
        <w:ind w:right="1353"/>
        <w:spacing w:after="0"/>
        <w:rPr>
          <w:sz w:val="20"/>
          <w:szCs w:val="20"/>
          <w:color w:val="auto"/>
        </w:rPr>
      </w:pPr>
      <w:r>
        <w:rPr>
          <w:rFonts w:ascii="Arial" w:cs="Arial" w:eastAsia="Arial" w:hAnsi="Arial"/>
          <w:sz w:val="14"/>
          <w:szCs w:val="14"/>
          <w:b w:val="1"/>
          <w:bCs w:val="1"/>
          <w:color w:val="auto"/>
        </w:rPr>
        <w:t>Nine Month</w:t>
      </w:r>
    </w:p>
    <w:p>
      <w:pPr>
        <w:jc w:val="center"/>
        <w:ind w:right="1353"/>
        <w:spacing w:after="0" w:line="221" w:lineRule="auto"/>
        <w:rPr>
          <w:sz w:val="20"/>
          <w:szCs w:val="20"/>
          <w:color w:val="auto"/>
        </w:rPr>
      </w:pPr>
      <w:r>
        <w:rPr>
          <w:rFonts w:ascii="Arial" w:cs="Arial" w:eastAsia="Arial" w:hAnsi="Arial"/>
          <w:sz w:val="14"/>
          <w:szCs w:val="14"/>
          <w:b w:val="1"/>
          <w:bCs w:val="1"/>
          <w:color w:val="auto"/>
        </w:rPr>
        <w:t>Period Ended</w:t>
      </w:r>
    </w:p>
    <w:p>
      <w:pPr>
        <w:jc w:val="center"/>
        <w:ind w:right="1353"/>
        <w:spacing w:after="0"/>
        <w:rPr>
          <w:sz w:val="20"/>
          <w:szCs w:val="20"/>
          <w:color w:val="auto"/>
        </w:rPr>
      </w:pPr>
      <w:r>
        <w:rPr>
          <w:rFonts w:ascii="Arial" w:cs="Arial" w:eastAsia="Arial" w:hAnsi="Arial"/>
          <w:sz w:val="12"/>
          <w:szCs w:val="12"/>
          <w:b w:val="1"/>
          <w:bCs w:val="1"/>
          <w:u w:val="single" w:color="auto"/>
          <w:color w:val="auto"/>
        </w:rPr>
        <w:t>September 30, 2021</w:t>
      </w:r>
    </w:p>
    <w:p>
      <w:pPr>
        <w:spacing w:after="0" w:line="32" w:lineRule="exact"/>
        <w:rPr>
          <w:sz w:val="20"/>
          <w:szCs w:val="20"/>
          <w:color w:val="auto"/>
        </w:rPr>
      </w:pPr>
    </w:p>
    <w:p>
      <w:pPr>
        <w:ind w:left="807" w:hanging="807"/>
        <w:spacing w:after="0"/>
        <w:tabs>
          <w:tab w:leader="none" w:pos="807" w:val="left"/>
        </w:tabs>
        <w:numPr>
          <w:ilvl w:val="0"/>
          <w:numId w:val="16"/>
        </w:numPr>
        <w:rPr>
          <w:rFonts w:ascii="Arial" w:cs="Arial" w:eastAsia="Arial" w:hAnsi="Arial"/>
          <w:sz w:val="15"/>
          <w:szCs w:val="15"/>
          <w:color w:val="auto"/>
        </w:rPr>
      </w:pPr>
      <w:r>
        <w:rPr>
          <w:rFonts w:ascii="Arial" w:cs="Arial" w:eastAsia="Arial" w:hAnsi="Arial"/>
          <w:sz w:val="15"/>
          <w:szCs w:val="15"/>
          <w:color w:val="auto"/>
        </w:rPr>
        <w:t>4,759</w:t>
      </w:r>
    </w:p>
    <w:p>
      <w:pPr>
        <w:spacing w:after="0" w:line="42" w:lineRule="exact"/>
        <w:rPr>
          <w:rFonts w:ascii="Arial" w:cs="Arial" w:eastAsia="Arial" w:hAnsi="Arial"/>
          <w:sz w:val="15"/>
          <w:szCs w:val="15"/>
          <w:color w:val="auto"/>
        </w:rPr>
      </w:pPr>
    </w:p>
    <w:p>
      <w:pPr>
        <w:ind w:left="927"/>
        <w:spacing w:after="0"/>
        <w:rPr>
          <w:rFonts w:ascii="Arial" w:cs="Arial" w:eastAsia="Arial" w:hAnsi="Arial"/>
          <w:sz w:val="15"/>
          <w:szCs w:val="15"/>
          <w:color w:val="auto"/>
        </w:rPr>
      </w:pPr>
      <w:r>
        <w:rPr>
          <w:rFonts w:ascii="Arial" w:cs="Arial" w:eastAsia="Arial" w:hAnsi="Arial"/>
          <w:sz w:val="16"/>
          <w:szCs w:val="16"/>
          <w:color w:val="auto"/>
        </w:rPr>
        <w:t>427</w:t>
      </w:r>
    </w:p>
    <w:p>
      <w:pPr>
        <w:spacing w:after="0" w:line="32" w:lineRule="exact"/>
        <w:rPr>
          <w:rFonts w:ascii="Arial" w:cs="Arial" w:eastAsia="Arial" w:hAnsi="Arial"/>
          <w:sz w:val="15"/>
          <w:szCs w:val="15"/>
          <w:color w:val="auto"/>
        </w:rPr>
      </w:pPr>
    </w:p>
    <w:p>
      <w:pPr>
        <w:ind w:left="927"/>
        <w:spacing w:after="0"/>
        <w:rPr>
          <w:rFonts w:ascii="Arial" w:cs="Arial" w:eastAsia="Arial" w:hAnsi="Arial"/>
          <w:sz w:val="15"/>
          <w:szCs w:val="15"/>
          <w:color w:val="auto"/>
        </w:rPr>
      </w:pPr>
      <w:r>
        <w:rPr>
          <w:rFonts w:ascii="Arial" w:cs="Arial" w:eastAsia="Arial" w:hAnsi="Arial"/>
          <w:sz w:val="16"/>
          <w:szCs w:val="16"/>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626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41" w:lineRule="exact"/>
        <w:rPr>
          <w:sz w:val="20"/>
          <w:szCs w:val="20"/>
          <w:color w:val="auto"/>
        </w:rPr>
      </w:pPr>
    </w:p>
    <w:p>
      <w:pPr>
        <w:sectPr>
          <w:pgSz w:w="11900" w:h="16838" w:orient="portrait"/>
          <w:cols w:equalWidth="0" w:num="3">
            <w:col w:w="5754" w:space="720"/>
            <w:col w:w="1359" w:space="720"/>
            <w:col w:w="2567"/>
          </w:cols>
          <w:pgMar w:left="320" w:top="459" w:right="459" w:bottom="1440" w:gutter="0" w:footer="0" w:header="0"/>
          <w:type w:val="continuous"/>
        </w:sectPr>
      </w:pPr>
    </w:p>
    <w:p>
      <w:pPr>
        <w:ind w:left="1440"/>
        <w:spacing w:after="0"/>
        <w:tabs>
          <w:tab w:leader="none" w:pos="6460" w:val="left"/>
          <w:tab w:leader="none" w:pos="7260" w:val="left"/>
          <w:tab w:leader="none" w:pos="8540" w:val="left"/>
          <w:tab w:leader="none" w:pos="9340" w:val="left"/>
        </w:tabs>
        <w:rPr>
          <w:sz w:val="20"/>
          <w:szCs w:val="20"/>
          <w:color w:val="auto"/>
        </w:rPr>
      </w:pP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3,856</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color w:val="auto"/>
        </w:rPr>
        <w:t>5,417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17145</wp:posOffset>
            </wp:positionV>
            <wp:extent cx="7626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26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34290</wp:posOffset>
            </wp:positionV>
            <wp:extent cx="7626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263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17145</wp:posOffset>
            </wp:positionV>
            <wp:extent cx="7626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26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34290</wp:posOffset>
            </wp:positionV>
            <wp:extent cx="7626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1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CONDENSED NOTES TO THE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(Expressed in thousands of U.S. dollars — except share data)</w:t>
      </w:r>
    </w:p>
    <w:p>
      <w:pPr>
        <w:spacing w:after="0" w:line="143"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Lease expenses for charter-in contracts are included in the interim condensed consolidated statement of comprehensive income under the caption “Time charter, voyage and logistics business expenses”. Lease expenses for land lease agreements and office lease agreements are included in the interim condensed consolidated statement of comprehensive income under the captions “Time charter, voyage and logistics business expenses” and “General and administrative expenses”, respectively.</w:t>
      </w:r>
    </w:p>
    <w:p>
      <w:pPr>
        <w:spacing w:after="0" w:line="18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On July 29, 2022, the Company completed the sale of its 15 charter-in and bareboat-in vessels to Navios Partners. For further information see Note 15 “Discontinued operations” in the condensed consolidated financial statements.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table below provides the total amount of lease payments on an undiscounted basis on our land and office lease agreements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2022:</w:t>
      </w:r>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220" w:type="dxa"/>
            <w:vAlign w:val="bottom"/>
            <w:gridSpan w:val="5"/>
          </w:tcPr>
          <w:p>
            <w:pPr>
              <w:spacing w:after="0"/>
              <w:rPr>
                <w:sz w:val="20"/>
                <w:szCs w:val="20"/>
                <w:color w:val="auto"/>
              </w:rPr>
            </w:pPr>
            <w:r>
              <w:rPr>
                <w:rFonts w:ascii="Arial" w:cs="Arial" w:eastAsia="Arial" w:hAnsi="Arial"/>
                <w:sz w:val="14"/>
                <w:szCs w:val="14"/>
                <w:b w:val="1"/>
                <w:bCs w:val="1"/>
                <w:color w:val="auto"/>
              </w:rPr>
              <w:t>Land leases</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3"/>
              </w:rPr>
              <w:t>Office space</w:t>
            </w:r>
          </w:p>
        </w:tc>
        <w:tc>
          <w:tcPr>
            <w:tcW w:w="0" w:type="dxa"/>
            <w:vAlign w:val="bottom"/>
          </w:tcPr>
          <w:p>
            <w:pPr>
              <w:spacing w:after="0"/>
              <w:rPr>
                <w:sz w:val="1"/>
                <w:szCs w:val="1"/>
                <w:color w:val="auto"/>
              </w:rPr>
            </w:pPr>
          </w:p>
        </w:tc>
      </w:tr>
      <w:tr>
        <w:trPr>
          <w:trHeight w:val="209"/>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30, 2023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September 30, 2024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556</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556</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September 30, 2026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556</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2027 and thereafter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22,028</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24,252</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 liabilities, including current portion</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8,214</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986</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b w:val="1"/>
                <w:bCs w:val="1"/>
                <w:color w:val="auto"/>
              </w:rPr>
              <w:t>Discount based on incremental borrowing rate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16,038</w:t>
            </w:r>
          </w:p>
        </w:tc>
        <w:tc>
          <w:tcPr>
            <w:tcW w:w="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As of September 30, 2022, the weighted average remaining lease terms on our office lease agreements and land leases are 2.0 years and 43.6 years,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DISCONTINUED OPERATIONS</w:t>
      </w:r>
    </w:p>
    <w:p>
      <w:pPr>
        <w:spacing w:after="0" w:line="121"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In September 2022, Navios Holdings completed the sale of its 36-vessel dry bulk consisting of cash and the assumption of bank debt and finance leases related to the vessels and subject to working capital adjustment at closing, to Navios Partners. The closing of the Transaction was subject to customary closing conditions, including receipt of certain consents required in connection with Navios Partners’ assumption of bank debt in connection with the Transaction. The closing of the Transaction was effected in two tranches. The first tranche, involving the transfer of 15 charter-in and bareboat vessels, was completed on July 29, 2022. The second tranche, involving the remaining 21 owned vessels, was completed on September 8, 2022. The net cash proceeds of the Transaction were used (i) to repay $262,632 under the NSM Loans and (ii) to fully redeem the outstanding balance of</w:t>
      </w:r>
    </w:p>
    <w:p>
      <w:pPr>
        <w:spacing w:after="0" w:line="4" w:lineRule="exact"/>
        <w:rPr>
          <w:sz w:val="20"/>
          <w:szCs w:val="20"/>
          <w:color w:val="auto"/>
        </w:rPr>
      </w:pPr>
    </w:p>
    <w:p>
      <w:pPr>
        <w:ind w:left="120" w:right="620"/>
        <w:spacing w:after="0" w:line="260" w:lineRule="auto"/>
        <w:rPr>
          <w:sz w:val="20"/>
          <w:szCs w:val="20"/>
          <w:color w:val="auto"/>
        </w:rPr>
      </w:pPr>
      <w:r>
        <w:rPr>
          <w:rFonts w:ascii="Arial" w:cs="Arial" w:eastAsia="Arial" w:hAnsi="Arial"/>
          <w:sz w:val="18"/>
          <w:szCs w:val="18"/>
          <w:color w:val="auto"/>
        </w:rPr>
        <w:t>$80,000 under the 2022 Senior Secured Notes at maturity on August 15, 2022. The net cash proceeds were $370,638, including working capital liabilities, net amounted of $37,015.</w:t>
      </w:r>
    </w:p>
    <w:p>
      <w:pPr>
        <w:spacing w:after="0" w:line="18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difference between the cash consideration received from the disposal and the carrying value of the disposed component resulted in a gain on sale of $169,631 and is included in the interim condensed consolidated statements of comprehensive income under the caption “Net income from discontinued operations”.</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The gain on sale was calculated as follows: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Proceeds received:</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Cash consideration</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$ 370,638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value of assets and liabilities: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Book value of Vessels and other fixed assets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452,697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Book value of Operating lease assets and other, net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Book value of Intangible assets other than goodwill</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42,082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Book value of goodwill</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56,240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Bank debt and finance leases payable assumed by Navios Partners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(332,013)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liabilities derecognized</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(37,015)</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 on sale</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$ 169,631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Amounts recorded in respect of discontinued operations in the periods ended September 30, 2022 and 2021, respectively are as follows: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60"/>
          </w:cols>
          <w:pgMar w:left="320" w:top="459" w:right="51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NOTES TO THE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(Expressed in thousands of U.S. dollars — except share data)</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7"/>
              </w:rPr>
              <w:t>Three Month</w:t>
            </w:r>
          </w:p>
        </w:tc>
        <w:tc>
          <w:tcPr>
            <w:tcW w:w="200" w:type="dxa"/>
            <w:vAlign w:val="bottom"/>
          </w:tcPr>
          <w:p>
            <w:pPr>
              <w:spacing w:after="0"/>
              <w:rPr>
                <w:sz w:val="14"/>
                <w:szCs w:val="14"/>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9"/>
              </w:rPr>
              <w:t>Three Month</w:t>
            </w:r>
          </w:p>
        </w:tc>
        <w:tc>
          <w:tcPr>
            <w:tcW w:w="200" w:type="dxa"/>
            <w:vAlign w:val="bottom"/>
          </w:tcPr>
          <w:p>
            <w:pPr>
              <w:spacing w:after="0"/>
              <w:rPr>
                <w:sz w:val="14"/>
                <w:szCs w:val="14"/>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Nine Month</w:t>
            </w:r>
          </w:p>
        </w:tc>
        <w:tc>
          <w:tcPr>
            <w:tcW w:w="200" w:type="dxa"/>
            <w:vAlign w:val="bottom"/>
          </w:tcPr>
          <w:p>
            <w:pPr>
              <w:spacing w:after="0"/>
              <w:rPr>
                <w:sz w:val="14"/>
                <w:szCs w:val="14"/>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Nine Month</w:t>
            </w:r>
          </w:p>
        </w:tc>
      </w:tr>
      <w:tr>
        <w:trPr>
          <w:trHeight w:val="148"/>
        </w:trPr>
        <w:tc>
          <w:tcPr>
            <w:tcW w:w="4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Period Ended</w:t>
            </w:r>
          </w:p>
        </w:tc>
        <w:tc>
          <w:tcPr>
            <w:tcW w:w="20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Period Ended</w:t>
            </w:r>
          </w:p>
        </w:tc>
        <w:tc>
          <w:tcPr>
            <w:tcW w:w="20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Period Ended</w:t>
            </w:r>
          </w:p>
        </w:tc>
        <w:tc>
          <w:tcPr>
            <w:tcW w:w="20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Period Ended</w:t>
            </w:r>
          </w:p>
        </w:tc>
      </w:tr>
      <w:tr>
        <w:trPr>
          <w:trHeight w:val="148"/>
        </w:trPr>
        <w:tc>
          <w:tcPr>
            <w:tcW w:w="4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490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r>
      <w:tr>
        <w:trPr>
          <w:trHeight w:val="209"/>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104,925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204,981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254,706</w:t>
            </w:r>
          </w:p>
        </w:tc>
        <w:tc>
          <w:tcPr>
            <w:tcW w:w="12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Time charter, voyage and logistics business expenses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(6,255)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(20,802)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(38,515)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(65,513)</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Direct vessel expenses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(7,904)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(12,048)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(36,121)</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(2,269)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(2,519)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(9,429)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(9,641)</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(5,064)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(18,135)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(23,145)</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Interest expense and finance cost, net</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(17,680)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(19,881)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(58,791)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(62,316)</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loss/loss on sale of vessels, net</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(25,861)</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(Loss)/gain on bond extinguishment, net</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1,051</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Non-operating other expense</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(61,730)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(61,730)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Gain from discontinued operations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169,631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169,631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(8,079)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(3,139)</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Income tax expense</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r>
      <w:tr>
        <w:trPr>
          <w:trHeight w:val="27"/>
        </w:trPr>
        <w:tc>
          <w:tcPr>
            <w:tcW w:w="4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from discontinued operations</w:t>
            </w:r>
          </w:p>
        </w:tc>
        <w:tc>
          <w:tcPr>
            <w:tcW w:w="1260" w:type="dxa"/>
            <w:vAlign w:val="bottom"/>
            <w:gridSpan w:val="2"/>
            <w:shd w:val="clear" w:color="auto" w:fill="CCEEFF"/>
          </w:tcPr>
          <w:p>
            <w:pPr>
              <w:ind w:left="10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109,638</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40,958</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148,973</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29,947</w:t>
            </w:r>
          </w:p>
        </w:tc>
      </w:tr>
      <w:tr>
        <w:trPr>
          <w:trHeight w:val="20"/>
        </w:trPr>
        <w:tc>
          <w:tcPr>
            <w:tcW w:w="4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Assets and liabilities in respect of discontinued operations presented within the condensed consolidated balance sheet as of December 31, 2021 are as follows: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65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84,250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9,186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3,052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9,986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Vessels and other fixed assets,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427,386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Deferred dry dock and special survey costs,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23,467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Operating Lease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164,267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56,240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Intangible assets other than goodwill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44,015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35,689</w:t>
            </w:r>
          </w:p>
        </w:tc>
        <w:tc>
          <w:tcPr>
            <w:tcW w:w="40" w:type="dxa"/>
            <w:vAlign w:val="bottom"/>
            <w:shd w:val="clear" w:color="auto" w:fill="CCEEFF"/>
          </w:tcPr>
          <w:p>
            <w:pPr>
              <w:spacing w:after="0"/>
              <w:rPr>
                <w:sz w:val="18"/>
                <w:szCs w:val="18"/>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Total assets of discontinued operations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857,762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16,122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and cash received in advance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Due to related parties,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20,643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including current portion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189,828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Long-term debt, net, including current portion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113,641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Senior and ship mortgage notes, including current portion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455,393</w:t>
            </w:r>
          </w:p>
        </w:tc>
        <w:tc>
          <w:tcPr>
            <w:tcW w:w="40" w:type="dxa"/>
            <w:vAlign w:val="bottom"/>
            <w:shd w:val="clear" w:color="auto" w:fill="CCEEFF"/>
          </w:tcPr>
          <w:p>
            <w:pPr>
              <w:spacing w:after="0"/>
              <w:rPr>
                <w:sz w:val="18"/>
                <w:szCs w:val="18"/>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of discontinued operations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807,309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As of December 31, 2021, within restricted cash is included an amount of $84,250 as cash collateral in an escrow account, concerning the release of Navios Lumen, Navios Stellar and Navios Phoenix, from the 2022 Notes (as defined herein) which was released upon redemption of the 2022 Notes in January 2022.</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Loss/ Loss on Sale of Vessels, Net</w:t>
      </w:r>
    </w:p>
    <w:p>
      <w:pPr>
        <w:spacing w:after="0" w:line="117"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In July 2021, the Company completed the sale to Navios Partners of the Navios Azimuth, a 2011 built Capesize vessel of 179,169 dwt, for a sale price of $30,000. The impairment loss amounted to $9,104 (including $1,950 remaining carrying balance of dry dock and special survey costs) and is included in the interim condensed consolidated statements of comprehensive income under the caption “Net income from discontinued operations.”</w:t>
      </w:r>
    </w:p>
    <w:p>
      <w:pPr>
        <w:spacing w:after="0" w:line="149"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In June 2021, the Company completed the sale to Navios Partners of the Navios Ray, a 2012 built Capesize vessel of 179,515 dwt, and the Navios Bonavis, a 2009 built Capesize vessel of 180,022 dwt, for a sale price of $58,000. The loss due to sale amounted to $8,753 (including $1,775 remaining carrying balance of dry dock and special survey costs) and is included in the interim condensed consolidated statements of comprehensive income under the caption “Net income from discontinued operations”.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159"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CONDENSED NOTES TO THE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(Expressed in thousands of U.S. dollars — except share data)</w:t>
      </w:r>
    </w:p>
    <w:p>
      <w:pPr>
        <w:spacing w:after="0" w:line="143"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In June 2021, the Company completed the sale to Navios Partners of the Navios Koyo, a 2011-built Capesize vessel, which was previously chartered-in by Navios Holdings, for a sale price of $28,500. The net sale proceeds were $8,500 and the gain due to sale amounted to $12,451 and is included in the interim condensed consolidated statements of comprehensive income under the caption “Net income from discontinued operations”.</w:t>
      </w:r>
    </w:p>
    <w:p>
      <w:pPr>
        <w:spacing w:after="0" w:line="149"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In June 2021, the Company completed the sale to an unrelated third party of the Navios Serenity, a 2011 built Handysize vessel of 34,690 dwt, for a net sale price of $10,388. The loss due to sale amounted to $6,957 (including $11 remaining carrying balance of dry dock and special survey costs) and is included in the interim condensed consolidated statements of comprehensive income under the caption “Net income from discontinued operations”.</w:t>
      </w:r>
    </w:p>
    <w:p>
      <w:pPr>
        <w:spacing w:after="0" w:line="149"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In March 2021, the Company completed the sale to Navios Partners of the Navios Centaurus, a 2012 built Panamax vessel of 81,472 dwt, and the Navios Avior, a 2012 built Panamax vessel of 81,355 dwt, for a sale price of $39,250, including working capital adjustments. The loss due to sale amounted to $13,498 (including $495 remaining carrying balance of dry dock and special survey costs) and is included in the interim condensed consolidated statements of comprehensive income under the caption “Net income from discontinued operations”.</w:t>
      </w:r>
    </w:p>
    <w:p>
      <w:pPr>
        <w:spacing w:after="0" w:line="17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February 2021, the Company completed the sale to an unrelated third party of the Navios Astra, a 2006-built Ultra Handymax vessel of 53,468 dwt, for a net sale price of approximately $6,644.</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Borrowings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2022 Notes</w:t>
      </w:r>
    </w:p>
    <w:p>
      <w:pPr>
        <w:spacing w:after="0" w:line="117"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On November 29, 2013, the Co-Issuers completed the sale of $650,000 of 7.375% First Priority Ship Mortgage Notes due 2022 (the “2022 Notes”). During the three month period ended September 30, 2021, the Company repurchased $7,000 in par value of the 2022 Notes for cash consideration of $6,134 resulting in a gain on bond extinguishment of $855, net of deferred financing costs written-off. During the nine month period ended September 30, 2021, the Company repurchased $21,356 in par value of the 2022 Notes for cash consideration of $18,588 resulting in a gain on bond extinguishment of $2,728, net of deferred financing costs written-off.</w:t>
      </w:r>
    </w:p>
    <w:p>
      <w:pPr>
        <w:spacing w:after="0" w:line="18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January 2022, the Company fully repaid the outstanding balance of $455,466 on the 2022 Notes using (i) $206,725 under two credit facilities with commercial banks; (ii) $77,000 under four sale and leaseback agreements; (iii) $100,000 of additional financing from NSM; and (iv) cash from operations. In addition, as of December 31, 2021, $158,873 of 2022 Notes held by the Company that had previously been pledged as collateral to NSM, were cancelled.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Hamburg Commercial Bank AG</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December 2021, Navios Holdings entered into a loan agreement with Hamburg Commercial Bank AG (“HCOB”) for an amount of $101,750, for the refinancing of seven dry bulk vessels. On January 5, 2022, the amount under this facility was fully drawn. The loan bore interest at a rate of LIBOR plus a margin, which ranged from 3.25% per annum to 4.50% per annum. In March 2022, Navios Holdings prepaid an amount of $10,380 and one dry bulk vessel was released. The remaining loan balance of $91,345 was repayable in eight quarterly installments of $3,915, beginning three months from the date of the initial drawdown, with a final balloon payment of $60,027 on the last repayment date. The loan facility required compliance with certain covenants.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September 8, 2022, the outstanding balance of the secured credit facility was assumed by Navios Partners pursuant to the Transaction.</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Credit Agricole CIB/ BNP Paribas</w:t>
      </w:r>
    </w:p>
    <w:p>
      <w:pPr>
        <w:spacing w:after="0" w:line="117"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In December 2021, Navios Holdings entered into a loan agreement with Credit Agricole CIB (“CACIB”) and BNP Paribas (“BNPP”) for an amount of $105,000, for the refinancing of seven dry bulk vessels. On January 5, 2022, the amount under this facility was fully drawn. The loan bore interest at a rate of LIBOR plus a margin, which ranged from 2.85% per annum to 3.75% per annum. The loan was repayable in four quarterly installments of $6,500, beginning three months from the date of the initial drawdown, followed by eight consecutive quarterly installments of $4,750 with a final balloon payment of $41,000 on the last repayment date. The loan facility required compliance with certain covenants, as described below.</w:t>
      </w:r>
    </w:p>
    <w:p>
      <w:pPr>
        <w:spacing w:after="0" w:line="161" w:lineRule="exact"/>
        <w:rPr>
          <w:sz w:val="20"/>
          <w:szCs w:val="20"/>
          <w:color w:val="auto"/>
        </w:rPr>
      </w:pPr>
    </w:p>
    <w:p>
      <w:pPr>
        <w:jc w:val="center"/>
        <w:ind w:left="420" w:right="460"/>
        <w:spacing w:after="0" w:line="449" w:lineRule="auto"/>
        <w:rPr>
          <w:sz w:val="20"/>
          <w:szCs w:val="20"/>
          <w:color w:val="auto"/>
        </w:rPr>
      </w:pPr>
      <w:r>
        <w:rPr>
          <w:rFonts w:ascii="Arial" w:cs="Arial" w:eastAsia="Arial" w:hAnsi="Arial"/>
          <w:sz w:val="18"/>
          <w:szCs w:val="18"/>
          <w:color w:val="auto"/>
        </w:rPr>
        <w:t>As of September 8, 2022, the outstanding balance of the secured credit facility was assumed by Navios Partners pursuant to the Transaction. F-27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CONDENSED NOTES TO THE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(Expressed in thousands of U.S. dollars — except share data)</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 and Leaseback Agreements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the first quarter of 2020, the Company entered into two sale and leaseback agreements of $68,000 in total, with unrelated third parties for two Capesize vessels. Navios Holdings had no purchase obligation to acquire the vessels at the end of the lease term, however, it was reasonably certain that respective purchase options would be exercised and under ASC 842-40, the transfer of the vessels were determined to be a failed sale. In accordance with ASC 842-40, the Company did not derecognize the respective vessels from its balance sheet and accounted for the amounts received under the sale and leaseback agreements as a financial liability.</w:t>
      </w:r>
    </w:p>
    <w:p>
      <w:pPr>
        <w:spacing w:after="0" w:line="18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December 2021, Navios Holdings entered into four new sale and leaseback agreements of $77,000 in total, with unrelated third parties, in order to finance four dry bulk vessels. In December 2021, three of the four new sale and leaseback agreements were drawn down amounting to $58,000 in total.</w:t>
      </w:r>
    </w:p>
    <w:p>
      <w:pPr>
        <w:spacing w:after="0" w:line="184" w:lineRule="exact"/>
        <w:rPr>
          <w:sz w:val="20"/>
          <w:szCs w:val="20"/>
          <w:color w:val="auto"/>
        </w:rPr>
      </w:pPr>
    </w:p>
    <w:p>
      <w:pPr>
        <w:ind w:left="120" w:right="340" w:firstLine="440"/>
        <w:spacing w:after="0" w:line="291" w:lineRule="auto"/>
        <w:rPr>
          <w:sz w:val="20"/>
          <w:szCs w:val="20"/>
          <w:color w:val="auto"/>
        </w:rPr>
      </w:pPr>
      <w:r>
        <w:rPr>
          <w:rFonts w:ascii="Arial" w:cs="Arial" w:eastAsia="Arial" w:hAnsi="Arial"/>
          <w:sz w:val="16"/>
          <w:szCs w:val="16"/>
          <w:color w:val="auto"/>
        </w:rPr>
        <w:t>Two of sale and leaseback agreements were repayable by 96 consecutive payments of approximately $481 each, commencing as of December 2021. One sale and leaseback agreement was repayable by 72 consecutive monthly payments of approximately $688, commencing as of December</w:t>
      </w:r>
    </w:p>
    <w:p>
      <w:pPr>
        <w:ind w:left="120"/>
        <w:spacing w:after="0" w:line="273" w:lineRule="auto"/>
        <w:rPr>
          <w:sz w:val="20"/>
          <w:szCs w:val="20"/>
          <w:color w:val="auto"/>
        </w:rPr>
      </w:pPr>
      <w:r>
        <w:rPr>
          <w:rFonts w:ascii="Arial" w:cs="Arial" w:eastAsia="Arial" w:hAnsi="Arial"/>
          <w:sz w:val="17"/>
          <w:szCs w:val="17"/>
          <w:color w:val="auto"/>
        </w:rPr>
        <w:t>2021. Two of the agreements mature in the fourth quarter of 2029 and one in the fourth quarter of 2027, respectively, with a balloon payment of $3,600 for each of the two sale and leaseback agreements and $3,500 for one sale and leaseback agreement on the last repayment date. The fourth sale and leaseback agreement amounting to $19,000 was drawn down in January 2022, and was repayable by 84 consecutive monthly payments of approximately $643. The fourth sale and leaseback agreement matures in the first quarter of 2029 with a balloon payment of $1,000.</w:t>
      </w:r>
    </w:p>
    <w:p>
      <w:pPr>
        <w:spacing w:after="0" w:line="176"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In March 2022, Navios Holdings entered into a sale and leaseback agreement to finance one dry bulk vessel. The sale and leaseback agreement amounting to $12,000 was drawn down in March 2022, and was repayable by 60 consecutive monthly payments of approximately $521. The sale and leaseback agreement matures in the first quarter of 2027 with a balloon payment of $1,600.</w:t>
      </w:r>
    </w:p>
    <w:p>
      <w:pPr>
        <w:spacing w:after="0" w:line="184" w:lineRule="exact"/>
        <w:rPr>
          <w:sz w:val="20"/>
          <w:szCs w:val="20"/>
          <w:color w:val="auto"/>
        </w:rPr>
      </w:pPr>
    </w:p>
    <w:p>
      <w:pPr>
        <w:ind w:left="120" w:right="340" w:firstLine="440"/>
        <w:spacing w:after="0" w:line="279" w:lineRule="auto"/>
        <w:rPr>
          <w:sz w:val="20"/>
          <w:szCs w:val="20"/>
          <w:color w:val="auto"/>
        </w:rPr>
      </w:pPr>
      <w:r>
        <w:rPr>
          <w:rFonts w:ascii="Arial" w:cs="Arial" w:eastAsia="Arial" w:hAnsi="Arial"/>
          <w:sz w:val="17"/>
          <w:szCs w:val="17"/>
          <w:color w:val="auto"/>
        </w:rPr>
        <w:t>In the third quarter of 2022, Navios Holdings completed the acquisition of a previously chartered-in vessel, Navios Sky. In the third quarter of 2022, the Company entered into a sale and leaseback agreement to finance the vessel. The sale and leaseback agreement amounting to $22,000 was drawn down in the third quarter 2022, and was repayable by 120 consecutive monthly payments of approximately $158. The sale and leaseback agreement matures in the third quarter of 2032 with a balloon payment of $3,000.</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sale and leaseback agreements had no financial covenants.</w:t>
      </w:r>
    </w:p>
    <w:p>
      <w:pPr>
        <w:spacing w:after="0" w:line="225"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As of September 8, 2022, the outstanding balances of the sale and leaseback agreements were assumed by Navios Partners pursuant to the Transaction.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In June 2021, the Company acquired a previously charter-in vessel, Navios Koyo, for which the Company wrote off an amount of $3,952, the net operating lease liability as of that date. The amount was taken into consideration as part of the $12,541 gain on sale recorded under the caption “Net income from discontinued operations” in the accompanying unaudited condensed consolidated statement of comprehensive income.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Finance Leases</w:t>
      </w:r>
    </w:p>
    <w:p>
      <w:pPr>
        <w:spacing w:after="0" w:line="11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In the second quarter of 2022, the Company exercised the option to purchase the charter-in vessel Navios Sky. In accordance with ASC 842, the Company re-assessed the respective lease agreement and concluded the option would be accounted for as a lease modification. Up to the delivery of the vessel, which occurred in the third quarter, the corresponding interest expense of $6 and $872 on the finance lease liability for the three and nine month periods ended September 30, 2022, respectively, was included under the caption “Net income from discontinued operations” and the corresponding depreciation of $66 and $229 on the finance lease asset for the three and nine month periods ended September 30, 2022, respectively, was included under the caption “Net income from discontinued operations”. Upon the delivery of the vessel, which occurred in the third quarter, and prior to the Transaction, total balance of finance lease asset was transferred to “Vessels, port terminals and other fixed assets, net”.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16: SUBSEQUENT EVENTS</w:t>
      </w:r>
    </w:p>
    <w:p>
      <w:pPr>
        <w:spacing w:after="0" w:line="135" w:lineRule="exact"/>
        <w:rPr>
          <w:sz w:val="20"/>
          <w:szCs w:val="20"/>
          <w:color w:val="auto"/>
        </w:rPr>
      </w:pPr>
    </w:p>
    <w:p>
      <w:pPr>
        <w:ind w:left="1080" w:right="80" w:hanging="532"/>
        <w:spacing w:after="0" w:line="254"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September 14, 2022, Navios Holdings commenced a tender offer to purchase up to $20,000 of the outstanding Series G ADSs and Series H ADSs. As of the completion of Navios Holdings’ tender offer on October 21, 2022, a total of 20,185 Series G ADSs were validly tendered in exchange for aggregate cash consideration of $318, and a total of 584,158 Series H ADSs were validly tendered in exchange for aggregate cash consideration of $8,926. After giving effect to the consummation of the tender offer, Navios Holdings has 514,720 outstanding Series G ADSs and 1,183,944 outstanding Series H ADSs, which represent 1/100th of a share of 8.75% Series G Cumulative Redeemable Perpetual Preferred Stock and 1/100th of a Share of 8.625% Series H Cumulative Redeemable Perpetual Preferred Stock, respectively.</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UNAUDITED CONDENSED NOTES TO THE</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(Expressed in thousands of U.S. dollars — except share data)</w:t>
      </w:r>
    </w:p>
    <w:p>
      <w:pPr>
        <w:spacing w:after="0" w:line="143" w:lineRule="exact"/>
        <w:rPr>
          <w:sz w:val="20"/>
          <w:szCs w:val="20"/>
          <w:color w:val="auto"/>
        </w:rPr>
      </w:pPr>
    </w:p>
    <w:p>
      <w:pPr>
        <w:ind w:left="108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October 24, 2022, the Company completed the sale of the vessel Malva H. Please see also Note 4 “Vessels, port terminals and other fixed assets, net”.</w:t>
      </w:r>
    </w:p>
    <w:p>
      <w:pPr>
        <w:spacing w:after="0" w:line="1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0820"/>
          </w:cols>
          <w:pgMar w:left="320" w:top="459" w:right="7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NAVIOS MARITIME HOLDINGS INC.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/s/ 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25628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Angeliki Frangou</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December 12, 2022</w:t>
      </w:r>
    </w:p>
    <w:sectPr>
      <w:pgSz w:w="11900" w:h="16838" w:orient="portrait"/>
      <w:cols w:equalWidth="0" w:num="1">
        <w:col w:w="10900"/>
      </w:cols>
      <w:pgMar w:left="320" w:top="459"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Roman"/>
      <w:start w:val="1"/>
    </w:lvl>
  </w:abstractNum>
  <w:abstractNum w:abstractNumId="3">
    <w:nsid w:val="1F16E9E8"/>
    <w:multiLevelType w:val="hybridMultilevel"/>
    <w:lvl w:ilvl="0">
      <w:lvlJc w:val="left"/>
      <w:lvlText w:val="(%1)"/>
      <w:numFmt w:val="lowerLetter"/>
      <w:start w:val="2"/>
    </w:lvl>
  </w:abstractNum>
  <w:abstractNum w:abstractNumId="4">
    <w:nsid w:val="1190CDE7"/>
    <w:multiLevelType w:val="hybridMultilevel"/>
    <w:lvl w:ilvl="0">
      <w:lvlJc w:val="left"/>
      <w:lvlText w:val="(%1)"/>
      <w:numFmt w:val="lowerRoman"/>
      <w:start w:val="7"/>
    </w:lvl>
  </w:abstractNum>
  <w:abstractNum w:abstractNumId="5">
    <w:nsid w:val="66EF438D"/>
    <w:multiLevelType w:val="hybridMultilevel"/>
    <w:lvl w:ilvl="0">
      <w:lvlJc w:val="left"/>
      <w:lvlText w:val="(%1)"/>
      <w:numFmt w:val="lowerRoman"/>
      <w:start w:val="1"/>
    </w:lvl>
  </w:abstractNum>
  <w:abstractNum w:abstractNumId="6">
    <w:nsid w:val="140E0F76"/>
    <w:multiLevelType w:val="hybridMultilevel"/>
    <w:lvl w:ilvl="0">
      <w:lvlJc w:val="left"/>
      <w:lvlText w:val="(%1)"/>
      <w:numFmt w:val="lowerRoman"/>
      <w:start w:val="4"/>
    </w:lvl>
  </w:abstractNum>
  <w:abstractNum w:abstractNumId="7">
    <w:nsid w:val="3352255A"/>
    <w:multiLevelType w:val="hybridMultilevel"/>
    <w:lvl w:ilvl="0">
      <w:lvlJc w:val="left"/>
      <w:lvlText w:val="(%1)"/>
      <w:numFmt w:val="lowerRoman"/>
      <w:start w:val="2"/>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lowerLetter"/>
      <w:start w:val="2"/>
    </w:lvl>
  </w:abstractNum>
  <w:abstractNum w:abstractNumId="10">
    <w:nsid w:val="7FDCC233"/>
    <w:multiLevelType w:val="hybridMultilevel"/>
    <w:lvl w:ilvl="0">
      <w:lvlJc w:val="left"/>
      <w:lvlText w:val="(%1)"/>
      <w:numFmt w:val="lowerLetter"/>
      <w:start w:val="3"/>
    </w:lvl>
  </w:abstractNum>
  <w:abstractNum w:abstractNumId="11">
    <w:nsid w:val="1BEFD79F"/>
    <w:multiLevelType w:val="hybridMultilevel"/>
    <w:lvl w:ilvl="0">
      <w:lvlJc w:val="left"/>
      <w:lvlText w:val="(%1)"/>
      <w:numFmt w:val="lowerLetter"/>
      <w:start w:val="4"/>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2022-12-12T15:15:27Z</dcterms:created>
  <dcterms:modified xsi:type="dcterms:W3CDTF">2022-12-12T15:15:27Z</dcterms:modified>
</cp:coreProperties>
</file>