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40" w:right="140" w:hanging="424"/>
        <w:spacing w:after="0" w:line="236"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REGISTRATION STATEMENT PURSUANT TO SECTION 12(b) OR (g) OF THE SECURITIES EXCHANGE ACT OF 1934</w:t>
      </w:r>
    </w:p>
    <w:p>
      <w:pPr>
        <w:spacing w:after="0" w:line="19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24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 the fiscal year ended December 31, 2020</w:t>
      </w:r>
    </w:p>
    <w:p>
      <w:pPr>
        <w:spacing w:after="0" w:line="225"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540" w:right="40" w:hanging="424"/>
        <w:spacing w:after="0" w:line="256" w:lineRule="auto"/>
        <w:tabs>
          <w:tab w:leader="none" w:pos="540" w:val="left"/>
        </w:tabs>
        <w:numPr>
          <w:ilvl w:val="0"/>
          <w:numId w:val="3"/>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1"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540" w:right="400" w:hanging="424"/>
        <w:spacing w:after="0" w:line="256" w:lineRule="auto"/>
        <w:tabs>
          <w:tab w:leader="none" w:pos="540" w:val="left"/>
        </w:tabs>
        <w:numPr>
          <w:ilvl w:val="0"/>
          <w:numId w:val="4"/>
        </w:numPr>
        <w:rPr>
          <w:rFonts w:ascii="MS PGothic" w:cs="MS PGothic" w:eastAsia="MS PGothic" w:hAnsi="MS PGothic"/>
          <w:sz w:val="22"/>
          <w:szCs w:val="22"/>
          <w:color w:val="auto"/>
        </w:rPr>
      </w:pPr>
      <w:r>
        <w:rPr>
          <w:rFonts w:ascii="Arial" w:cs="Arial" w:eastAsia="Arial" w:hAnsi="Arial"/>
          <w:sz w:val="22"/>
          <w:szCs w:val="22"/>
          <w:b w:val="1"/>
          <w:bCs w:val="1"/>
          <w:color w:val="auto"/>
        </w:rPr>
        <w:t>SHELL COMPANY REPORT PURSUANT TO SECTION 13 OR 15(d) OF THE SECURITIES EXCHANGE ACT OF 1934</w:t>
      </w:r>
    </w:p>
    <w:p>
      <w:pPr>
        <w:spacing w:after="0" w:line="171" w:lineRule="exact"/>
        <w:rPr>
          <w:sz w:val="24"/>
          <w:szCs w:val="24"/>
          <w:color w:val="auto"/>
        </w:rPr>
      </w:pPr>
    </w:p>
    <w:p>
      <w:pPr>
        <w:jc w:val="center"/>
        <w:ind w:right="620"/>
        <w:spacing w:after="0"/>
        <w:rPr>
          <w:sz w:val="20"/>
          <w:szCs w:val="20"/>
          <w:color w:val="auto"/>
        </w:rPr>
      </w:pPr>
      <w:r>
        <w:rPr>
          <w:rFonts w:ascii="Arial" w:cs="Arial" w:eastAsia="Arial" w:hAnsi="Arial"/>
          <w:sz w:val="18"/>
          <w:szCs w:val="18"/>
          <w:b w:val="1"/>
          <w:bCs w:val="1"/>
          <w:color w:val="auto"/>
        </w:rPr>
        <w:t>Date of event requiring shell company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4452620</wp:posOffset>
            </wp:positionH>
            <wp:positionV relativeFrom="paragraph">
              <wp:posOffset>-7620</wp:posOffset>
            </wp:positionV>
            <wp:extent cx="4572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205" w:lineRule="exact"/>
        <w:rPr>
          <w:sz w:val="24"/>
          <w:szCs w:val="24"/>
          <w:color w:val="auto"/>
        </w:rPr>
      </w:pPr>
    </w:p>
    <w:p>
      <w:pPr>
        <w:ind w:left="360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3790950</wp:posOffset>
            </wp:positionH>
            <wp:positionV relativeFrom="paragraph">
              <wp:posOffset>-7620</wp:posOffset>
            </wp:positionV>
            <wp:extent cx="10661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66165" cy="8255"/>
                    </a:xfrm>
                    <a:prstGeom prst="rect">
                      <a:avLst/>
                    </a:prstGeom>
                    <a:noFill/>
                  </pic:spPr>
                </pic:pic>
              </a:graphicData>
            </a:graphic>
          </wp:anchor>
        </w:drawing>
      </w:r>
    </w:p>
    <w:p>
      <w:pPr>
        <w:spacing w:after="0" w:line="205"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Commission file number</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001-33311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228600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Navios Maritime Holdings Inc.</w:t>
      </w:r>
    </w:p>
    <w:p>
      <w:pPr>
        <w:spacing w:after="0" w:line="5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(Translation of Registrant’s Name into English)</w:t>
      </w:r>
    </w:p>
    <w:p>
      <w:pPr>
        <w:spacing w:after="0" w:line="19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Republic of Marshall Islands</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(Jurisdiction of incorporation or organization)</w:t>
      </w:r>
    </w:p>
    <w:p>
      <w:pPr>
        <w:spacing w:after="0" w:line="19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Strathvale House, 90 N Church Street,</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P.O. Box 309, Grand Cayman,</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KY1-1104 Cayman Islands</w:t>
      </w:r>
    </w:p>
    <w:p>
      <w:pPr>
        <w:spacing w:after="0" w:line="2"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Mark Hayek</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Fried, Frank, Harris, Shriver &amp; Jacobson LLP</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One New York Plaza</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New York, New York 10004</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Tel: (212) 859-8000</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Fax: (212) 859-4000</w:t>
      </w:r>
    </w:p>
    <w:p>
      <w:pPr>
        <w:spacing w:after="0" w:line="2"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(Name, Telephone, E-mail and/or Facsimile number and Address of Company Contact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219075</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registered or to be registered pursuant to Section 12(b) of the Act:</w:t>
      </w:r>
    </w:p>
    <w:p>
      <w:pPr>
        <w:spacing w:after="0" w:line="235" w:lineRule="exact"/>
        <w:rPr>
          <w:sz w:val="24"/>
          <w:szCs w:val="24"/>
          <w:color w:val="auto"/>
        </w:rPr>
      </w:pPr>
    </w:p>
    <w:tbl>
      <w:tblPr>
        <w:tblLayout w:type="fixed"/>
        <w:tblInd w:w="1440" w:type="dxa"/>
        <w:tblCellMar>
          <w:top w:w="0" w:type="dxa"/>
          <w:left w:w="0" w:type="dxa"/>
          <w:bottom w:w="0" w:type="dxa"/>
          <w:right w:w="0" w:type="dxa"/>
        </w:tblCellMar>
      </w:tblPr>
      <w:tr>
        <w:trPr>
          <w:trHeight w:val="161"/>
        </w:trPr>
        <w:tc>
          <w:tcPr>
            <w:tcW w:w="2560" w:type="dxa"/>
            <w:vAlign w:val="bottom"/>
            <w:vMerge w:val="restart"/>
          </w:tcPr>
          <w:p>
            <w:pPr>
              <w:spacing w:after="0"/>
              <w:rPr>
                <w:sz w:val="20"/>
                <w:szCs w:val="20"/>
                <w:color w:val="auto"/>
              </w:rPr>
            </w:pPr>
            <w:r>
              <w:rPr>
                <w:rFonts w:ascii="Arial" w:cs="Arial" w:eastAsia="Arial" w:hAnsi="Arial"/>
                <w:sz w:val="14"/>
                <w:szCs w:val="14"/>
                <w:b w:val="1"/>
                <w:bCs w:val="1"/>
                <w:color w:val="auto"/>
              </w:rPr>
              <w:t>Title of each class</w:t>
            </w:r>
          </w:p>
        </w:tc>
        <w:tc>
          <w:tcPr>
            <w:tcW w:w="3320" w:type="dxa"/>
            <w:vAlign w:val="bottom"/>
          </w:tcPr>
          <w:p>
            <w:pPr>
              <w:ind w:left="1500"/>
              <w:spacing w:after="0"/>
              <w:rPr>
                <w:sz w:val="20"/>
                <w:szCs w:val="20"/>
                <w:color w:val="auto"/>
              </w:rPr>
            </w:pPr>
            <w:r>
              <w:rPr>
                <w:rFonts w:ascii="Arial" w:cs="Arial" w:eastAsia="Arial" w:hAnsi="Arial"/>
                <w:sz w:val="14"/>
                <w:szCs w:val="14"/>
                <w:b w:val="1"/>
                <w:bCs w:val="1"/>
                <w:color w:val="auto"/>
              </w:rPr>
              <w:t>Trading</w:t>
            </w:r>
          </w:p>
        </w:tc>
        <w:tc>
          <w:tcPr>
            <w:tcW w:w="2760" w:type="dxa"/>
            <w:vAlign w:val="bottom"/>
          </w:tcPr>
          <w:p>
            <w:pPr>
              <w:jc w:val="center"/>
              <w:ind w:left="1268"/>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6"/>
        </w:trPr>
        <w:tc>
          <w:tcPr>
            <w:tcW w:w="2560" w:type="dxa"/>
            <w:vAlign w:val="bottom"/>
            <w:vMerge w:val="continue"/>
          </w:tcPr>
          <w:p>
            <w:pPr>
              <w:spacing w:after="0"/>
              <w:rPr>
                <w:sz w:val="16"/>
                <w:szCs w:val="16"/>
                <w:color w:val="auto"/>
              </w:rPr>
            </w:pPr>
          </w:p>
        </w:tc>
        <w:tc>
          <w:tcPr>
            <w:tcW w:w="3320" w:type="dxa"/>
            <w:vAlign w:val="bottom"/>
          </w:tcPr>
          <w:p>
            <w:pPr>
              <w:ind w:left="1500"/>
              <w:spacing w:after="0"/>
              <w:rPr>
                <w:sz w:val="20"/>
                <w:szCs w:val="20"/>
                <w:color w:val="auto"/>
              </w:rPr>
            </w:pPr>
            <w:r>
              <w:rPr>
                <w:rFonts w:ascii="Arial" w:cs="Arial" w:eastAsia="Arial" w:hAnsi="Arial"/>
                <w:sz w:val="14"/>
                <w:szCs w:val="14"/>
                <w:b w:val="1"/>
                <w:bCs w:val="1"/>
                <w:color w:val="auto"/>
              </w:rPr>
              <w:t>Symbol</w:t>
            </w:r>
          </w:p>
        </w:tc>
        <w:tc>
          <w:tcPr>
            <w:tcW w:w="2760" w:type="dxa"/>
            <w:vAlign w:val="bottom"/>
          </w:tcPr>
          <w:p>
            <w:pPr>
              <w:jc w:val="center"/>
              <w:ind w:left="1268"/>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00"/>
          </w:cols>
          <w:pgMar w:left="320" w:top="230" w:right="479" w:bottom="0" w:gutter="0" w:footer="0" w:header="0"/>
        </w:sectPr>
      </w:pPr>
    </w:p>
    <w:p>
      <w:pPr>
        <w:ind w:left="280"/>
        <w:spacing w:after="0"/>
        <w:tabs>
          <w:tab w:leader="none" w:pos="5560" w:val="left"/>
          <w:tab w:leader="none" w:pos="8160" w:val="left"/>
        </w:tabs>
        <w:rPr>
          <w:sz w:val="20"/>
          <w:szCs w:val="20"/>
          <w:color w:val="auto"/>
        </w:rPr>
      </w:pPr>
      <w:r>
        <w:rPr>
          <w:rFonts w:ascii="Arial" w:cs="Arial" w:eastAsia="Arial" w:hAnsi="Arial"/>
          <w:sz w:val="18"/>
          <w:szCs w:val="18"/>
          <w:b w:val="1"/>
          <w:bCs w:val="1"/>
          <w:color w:val="auto"/>
        </w:rPr>
        <w:t>Common Stock, par value $0.0001 per share</w:t>
      </w:r>
      <w:r>
        <w:rPr>
          <w:sz w:val="20"/>
          <w:szCs w:val="20"/>
          <w:color w:val="auto"/>
        </w:rPr>
        <w:tab/>
      </w:r>
      <w:r>
        <w:rPr>
          <w:rFonts w:ascii="Arial" w:cs="Arial" w:eastAsia="Arial" w:hAnsi="Arial"/>
          <w:sz w:val="18"/>
          <w:szCs w:val="18"/>
          <w:b w:val="1"/>
          <w:bCs w:val="1"/>
          <w:color w:val="auto"/>
        </w:rPr>
        <w:t>NM</w:t>
      </w:r>
      <w:r>
        <w:rPr>
          <w:sz w:val="20"/>
          <w:szCs w:val="20"/>
          <w:color w:val="auto"/>
        </w:rPr>
        <w:tab/>
      </w:r>
      <w:r>
        <w:rPr>
          <w:rFonts w:ascii="Arial" w:cs="Arial" w:eastAsia="Arial" w:hAnsi="Arial"/>
          <w:sz w:val="16"/>
          <w:szCs w:val="16"/>
          <w:b w:val="1"/>
          <w:bCs w:val="1"/>
          <w:color w:val="auto"/>
        </w:rPr>
        <w:t>The New York Stock Exchange</w:t>
      </w:r>
    </w:p>
    <w:p>
      <w:pPr>
        <w:sectPr>
          <w:pgSz w:w="11900" w:h="16838" w:orient="portrait"/>
          <w:cols w:equalWidth="0" w:num="1">
            <w:col w:w="11100"/>
          </w:cols>
          <w:pgMar w:left="320" w:top="230" w:right="479" w:bottom="0" w:gutter="0" w:footer="0" w:header="0"/>
          <w:type w:val="continuous"/>
        </w:sectPr>
      </w:pPr>
    </w:p>
    <w:bookmarkStart w:id="1" w:name="page2"/>
    <w:bookmarkEnd w:id="1"/>
    <w:tbl>
      <w:tblPr>
        <w:tblLayout w:type="fixed"/>
        <w:tblInd w:w="44" w:type="dxa"/>
        <w:tblCellMar>
          <w:top w:w="0" w:type="dxa"/>
          <w:left w:w="0" w:type="dxa"/>
          <w:bottom w:w="0" w:type="dxa"/>
          <w:right w:w="0" w:type="dxa"/>
        </w:tblCellMar>
      </w:tblPr>
      <w:tr>
        <w:trPr>
          <w:trHeight w:val="216"/>
        </w:trPr>
        <w:tc>
          <w:tcPr>
            <w:tcW w:w="4460" w:type="dxa"/>
            <w:vAlign w:val="bottom"/>
          </w:tcPr>
          <w:p>
            <w:pPr>
              <w:jc w:val="center"/>
              <w:ind w:right="730"/>
              <w:spacing w:after="0"/>
              <w:rPr>
                <w:sz w:val="20"/>
                <w:szCs w:val="20"/>
                <w:color w:val="auto"/>
              </w:rPr>
            </w:pPr>
            <w:r>
              <w:rPr>
                <w:rFonts w:ascii="Arial" w:cs="Arial" w:eastAsia="Arial" w:hAnsi="Arial"/>
                <w:sz w:val="18"/>
                <w:szCs w:val="18"/>
                <w:b w:val="1"/>
                <w:bCs w:val="1"/>
                <w:color w:val="auto"/>
                <w:w w:val="91"/>
              </w:rPr>
              <w:t>8.75% Series G Cumulative Redeemable</w:t>
            </w:r>
          </w:p>
        </w:tc>
        <w:tc>
          <w:tcPr>
            <w:tcW w:w="2460" w:type="dxa"/>
            <w:vAlign w:val="bottom"/>
          </w:tcPr>
          <w:p>
            <w:pPr>
              <w:spacing w:after="0"/>
              <w:rPr>
                <w:sz w:val="18"/>
                <w:szCs w:val="18"/>
                <w:color w:val="auto"/>
              </w:rPr>
            </w:pPr>
          </w:p>
        </w:tc>
        <w:tc>
          <w:tcPr>
            <w:tcW w:w="3540" w:type="dxa"/>
            <w:vAlign w:val="bottom"/>
          </w:tcPr>
          <w:p>
            <w:pPr>
              <w:jc w:val="center"/>
              <w:ind w:left="950"/>
              <w:spacing w:after="0"/>
              <w:rPr>
                <w:sz w:val="20"/>
                <w:szCs w:val="20"/>
                <w:color w:val="auto"/>
              </w:rPr>
            </w:pPr>
            <w:r>
              <w:rPr>
                <w:rFonts w:ascii="Arial" w:cs="Arial" w:eastAsia="Arial" w:hAnsi="Arial"/>
                <w:sz w:val="18"/>
                <w:szCs w:val="18"/>
                <w:b w:val="1"/>
                <w:bCs w:val="1"/>
                <w:color w:val="auto"/>
                <w:w w:val="91"/>
              </w:rPr>
              <w:t>The New York Stock Exchange*</w:t>
            </w:r>
          </w:p>
        </w:tc>
      </w:tr>
      <w:tr>
        <w:trPr>
          <w:trHeight w:val="216"/>
        </w:trPr>
        <w:tc>
          <w:tcPr>
            <w:tcW w:w="4460" w:type="dxa"/>
            <w:vAlign w:val="bottom"/>
          </w:tcPr>
          <w:p>
            <w:pPr>
              <w:jc w:val="center"/>
              <w:ind w:right="710"/>
              <w:spacing w:after="0"/>
              <w:rPr>
                <w:sz w:val="20"/>
                <w:szCs w:val="20"/>
                <w:color w:val="auto"/>
              </w:rPr>
            </w:pPr>
            <w:r>
              <w:rPr>
                <w:rFonts w:ascii="Arial" w:cs="Arial" w:eastAsia="Arial" w:hAnsi="Arial"/>
                <w:sz w:val="18"/>
                <w:szCs w:val="18"/>
                <w:b w:val="1"/>
                <w:bCs w:val="1"/>
                <w:color w:val="auto"/>
                <w:w w:val="90"/>
              </w:rPr>
              <w:t>Perpetual Preferred Stock, par value $0.0001</w:t>
            </w:r>
          </w:p>
        </w:tc>
        <w:tc>
          <w:tcPr>
            <w:tcW w:w="2460" w:type="dxa"/>
            <w:vAlign w:val="bottom"/>
          </w:tcPr>
          <w:p>
            <w:pPr>
              <w:spacing w:after="0"/>
              <w:rPr>
                <w:sz w:val="18"/>
                <w:szCs w:val="18"/>
                <w:color w:val="auto"/>
              </w:rPr>
            </w:pPr>
          </w:p>
        </w:tc>
        <w:tc>
          <w:tcPr>
            <w:tcW w:w="3540" w:type="dxa"/>
            <w:vAlign w:val="bottom"/>
          </w:tcPr>
          <w:p>
            <w:pPr>
              <w:spacing w:after="0"/>
              <w:rPr>
                <w:sz w:val="18"/>
                <w:szCs w:val="18"/>
                <w:color w:val="auto"/>
              </w:rPr>
            </w:pPr>
          </w:p>
        </w:tc>
      </w:tr>
      <w:tr>
        <w:trPr>
          <w:trHeight w:val="216"/>
        </w:trPr>
        <w:tc>
          <w:tcPr>
            <w:tcW w:w="4460" w:type="dxa"/>
            <w:vAlign w:val="bottom"/>
          </w:tcPr>
          <w:p>
            <w:pPr>
              <w:jc w:val="center"/>
              <w:ind w:right="710"/>
              <w:spacing w:after="0"/>
              <w:rPr>
                <w:sz w:val="20"/>
                <w:szCs w:val="20"/>
                <w:color w:val="auto"/>
              </w:rPr>
            </w:pPr>
            <w:r>
              <w:rPr>
                <w:rFonts w:ascii="Arial" w:cs="Arial" w:eastAsia="Arial" w:hAnsi="Arial"/>
                <w:sz w:val="18"/>
                <w:szCs w:val="18"/>
                <w:b w:val="1"/>
                <w:bCs w:val="1"/>
                <w:color w:val="auto"/>
                <w:w w:val="89"/>
              </w:rPr>
              <w:t>per share (“Series G”)</w:t>
            </w:r>
          </w:p>
        </w:tc>
        <w:tc>
          <w:tcPr>
            <w:tcW w:w="2460" w:type="dxa"/>
            <w:vAlign w:val="bottom"/>
          </w:tcPr>
          <w:p>
            <w:pPr>
              <w:spacing w:after="0"/>
              <w:rPr>
                <w:sz w:val="18"/>
                <w:szCs w:val="18"/>
                <w:color w:val="auto"/>
              </w:rPr>
            </w:pPr>
          </w:p>
        </w:tc>
        <w:tc>
          <w:tcPr>
            <w:tcW w:w="3540" w:type="dxa"/>
            <w:vAlign w:val="bottom"/>
          </w:tcPr>
          <w:p>
            <w:pPr>
              <w:spacing w:after="0"/>
              <w:rPr>
                <w:sz w:val="18"/>
                <w:szCs w:val="18"/>
                <w:color w:val="auto"/>
              </w:rPr>
            </w:pPr>
          </w:p>
        </w:tc>
      </w:tr>
      <w:tr>
        <w:trPr>
          <w:trHeight w:val="216"/>
        </w:trPr>
        <w:tc>
          <w:tcPr>
            <w:tcW w:w="4460" w:type="dxa"/>
            <w:vAlign w:val="bottom"/>
          </w:tcPr>
          <w:p>
            <w:pPr>
              <w:jc w:val="center"/>
              <w:ind w:right="710"/>
              <w:spacing w:after="0"/>
              <w:rPr>
                <w:sz w:val="20"/>
                <w:szCs w:val="20"/>
                <w:color w:val="auto"/>
              </w:rPr>
            </w:pPr>
            <w:r>
              <w:rPr>
                <w:rFonts w:ascii="Arial" w:cs="Arial" w:eastAsia="Arial" w:hAnsi="Arial"/>
                <w:sz w:val="18"/>
                <w:szCs w:val="18"/>
                <w:b w:val="1"/>
                <w:bCs w:val="1"/>
                <w:color w:val="auto"/>
                <w:w w:val="89"/>
              </w:rPr>
              <w:t>American Depositary Shares, each representing</w:t>
            </w:r>
          </w:p>
        </w:tc>
        <w:tc>
          <w:tcPr>
            <w:tcW w:w="2460" w:type="dxa"/>
            <w:vAlign w:val="bottom"/>
          </w:tcPr>
          <w:p>
            <w:pPr>
              <w:ind w:left="820"/>
              <w:spacing w:after="0"/>
              <w:rPr>
                <w:sz w:val="20"/>
                <w:szCs w:val="20"/>
                <w:color w:val="auto"/>
              </w:rPr>
            </w:pPr>
            <w:r>
              <w:rPr>
                <w:rFonts w:ascii="Arial" w:cs="Arial" w:eastAsia="Arial" w:hAnsi="Arial"/>
                <w:sz w:val="18"/>
                <w:szCs w:val="18"/>
                <w:b w:val="1"/>
                <w:bCs w:val="1"/>
                <w:color w:val="auto"/>
              </w:rPr>
              <w:t>NM-PG</w:t>
            </w:r>
          </w:p>
        </w:tc>
        <w:tc>
          <w:tcPr>
            <w:tcW w:w="3540" w:type="dxa"/>
            <w:vAlign w:val="bottom"/>
          </w:tcPr>
          <w:p>
            <w:pPr>
              <w:jc w:val="center"/>
              <w:ind w:left="950"/>
              <w:spacing w:after="0"/>
              <w:rPr>
                <w:sz w:val="20"/>
                <w:szCs w:val="20"/>
                <w:color w:val="auto"/>
              </w:rPr>
            </w:pPr>
            <w:r>
              <w:rPr>
                <w:rFonts w:ascii="Arial" w:cs="Arial" w:eastAsia="Arial" w:hAnsi="Arial"/>
                <w:sz w:val="18"/>
                <w:szCs w:val="18"/>
                <w:b w:val="1"/>
                <w:bCs w:val="1"/>
                <w:color w:val="auto"/>
                <w:w w:val="90"/>
              </w:rPr>
              <w:t>The New York Stock Exchange</w:t>
            </w:r>
          </w:p>
        </w:tc>
      </w:tr>
      <w:tr>
        <w:trPr>
          <w:trHeight w:val="216"/>
        </w:trPr>
        <w:tc>
          <w:tcPr>
            <w:tcW w:w="4460" w:type="dxa"/>
            <w:vAlign w:val="bottom"/>
          </w:tcPr>
          <w:p>
            <w:pPr>
              <w:jc w:val="center"/>
              <w:ind w:right="710"/>
              <w:spacing w:after="0"/>
              <w:rPr>
                <w:sz w:val="20"/>
                <w:szCs w:val="20"/>
                <w:color w:val="auto"/>
              </w:rPr>
            </w:pPr>
            <w:r>
              <w:rPr>
                <w:rFonts w:ascii="Arial" w:cs="Arial" w:eastAsia="Arial" w:hAnsi="Arial"/>
                <w:sz w:val="18"/>
                <w:szCs w:val="18"/>
                <w:b w:val="1"/>
                <w:bCs w:val="1"/>
                <w:color w:val="auto"/>
                <w:w w:val="89"/>
              </w:rPr>
              <w:t>1/100</w:t>
            </w:r>
            <w:r>
              <w:rPr>
                <w:rFonts w:ascii="Arial" w:cs="Arial" w:eastAsia="Arial" w:hAnsi="Arial"/>
                <w:sz w:val="15"/>
                <w:szCs w:val="15"/>
                <w:b w:val="1"/>
                <w:bCs w:val="1"/>
                <w:color w:val="auto"/>
                <w:w w:val="89"/>
              </w:rPr>
              <w:t>th</w:t>
            </w:r>
            <w:r>
              <w:rPr>
                <w:rFonts w:ascii="Arial" w:cs="Arial" w:eastAsia="Arial" w:hAnsi="Arial"/>
                <w:sz w:val="18"/>
                <w:szCs w:val="18"/>
                <w:b w:val="1"/>
                <w:bCs w:val="1"/>
                <w:color w:val="auto"/>
                <w:w w:val="89"/>
              </w:rPr>
              <w:t xml:space="preserve"> of a Share of Series G</w:t>
            </w:r>
          </w:p>
        </w:tc>
        <w:tc>
          <w:tcPr>
            <w:tcW w:w="2460" w:type="dxa"/>
            <w:vAlign w:val="bottom"/>
          </w:tcPr>
          <w:p>
            <w:pPr>
              <w:spacing w:after="0"/>
              <w:rPr>
                <w:sz w:val="18"/>
                <w:szCs w:val="18"/>
                <w:color w:val="auto"/>
              </w:rPr>
            </w:pPr>
          </w:p>
        </w:tc>
        <w:tc>
          <w:tcPr>
            <w:tcW w:w="3540" w:type="dxa"/>
            <w:vAlign w:val="bottom"/>
          </w:tcPr>
          <w:p>
            <w:pPr>
              <w:spacing w:after="0"/>
              <w:rPr>
                <w:sz w:val="18"/>
                <w:szCs w:val="18"/>
                <w:color w:val="auto"/>
              </w:rPr>
            </w:pPr>
          </w:p>
        </w:tc>
      </w:tr>
      <w:tr>
        <w:trPr>
          <w:trHeight w:val="216"/>
        </w:trPr>
        <w:tc>
          <w:tcPr>
            <w:tcW w:w="4460" w:type="dxa"/>
            <w:vAlign w:val="bottom"/>
          </w:tcPr>
          <w:p>
            <w:pPr>
              <w:jc w:val="center"/>
              <w:ind w:right="730"/>
              <w:spacing w:after="0"/>
              <w:rPr>
                <w:sz w:val="20"/>
                <w:szCs w:val="20"/>
                <w:color w:val="auto"/>
              </w:rPr>
            </w:pPr>
            <w:r>
              <w:rPr>
                <w:rFonts w:ascii="Arial" w:cs="Arial" w:eastAsia="Arial" w:hAnsi="Arial"/>
                <w:sz w:val="18"/>
                <w:szCs w:val="18"/>
                <w:b w:val="1"/>
                <w:bCs w:val="1"/>
                <w:color w:val="auto"/>
                <w:w w:val="91"/>
              </w:rPr>
              <w:t>8.625% Series H Cumulative Redeemable</w:t>
            </w:r>
          </w:p>
        </w:tc>
        <w:tc>
          <w:tcPr>
            <w:tcW w:w="2460" w:type="dxa"/>
            <w:vAlign w:val="bottom"/>
          </w:tcPr>
          <w:p>
            <w:pPr>
              <w:spacing w:after="0"/>
              <w:rPr>
                <w:sz w:val="18"/>
                <w:szCs w:val="18"/>
                <w:color w:val="auto"/>
              </w:rPr>
            </w:pPr>
          </w:p>
        </w:tc>
        <w:tc>
          <w:tcPr>
            <w:tcW w:w="3540" w:type="dxa"/>
            <w:vAlign w:val="bottom"/>
          </w:tcPr>
          <w:p>
            <w:pPr>
              <w:jc w:val="center"/>
              <w:ind w:left="950"/>
              <w:spacing w:after="0"/>
              <w:rPr>
                <w:sz w:val="20"/>
                <w:szCs w:val="20"/>
                <w:color w:val="auto"/>
              </w:rPr>
            </w:pPr>
            <w:r>
              <w:rPr>
                <w:rFonts w:ascii="Arial" w:cs="Arial" w:eastAsia="Arial" w:hAnsi="Arial"/>
                <w:sz w:val="18"/>
                <w:szCs w:val="18"/>
                <w:b w:val="1"/>
                <w:bCs w:val="1"/>
                <w:color w:val="auto"/>
                <w:w w:val="90"/>
              </w:rPr>
              <w:t>The New York Stock Exchange *</w:t>
            </w:r>
          </w:p>
        </w:tc>
      </w:tr>
      <w:tr>
        <w:trPr>
          <w:trHeight w:val="216"/>
        </w:trPr>
        <w:tc>
          <w:tcPr>
            <w:tcW w:w="4460" w:type="dxa"/>
            <w:vAlign w:val="bottom"/>
          </w:tcPr>
          <w:p>
            <w:pPr>
              <w:jc w:val="center"/>
              <w:ind w:right="710"/>
              <w:spacing w:after="0"/>
              <w:rPr>
                <w:sz w:val="20"/>
                <w:szCs w:val="20"/>
                <w:color w:val="auto"/>
              </w:rPr>
            </w:pPr>
            <w:r>
              <w:rPr>
                <w:rFonts w:ascii="Arial" w:cs="Arial" w:eastAsia="Arial" w:hAnsi="Arial"/>
                <w:sz w:val="18"/>
                <w:szCs w:val="18"/>
                <w:b w:val="1"/>
                <w:bCs w:val="1"/>
                <w:color w:val="auto"/>
                <w:w w:val="90"/>
              </w:rPr>
              <w:t>Perpetual</w:t>
            </w:r>
          </w:p>
        </w:tc>
        <w:tc>
          <w:tcPr>
            <w:tcW w:w="2460" w:type="dxa"/>
            <w:vAlign w:val="bottom"/>
          </w:tcPr>
          <w:p>
            <w:pPr>
              <w:spacing w:after="0"/>
              <w:rPr>
                <w:sz w:val="18"/>
                <w:szCs w:val="18"/>
                <w:color w:val="auto"/>
              </w:rPr>
            </w:pPr>
          </w:p>
        </w:tc>
        <w:tc>
          <w:tcPr>
            <w:tcW w:w="3540" w:type="dxa"/>
            <w:vAlign w:val="bottom"/>
          </w:tcPr>
          <w:p>
            <w:pPr>
              <w:spacing w:after="0"/>
              <w:rPr>
                <w:sz w:val="18"/>
                <w:szCs w:val="18"/>
                <w:color w:val="auto"/>
              </w:rPr>
            </w:pPr>
          </w:p>
        </w:tc>
      </w:tr>
      <w:tr>
        <w:trPr>
          <w:trHeight w:val="216"/>
        </w:trPr>
        <w:tc>
          <w:tcPr>
            <w:tcW w:w="4460" w:type="dxa"/>
            <w:vAlign w:val="bottom"/>
          </w:tcPr>
          <w:p>
            <w:pPr>
              <w:jc w:val="center"/>
              <w:ind w:right="710"/>
              <w:spacing w:after="0"/>
              <w:rPr>
                <w:sz w:val="20"/>
                <w:szCs w:val="20"/>
                <w:color w:val="auto"/>
              </w:rPr>
            </w:pPr>
            <w:r>
              <w:rPr>
                <w:rFonts w:ascii="Arial" w:cs="Arial" w:eastAsia="Arial" w:hAnsi="Arial"/>
                <w:sz w:val="18"/>
                <w:szCs w:val="18"/>
                <w:b w:val="1"/>
                <w:bCs w:val="1"/>
                <w:color w:val="auto"/>
                <w:w w:val="90"/>
              </w:rPr>
              <w:t>Preferred Stock, par value $0.0001 per share</w:t>
            </w:r>
          </w:p>
        </w:tc>
        <w:tc>
          <w:tcPr>
            <w:tcW w:w="2460" w:type="dxa"/>
            <w:vAlign w:val="bottom"/>
          </w:tcPr>
          <w:p>
            <w:pPr>
              <w:spacing w:after="0"/>
              <w:rPr>
                <w:sz w:val="18"/>
                <w:szCs w:val="18"/>
                <w:color w:val="auto"/>
              </w:rPr>
            </w:pPr>
          </w:p>
        </w:tc>
        <w:tc>
          <w:tcPr>
            <w:tcW w:w="3540" w:type="dxa"/>
            <w:vAlign w:val="bottom"/>
          </w:tcPr>
          <w:p>
            <w:pPr>
              <w:spacing w:after="0"/>
              <w:rPr>
                <w:sz w:val="18"/>
                <w:szCs w:val="18"/>
                <w:color w:val="auto"/>
              </w:rPr>
            </w:pPr>
          </w:p>
        </w:tc>
      </w:tr>
      <w:tr>
        <w:trPr>
          <w:trHeight w:val="229"/>
        </w:trPr>
        <w:tc>
          <w:tcPr>
            <w:tcW w:w="4460" w:type="dxa"/>
            <w:vAlign w:val="bottom"/>
          </w:tcPr>
          <w:p>
            <w:pPr>
              <w:jc w:val="center"/>
              <w:ind w:right="710"/>
              <w:spacing w:after="0"/>
              <w:rPr>
                <w:sz w:val="20"/>
                <w:szCs w:val="20"/>
                <w:color w:val="auto"/>
              </w:rPr>
            </w:pPr>
            <w:r>
              <w:rPr>
                <w:rFonts w:ascii="Arial" w:cs="Arial" w:eastAsia="Arial" w:hAnsi="Arial"/>
                <w:sz w:val="18"/>
                <w:szCs w:val="18"/>
                <w:b w:val="1"/>
                <w:bCs w:val="1"/>
                <w:color w:val="auto"/>
                <w:w w:val="92"/>
              </w:rPr>
              <w:t>(“Series H”)</w:t>
            </w:r>
          </w:p>
        </w:tc>
        <w:tc>
          <w:tcPr>
            <w:tcW w:w="2460" w:type="dxa"/>
            <w:vAlign w:val="bottom"/>
          </w:tcPr>
          <w:p>
            <w:pPr>
              <w:spacing w:after="0"/>
              <w:rPr>
                <w:sz w:val="19"/>
                <w:szCs w:val="19"/>
                <w:color w:val="auto"/>
              </w:rPr>
            </w:pPr>
          </w:p>
        </w:tc>
        <w:tc>
          <w:tcPr>
            <w:tcW w:w="3540" w:type="dxa"/>
            <w:vAlign w:val="bottom"/>
          </w:tcPr>
          <w:p>
            <w:pPr>
              <w:spacing w:after="0"/>
              <w:rPr>
                <w:sz w:val="19"/>
                <w:szCs w:val="19"/>
                <w:color w:val="auto"/>
              </w:rPr>
            </w:pPr>
          </w:p>
        </w:tc>
      </w:tr>
      <w:tr>
        <w:trPr>
          <w:trHeight w:val="216"/>
        </w:trPr>
        <w:tc>
          <w:tcPr>
            <w:tcW w:w="4460" w:type="dxa"/>
            <w:vAlign w:val="bottom"/>
          </w:tcPr>
          <w:p>
            <w:pPr>
              <w:jc w:val="center"/>
              <w:ind w:right="710"/>
              <w:spacing w:after="0"/>
              <w:rPr>
                <w:sz w:val="20"/>
                <w:szCs w:val="20"/>
                <w:color w:val="auto"/>
              </w:rPr>
            </w:pPr>
            <w:r>
              <w:rPr>
                <w:rFonts w:ascii="Arial" w:cs="Arial" w:eastAsia="Arial" w:hAnsi="Arial"/>
                <w:sz w:val="18"/>
                <w:szCs w:val="18"/>
                <w:b w:val="1"/>
                <w:bCs w:val="1"/>
                <w:color w:val="auto"/>
                <w:w w:val="89"/>
              </w:rPr>
              <w:t>American Depositary Shares, each representing</w:t>
            </w:r>
          </w:p>
        </w:tc>
        <w:tc>
          <w:tcPr>
            <w:tcW w:w="2460" w:type="dxa"/>
            <w:vAlign w:val="bottom"/>
          </w:tcPr>
          <w:p>
            <w:pPr>
              <w:ind w:left="820"/>
              <w:spacing w:after="0"/>
              <w:rPr>
                <w:sz w:val="20"/>
                <w:szCs w:val="20"/>
                <w:color w:val="auto"/>
              </w:rPr>
            </w:pPr>
            <w:r>
              <w:rPr>
                <w:rFonts w:ascii="Arial" w:cs="Arial" w:eastAsia="Arial" w:hAnsi="Arial"/>
                <w:sz w:val="18"/>
                <w:szCs w:val="18"/>
                <w:b w:val="1"/>
                <w:bCs w:val="1"/>
                <w:color w:val="auto"/>
              </w:rPr>
              <w:t>NM-PH</w:t>
            </w:r>
          </w:p>
        </w:tc>
        <w:tc>
          <w:tcPr>
            <w:tcW w:w="3540" w:type="dxa"/>
            <w:vAlign w:val="bottom"/>
          </w:tcPr>
          <w:p>
            <w:pPr>
              <w:jc w:val="center"/>
              <w:ind w:left="950"/>
              <w:spacing w:after="0"/>
              <w:rPr>
                <w:sz w:val="20"/>
                <w:szCs w:val="20"/>
                <w:color w:val="auto"/>
              </w:rPr>
            </w:pPr>
            <w:r>
              <w:rPr>
                <w:rFonts w:ascii="Arial" w:cs="Arial" w:eastAsia="Arial" w:hAnsi="Arial"/>
                <w:sz w:val="18"/>
                <w:szCs w:val="18"/>
                <w:b w:val="1"/>
                <w:bCs w:val="1"/>
                <w:color w:val="auto"/>
                <w:w w:val="90"/>
              </w:rPr>
              <w:t>The New York Stock Exchange</w:t>
            </w:r>
          </w:p>
        </w:tc>
      </w:tr>
      <w:tr>
        <w:trPr>
          <w:trHeight w:val="234"/>
        </w:trPr>
        <w:tc>
          <w:tcPr>
            <w:tcW w:w="4460" w:type="dxa"/>
            <w:vAlign w:val="bottom"/>
          </w:tcPr>
          <w:p>
            <w:pPr>
              <w:jc w:val="center"/>
              <w:ind w:right="710"/>
              <w:spacing w:after="0"/>
              <w:rPr>
                <w:sz w:val="20"/>
                <w:szCs w:val="20"/>
                <w:color w:val="auto"/>
              </w:rPr>
            </w:pPr>
            <w:r>
              <w:rPr>
                <w:rFonts w:ascii="Arial" w:cs="Arial" w:eastAsia="Arial" w:hAnsi="Arial"/>
                <w:sz w:val="18"/>
                <w:szCs w:val="18"/>
                <w:b w:val="1"/>
                <w:bCs w:val="1"/>
                <w:color w:val="auto"/>
                <w:w w:val="90"/>
              </w:rPr>
              <w:t>1/100</w:t>
            </w:r>
            <w:r>
              <w:rPr>
                <w:rFonts w:ascii="Arial" w:cs="Arial" w:eastAsia="Arial" w:hAnsi="Arial"/>
                <w:sz w:val="15"/>
                <w:szCs w:val="15"/>
                <w:b w:val="1"/>
                <w:bCs w:val="1"/>
                <w:color w:val="auto"/>
                <w:w w:val="90"/>
              </w:rPr>
              <w:t>th</w:t>
            </w:r>
            <w:r>
              <w:rPr>
                <w:rFonts w:ascii="Arial" w:cs="Arial" w:eastAsia="Arial" w:hAnsi="Arial"/>
                <w:sz w:val="18"/>
                <w:szCs w:val="18"/>
                <w:b w:val="1"/>
                <w:bCs w:val="1"/>
                <w:color w:val="auto"/>
                <w:w w:val="90"/>
              </w:rPr>
              <w:t xml:space="preserve"> of a Share of Series H</w:t>
            </w:r>
          </w:p>
        </w:tc>
        <w:tc>
          <w:tcPr>
            <w:tcW w:w="2460" w:type="dxa"/>
            <w:vAlign w:val="bottom"/>
          </w:tcPr>
          <w:p>
            <w:pPr>
              <w:spacing w:after="0"/>
              <w:rPr>
                <w:sz w:val="20"/>
                <w:szCs w:val="20"/>
                <w:color w:val="auto"/>
              </w:rPr>
            </w:pPr>
          </w:p>
        </w:tc>
        <w:tc>
          <w:tcPr>
            <w:tcW w:w="3540" w:type="dxa"/>
            <w:vAlign w:val="bottom"/>
          </w:tcPr>
          <w:p>
            <w:pPr>
              <w:spacing w:after="0"/>
              <w:rPr>
                <w:sz w:val="20"/>
                <w:szCs w:val="20"/>
                <w:color w:val="auto"/>
              </w:rPr>
            </w:pPr>
          </w:p>
        </w:tc>
      </w:tr>
    </w:tbl>
    <w:p>
      <w:pPr>
        <w:spacing w:after="0" w:line="107" w:lineRule="exact"/>
        <w:rPr>
          <w:sz w:val="20"/>
          <w:szCs w:val="20"/>
          <w:color w:val="auto"/>
        </w:rPr>
      </w:pPr>
    </w:p>
    <w:p>
      <w:pPr>
        <w:ind w:left="224" w:right="120" w:hanging="224"/>
        <w:spacing w:after="0" w:line="277" w:lineRule="auto"/>
        <w:tabs>
          <w:tab w:leader="none" w:pos="224"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 for trading, but in connection with the registration of American Depositary Shares, pursuant to the requirements of the Securities and Exchange Commission</w:t>
      </w:r>
    </w:p>
    <w:p>
      <w:pPr>
        <w:spacing w:after="0" w:line="166"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Securities registered or to be registered pursuant to Section 12(g) of the Act. None</w:t>
      </w:r>
    </w:p>
    <w:p>
      <w:pPr>
        <w:spacing w:after="0" w:line="225"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Securities for which there is a reporting obligation pursuant to Section 15(d) of the Act.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240030</wp:posOffset>
            </wp:positionV>
            <wp:extent cx="14744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left="4" w:right="200" w:firstLine="440"/>
        <w:spacing w:after="0" w:line="277" w:lineRule="auto"/>
        <w:rPr>
          <w:sz w:val="20"/>
          <w:szCs w:val="20"/>
          <w:color w:val="auto"/>
        </w:rPr>
      </w:pPr>
      <w:r>
        <w:rPr>
          <w:rFonts w:ascii="Arial" w:cs="Arial" w:eastAsia="Arial" w:hAnsi="Arial"/>
          <w:sz w:val="18"/>
          <w:szCs w:val="18"/>
          <w:color w:val="auto"/>
        </w:rPr>
        <w:t>Indicate the number of outstanding shares of each of the issuer’s classes of capital or common stock as of the close of the period covered by the annual report:</w:t>
      </w:r>
    </w:p>
    <w:p>
      <w:pPr>
        <w:spacing w:after="0" w:line="62" w:lineRule="exact"/>
        <w:rPr>
          <w:sz w:val="20"/>
          <w:szCs w:val="20"/>
          <w:color w:val="auto"/>
        </w:rPr>
      </w:pPr>
    </w:p>
    <w:p>
      <w:pPr>
        <w:ind w:left="984"/>
        <w:spacing w:after="0"/>
        <w:rPr>
          <w:sz w:val="20"/>
          <w:szCs w:val="20"/>
          <w:color w:val="auto"/>
        </w:rPr>
      </w:pPr>
      <w:r>
        <w:rPr>
          <w:rFonts w:ascii="Arial" w:cs="Arial" w:eastAsia="Arial" w:hAnsi="Arial"/>
          <w:sz w:val="18"/>
          <w:szCs w:val="18"/>
          <w:color w:val="auto"/>
        </w:rPr>
        <w:t>15,881,147 shares of common stock, 5,350 shares of Series G and 17,682 shares of Series H as of December 31, 2020</w:t>
      </w:r>
    </w:p>
    <w:p>
      <w:pPr>
        <w:spacing w:after="0" w:line="192" w:lineRule="exact"/>
        <w:rPr>
          <w:sz w:val="20"/>
          <w:szCs w:val="20"/>
          <w:color w:val="auto"/>
        </w:rPr>
      </w:pPr>
    </w:p>
    <w:p>
      <w:pPr>
        <w:ind w:left="444"/>
        <w:spacing w:after="0" w:line="207" w:lineRule="exact"/>
        <w:tabs>
          <w:tab w:leader="none" w:pos="9024" w:val="left"/>
          <w:tab w:leader="none" w:pos="9724" w:val="left"/>
        </w:tabs>
        <w:rPr>
          <w:sz w:val="20"/>
          <w:szCs w:val="20"/>
          <w:color w:val="auto"/>
        </w:rPr>
      </w:pPr>
      <w:r>
        <w:rPr>
          <w:rFonts w:ascii="Arial" w:cs="Arial" w:eastAsia="Arial" w:hAnsi="Arial"/>
          <w:sz w:val="17"/>
          <w:szCs w:val="17"/>
          <w:color w:val="auto"/>
        </w:rPr>
        <w:t>Indicate by check mark if the registrant is a well-known seasoned issuer, as defined in Rule 405 of the Securities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8" w:lineRule="exact"/>
        <w:rPr>
          <w:sz w:val="20"/>
          <w:szCs w:val="20"/>
          <w:color w:val="auto"/>
        </w:rPr>
      </w:pPr>
    </w:p>
    <w:p>
      <w:pPr>
        <w:ind w:left="4" w:right="240" w:firstLine="440"/>
        <w:spacing w:after="0" w:line="233" w:lineRule="exact"/>
        <w:rPr>
          <w:sz w:val="20"/>
          <w:szCs w:val="20"/>
          <w:color w:val="auto"/>
        </w:rPr>
      </w:pPr>
      <w:r>
        <w:rPr>
          <w:rFonts w:ascii="Arial" w:cs="Arial" w:eastAsia="Arial" w:hAnsi="Arial"/>
          <w:sz w:val="18"/>
          <w:szCs w:val="18"/>
          <w:color w:val="auto"/>
        </w:rPr>
        <w:t xml:space="preserve">If this report is an annual or transition report, indicate by check mark if the registrant is not required to file reports pursuant to Section 13 or 15 (d) of the Securities Exchange Act of 1934.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0"/>
          <w:szCs w:val="20"/>
          <w:color w:val="auto"/>
        </w:rPr>
      </w:pPr>
    </w:p>
    <w:p>
      <w:pPr>
        <w:ind w:left="444"/>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0"/>
          <w:szCs w:val="20"/>
          <w:color w:val="auto"/>
        </w:rPr>
      </w:pPr>
    </w:p>
    <w:p>
      <w:pPr>
        <w:ind w:left="4" w:right="22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0"/>
          <w:szCs w:val="20"/>
          <w:color w:val="auto"/>
        </w:rPr>
      </w:pPr>
    </w:p>
    <w:p>
      <w:pPr>
        <w:jc w:val="both"/>
        <w:ind w:left="4" w:right="160" w:firstLine="4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0"/>
          <w:szCs w:val="20"/>
          <w:color w:val="auto"/>
        </w:rPr>
      </w:pPr>
    </w:p>
    <w:p>
      <w:pPr>
        <w:ind w:left="4" w:right="260" w:firstLine="4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an emerging growth company. See the definition of “accelerated filer” and “large accelerated filer,” and “emerging growth company” in Rule 12b-2 of the Exchange Act. (Check one):</w:t>
      </w:r>
    </w:p>
    <w:p>
      <w:pPr>
        <w:sectPr>
          <w:pgSz w:w="11900" w:h="16838" w:orient="portrait"/>
          <w:cols w:equalWidth="0" w:num="1">
            <w:col w:w="10964"/>
          </w:cols>
          <w:pgMar w:left="436" w:top="121" w:right="499" w:bottom="1440" w:gutter="0" w:footer="0" w:header="0"/>
        </w:sectPr>
      </w:pPr>
    </w:p>
    <w:p>
      <w:pPr>
        <w:spacing w:after="0" w:line="211" w:lineRule="exact"/>
        <w:rPr>
          <w:sz w:val="20"/>
          <w:szCs w:val="20"/>
          <w:color w:val="auto"/>
        </w:rPr>
      </w:pPr>
    </w:p>
    <w:p>
      <w:pPr>
        <w:ind w:left="4"/>
        <w:spacing w:after="0"/>
        <w:rPr>
          <w:sz w:val="20"/>
          <w:szCs w:val="20"/>
          <w:color w:val="auto"/>
        </w:rPr>
      </w:pPr>
      <w:r>
        <w:rPr>
          <w:rFonts w:ascii="Arial" w:cs="Arial" w:eastAsia="Arial" w:hAnsi="Arial"/>
          <w:sz w:val="16"/>
          <w:szCs w:val="16"/>
          <w:color w:val="auto"/>
        </w:rPr>
        <w:t>Large accelerated filer</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3" w:lineRule="exact"/>
        <w:rPr>
          <w:sz w:val="20"/>
          <w:szCs w:val="20"/>
          <w:color w:val="auto"/>
        </w:rPr>
      </w:pPr>
    </w:p>
    <w:p>
      <w:pPr>
        <w:sectPr>
          <w:pgSz w:w="11900" w:h="16838" w:orient="portrait"/>
          <w:cols w:equalWidth="0" w:num="6">
            <w:col w:w="1624" w:space="720"/>
            <w:col w:w="1700" w:space="720"/>
            <w:col w:w="1200" w:space="120"/>
            <w:col w:w="1580" w:space="720"/>
            <w:col w:w="1700" w:space="720"/>
            <w:col w:w="160"/>
          </w:cols>
          <w:pgMar w:left="436" w:top="121" w:right="499" w:bottom="1440" w:gutter="0" w:footer="0" w:header="0"/>
          <w:type w:val="continuous"/>
        </w:sectPr>
      </w:pPr>
    </w:p>
    <w:p>
      <w:pPr>
        <w:spacing w:after="0" w:line="33" w:lineRule="exact"/>
        <w:rPr>
          <w:sz w:val="20"/>
          <w:szCs w:val="20"/>
          <w:color w:val="auto"/>
        </w:rPr>
      </w:pPr>
    </w:p>
    <w:p>
      <w:pPr>
        <w:ind w:left="8384"/>
        <w:spacing w:after="0"/>
        <w:rPr>
          <w:sz w:val="20"/>
          <w:szCs w:val="20"/>
          <w:color w:val="auto"/>
        </w:rPr>
      </w:pPr>
      <w:r>
        <w:rPr>
          <w:rFonts w:ascii="Arial" w:cs="Arial" w:eastAsia="Arial" w:hAnsi="Arial"/>
          <w:sz w:val="16"/>
          <w:szCs w:val="16"/>
          <w:color w:val="auto"/>
        </w:rPr>
        <w:t>Emerging growth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0"/>
          <w:szCs w:val="20"/>
          <w:color w:val="auto"/>
        </w:rPr>
      </w:pPr>
    </w:p>
    <w:p>
      <w:pPr>
        <w:sectPr>
          <w:pgSz w:w="11900" w:h="16838" w:orient="portrait"/>
          <w:cols w:equalWidth="0" w:num="2">
            <w:col w:w="10344" w:space="460"/>
            <w:col w:w="160"/>
          </w:cols>
          <w:pgMar w:left="436" w:top="121" w:right="499" w:bottom="1440" w:gutter="0" w:footer="0" w:header="0"/>
          <w:type w:val="continuous"/>
        </w:sectPr>
      </w:pPr>
    </w:p>
    <w:p>
      <w:pPr>
        <w:spacing w:after="0" w:line="48" w:lineRule="exact"/>
        <w:rPr>
          <w:sz w:val="20"/>
          <w:szCs w:val="20"/>
          <w:color w:val="auto"/>
        </w:rPr>
      </w:pPr>
    </w:p>
    <w:p>
      <w:pPr>
        <w:ind w:left="4" w:right="60" w:firstLine="440"/>
        <w:spacing w:after="0" w:line="227" w:lineRule="exact"/>
        <w:rPr>
          <w:sz w:val="20"/>
          <w:szCs w:val="20"/>
          <w:color w:val="auto"/>
        </w:rPr>
      </w:pPr>
      <w:r>
        <w:rPr>
          <w:rFonts w:ascii="Arial" w:cs="Arial" w:eastAsia="Arial" w:hAnsi="Arial"/>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11" w:lineRule="exact"/>
        <w:rPr>
          <w:sz w:val="20"/>
          <w:szCs w:val="20"/>
          <w:color w:val="auto"/>
        </w:rPr>
      </w:pPr>
    </w:p>
    <w:p>
      <w:pPr>
        <w:ind w:left="224" w:right="100" w:hanging="224"/>
        <w:spacing w:after="0" w:line="277" w:lineRule="auto"/>
        <w:tabs>
          <w:tab w:leader="none" w:pos="22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term “new or revised financial accounting standard” refers to any update issued by the Financial Accounting Standards Board to its Accounting Standards Codification after April 5, 2012.</w:t>
      </w:r>
    </w:p>
    <w:p>
      <w:pPr>
        <w:spacing w:after="0" w:line="170" w:lineRule="exact"/>
        <w:rPr>
          <w:sz w:val="20"/>
          <w:szCs w:val="20"/>
          <w:color w:val="auto"/>
        </w:rPr>
      </w:pPr>
    </w:p>
    <w:p>
      <w:pPr>
        <w:ind w:left="4" w:right="180" w:firstLine="440"/>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Indicate by check mark which basis of accounting the registrant has used to prepare the financial statements included in this filing:</w:t>
      </w:r>
    </w:p>
    <w:p>
      <w:pPr>
        <w:sectPr>
          <w:pgSz w:w="11900" w:h="16838" w:orient="portrait"/>
          <w:cols w:equalWidth="0" w:num="1">
            <w:col w:w="10964"/>
          </w:cols>
          <w:pgMar w:left="436" w:top="121" w:right="499" w:bottom="1440" w:gutter="0" w:footer="0" w:header="0"/>
          <w:type w:val="continuous"/>
        </w:sectPr>
      </w:pPr>
    </w:p>
    <w:p>
      <w:pPr>
        <w:spacing w:after="0" w:line="252" w:lineRule="exact"/>
        <w:rPr>
          <w:sz w:val="20"/>
          <w:szCs w:val="20"/>
          <w:color w:val="auto"/>
        </w:rPr>
      </w:pPr>
    </w:p>
    <w:p>
      <w:pPr>
        <w:ind w:left="444"/>
        <w:spacing w:after="0"/>
        <w:rPr>
          <w:sz w:val="20"/>
          <w:szCs w:val="20"/>
          <w:color w:val="auto"/>
        </w:rPr>
      </w:pPr>
      <w:r>
        <w:rPr>
          <w:rFonts w:ascii="Arial" w:cs="Arial" w:eastAsia="Arial" w:hAnsi="Arial"/>
          <w:sz w:val="17"/>
          <w:szCs w:val="17"/>
          <w:color w:val="auto"/>
        </w:rPr>
        <w:t>U.S. GAAP</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International Financial Reporting Standards as issued</w:t>
      </w:r>
    </w:p>
    <w:p>
      <w:pPr>
        <w:spacing w:after="0" w:line="46"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by the International Accounting Standards Board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Other</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486" w:lineRule="exact"/>
        <w:rPr>
          <w:sz w:val="20"/>
          <w:szCs w:val="20"/>
          <w:color w:val="auto"/>
        </w:rPr>
      </w:pPr>
    </w:p>
    <w:p>
      <w:pPr>
        <w:sectPr>
          <w:pgSz w:w="11900" w:h="16838" w:orient="portrait"/>
          <w:cols w:equalWidth="0" w:num="5">
            <w:col w:w="1304" w:space="80"/>
            <w:col w:w="820" w:space="720"/>
            <w:col w:w="6260" w:space="720"/>
            <w:col w:w="420" w:space="80"/>
            <w:col w:w="560"/>
          </w:cols>
          <w:pgMar w:left="436" w:top="121" w:right="499" w:bottom="1440" w:gutter="0" w:footer="0" w:header="0"/>
          <w:type w:val="continuous"/>
        </w:sectPr>
      </w:pPr>
    </w:p>
    <w:p>
      <w:pPr>
        <w:spacing w:after="0" w:line="34" w:lineRule="exact"/>
        <w:rPr>
          <w:sz w:val="20"/>
          <w:szCs w:val="20"/>
          <w:color w:val="auto"/>
        </w:rPr>
      </w:pPr>
    </w:p>
    <w:p>
      <w:pPr>
        <w:ind w:left="4" w:firstLine="440"/>
        <w:spacing w:after="0" w:line="233" w:lineRule="exact"/>
        <w:rPr>
          <w:sz w:val="20"/>
          <w:szCs w:val="20"/>
          <w:color w:val="auto"/>
        </w:rPr>
      </w:pPr>
      <w:r>
        <w:rPr>
          <w:rFonts w:ascii="Arial" w:cs="Arial" w:eastAsia="Arial" w:hAnsi="Arial"/>
          <w:sz w:val="18"/>
          <w:szCs w:val="18"/>
          <w:color w:val="auto"/>
        </w:rPr>
        <w:t xml:space="preserve">If “Other” has been checked in response to the previous question, indicate by check mark which financial statement item the registrant has elected to follow. Item 17 </w:t>
      </w:r>
      <w:r>
        <w:rPr>
          <w:rFonts w:ascii="MS PGothic" w:cs="MS PGothic" w:eastAsia="MS PGothic" w:hAnsi="MS PGothic"/>
          <w:sz w:val="18"/>
          <w:szCs w:val="18"/>
          <w:color w:val="auto"/>
        </w:rPr>
        <w:t>☐</w:t>
      </w:r>
      <w:r>
        <w:rPr>
          <w:rFonts w:ascii="Arial" w:cs="Arial" w:eastAsia="Arial" w:hAnsi="Arial"/>
          <w:sz w:val="18"/>
          <w:szCs w:val="18"/>
          <w:color w:val="auto"/>
        </w:rPr>
        <w:t xml:space="preserve"> Item 18 </w:t>
      </w:r>
      <w:r>
        <w:rPr>
          <w:rFonts w:ascii="MS PGothic" w:cs="MS PGothic" w:eastAsia="MS PGothic" w:hAnsi="MS PGothic"/>
          <w:sz w:val="18"/>
          <w:szCs w:val="18"/>
          <w:color w:val="auto"/>
        </w:rPr>
        <w:t>☐</w:t>
      </w:r>
    </w:p>
    <w:p>
      <w:pPr>
        <w:spacing w:after="0" w:line="182" w:lineRule="exact"/>
        <w:rPr>
          <w:sz w:val="20"/>
          <w:szCs w:val="20"/>
          <w:color w:val="auto"/>
        </w:rPr>
      </w:pPr>
    </w:p>
    <w:p>
      <w:pPr>
        <w:ind w:left="4" w:right="880" w:firstLine="440"/>
        <w:spacing w:after="0" w:line="233" w:lineRule="exact"/>
        <w:rPr>
          <w:sz w:val="20"/>
          <w:szCs w:val="20"/>
          <w:color w:val="auto"/>
        </w:rPr>
      </w:pPr>
      <w:r>
        <w:rPr>
          <w:rFonts w:ascii="Arial" w:cs="Arial" w:eastAsia="Arial" w:hAnsi="Arial"/>
          <w:sz w:val="18"/>
          <w:szCs w:val="18"/>
          <w:color w:val="auto"/>
        </w:rPr>
        <w:t xml:space="preserve">If this is an annual report, 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4"/>
          </w:cols>
          <w:pgMar w:left="436" w:top="121" w:right="49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6760" w:type="dxa"/>
            <w:vAlign w:val="bottom"/>
            <w:gridSpan w:val="3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4320" w:type="dxa"/>
            <w:vAlign w:val="bottom"/>
          </w:tcPr>
          <w:p>
            <w:pPr>
              <w:spacing w:after="0"/>
              <w:rPr>
                <w:sz w:val="17"/>
                <w:szCs w:val="17"/>
                <w:color w:val="auto"/>
              </w:rPr>
            </w:pPr>
          </w:p>
        </w:tc>
      </w:tr>
      <w:tr>
        <w:trPr>
          <w:trHeight w:val="493"/>
        </w:trPr>
        <w:tc>
          <w:tcPr>
            <w:tcW w:w="1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00" w:type="dxa"/>
            <w:vAlign w:val="bottom"/>
            <w:gridSpan w:val="9"/>
          </w:tcPr>
          <w:p>
            <w:pPr>
              <w:spacing w:after="0"/>
              <w:rPr>
                <w:sz w:val="20"/>
                <w:szCs w:val="20"/>
                <w:color w:val="auto"/>
              </w:rPr>
            </w:pPr>
            <w:r>
              <w:rPr>
                <w:rFonts w:ascii="Arial" w:cs="Arial" w:eastAsia="Arial" w:hAnsi="Arial"/>
                <w:sz w:val="18"/>
                <w:szCs w:val="18"/>
                <w:b w:val="1"/>
                <w:bCs w:val="1"/>
                <w:color w:val="auto"/>
              </w:rPr>
              <w:t>TABLE OF CONTENTS</w:t>
            </w:r>
          </w:p>
        </w:tc>
        <w:tc>
          <w:tcPr>
            <w:tcW w:w="4320" w:type="dxa"/>
            <w:vAlign w:val="bottom"/>
          </w:tcPr>
          <w:p>
            <w:pPr>
              <w:spacing w:after="0"/>
              <w:rPr>
                <w:sz w:val="24"/>
                <w:szCs w:val="24"/>
                <w:color w:val="auto"/>
              </w:rPr>
            </w:pPr>
          </w:p>
        </w:tc>
      </w:tr>
      <w:tr>
        <w:trPr>
          <w:trHeight w:val="439"/>
        </w:trPr>
        <w:tc>
          <w:tcPr>
            <w:tcW w:w="120" w:type="dxa"/>
            <w:vAlign w:val="bottom"/>
          </w:tcPr>
          <w:p>
            <w:pPr>
              <w:spacing w:after="0"/>
              <w:rPr>
                <w:sz w:val="24"/>
                <w:szCs w:val="24"/>
                <w:color w:val="auto"/>
              </w:rPr>
            </w:pPr>
          </w:p>
        </w:tc>
        <w:tc>
          <w:tcPr>
            <w:tcW w:w="4540" w:type="dxa"/>
            <w:vAlign w:val="bottom"/>
            <w:gridSpan w:val="2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FORWARD-LOOKING STATEMENTS</w:t>
              </w:r>
            </w:hyperlink>
          </w:p>
        </w:tc>
        <w:tc>
          <w:tcPr>
            <w:tcW w:w="1920" w:type="dxa"/>
            <w:vAlign w:val="bottom"/>
            <w:tcBorders>
              <w:top w:val="single" w:sz="8" w:color="auto"/>
            </w:tcBorders>
            <w:gridSpan w:val="8"/>
          </w:tcPr>
          <w:p>
            <w:pPr>
              <w:spacing w:after="0"/>
              <w:rPr>
                <w:sz w:val="24"/>
                <w:szCs w:val="24"/>
                <w:color w:val="auto"/>
              </w:rPr>
            </w:pPr>
          </w:p>
        </w:tc>
        <w:tc>
          <w:tcPr>
            <w:tcW w:w="180" w:type="dxa"/>
            <w:vAlign w:val="bottom"/>
          </w:tcPr>
          <w:p>
            <w:pPr>
              <w:spacing w:after="0"/>
              <w:rPr>
                <w:sz w:val="24"/>
                <w:szCs w:val="24"/>
                <w:color w:val="auto"/>
              </w:rPr>
            </w:pPr>
          </w:p>
        </w:tc>
        <w:tc>
          <w:tcPr>
            <w:tcW w:w="43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80" w:type="dxa"/>
            <w:vAlign w:val="bottom"/>
            <w:gridSpan w:val="31"/>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Item 1. Identity of Directors, Senior Management and Advisers</w:t>
              </w:r>
            </w:hyperlink>
          </w:p>
        </w:tc>
        <w:tc>
          <w:tcPr>
            <w:tcW w:w="432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2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Item 2. Offer Statistics and Expected Timetable</w:t>
              </w:r>
            </w:hyperlink>
          </w:p>
        </w:tc>
        <w:tc>
          <w:tcPr>
            <w:tcW w:w="1120" w:type="dxa"/>
            <w:vAlign w:val="bottom"/>
            <w:tcBorders>
              <w:top w:val="single" w:sz="8" w:color="0000EE"/>
            </w:tcBorders>
            <w:gridSpan w:val="9"/>
          </w:tcPr>
          <w:p>
            <w:pPr>
              <w:spacing w:after="0"/>
              <w:rPr>
                <w:sz w:val="17"/>
                <w:szCs w:val="17"/>
                <w:color w:val="auto"/>
              </w:rPr>
            </w:pPr>
          </w:p>
        </w:tc>
        <w:tc>
          <w:tcPr>
            <w:tcW w:w="1740" w:type="dxa"/>
            <w:vAlign w:val="bottom"/>
            <w:gridSpan w:val="5"/>
          </w:tcPr>
          <w:p>
            <w:pPr>
              <w:spacing w:after="0"/>
              <w:rPr>
                <w:sz w:val="17"/>
                <w:szCs w:val="17"/>
                <w:color w:val="auto"/>
              </w:rPr>
            </w:pPr>
          </w:p>
        </w:tc>
        <w:tc>
          <w:tcPr>
            <w:tcW w:w="432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6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w:anchor="page5">
              <w:r>
                <w:rPr>
                  <w:rFonts w:ascii="Arial" w:cs="Arial" w:eastAsia="Arial" w:hAnsi="Arial"/>
                  <w:sz w:val="18"/>
                  <w:szCs w:val="18"/>
                  <w:color w:val="0000EE"/>
                  <w:w w:val="93"/>
                </w:rPr>
                <w:t>Item 3. Key Information</w:t>
              </w:r>
            </w:hyperlink>
          </w:p>
        </w:tc>
        <w:tc>
          <w:tcPr>
            <w:tcW w:w="4520" w:type="dxa"/>
            <w:vAlign w:val="bottom"/>
            <w:gridSpan w:val="26"/>
          </w:tcPr>
          <w:p>
            <w:pPr>
              <w:spacing w:after="0"/>
              <w:rPr>
                <w:sz w:val="17"/>
                <w:szCs w:val="17"/>
                <w:color w:val="auto"/>
              </w:rPr>
            </w:pPr>
          </w:p>
        </w:tc>
        <w:tc>
          <w:tcPr>
            <w:tcW w:w="43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80" w:type="dxa"/>
            <w:vAlign w:val="bottom"/>
            <w:gridSpan w:val="31"/>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Item 4. Information on the Company</w:t>
              </w:r>
            </w:hyperlink>
          </w:p>
        </w:tc>
        <w:tc>
          <w:tcPr>
            <w:tcW w:w="432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80" w:type="dxa"/>
            <w:vAlign w:val="bottom"/>
            <w:gridSpan w:val="31"/>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Item 4A. Unresolved Staff Comments</w:t>
              </w:r>
            </w:hyperlink>
          </w:p>
        </w:tc>
        <w:tc>
          <w:tcPr>
            <w:tcW w:w="4320" w:type="dxa"/>
            <w:vAlign w:val="bottom"/>
          </w:tcPr>
          <w:p>
            <w:pPr>
              <w:jc w:val="right"/>
              <w:spacing w:after="0" w:line="196" w:lineRule="exact"/>
              <w:rPr>
                <w:sz w:val="20"/>
                <w:szCs w:val="20"/>
                <w:color w:val="auto"/>
              </w:rPr>
            </w:pPr>
            <w:r>
              <w:rPr>
                <w:rFonts w:ascii="Arial" w:cs="Arial" w:eastAsia="Arial" w:hAnsi="Arial"/>
                <w:sz w:val="18"/>
                <w:szCs w:val="18"/>
                <w:color w:val="auto"/>
              </w:rPr>
              <w:t>88</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94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w:anchor="page92">
              <w:r>
                <w:rPr>
                  <w:rFonts w:ascii="Arial" w:cs="Arial" w:eastAsia="Arial" w:hAnsi="Arial"/>
                  <w:sz w:val="18"/>
                  <w:szCs w:val="18"/>
                  <w:color w:val="0000EE"/>
                  <w:w w:val="90"/>
                </w:rPr>
                <w:t>Item 5. Operating and Financial Review and Prospects</w:t>
              </w:r>
            </w:hyperlink>
          </w:p>
        </w:tc>
        <w:tc>
          <w:tcPr>
            <w:tcW w:w="2340" w:type="dxa"/>
            <w:vAlign w:val="bottom"/>
            <w:gridSpan w:val="11"/>
          </w:tcPr>
          <w:p>
            <w:pPr>
              <w:spacing w:after="0"/>
              <w:rPr>
                <w:sz w:val="17"/>
                <w:szCs w:val="17"/>
                <w:color w:val="auto"/>
              </w:rPr>
            </w:pPr>
          </w:p>
        </w:tc>
        <w:tc>
          <w:tcPr>
            <w:tcW w:w="4320" w:type="dxa"/>
            <w:vAlign w:val="bottom"/>
          </w:tcPr>
          <w:p>
            <w:pPr>
              <w:jc w:val="right"/>
              <w:spacing w:after="0" w:line="196" w:lineRule="exact"/>
              <w:rPr>
                <w:sz w:val="20"/>
                <w:szCs w:val="20"/>
                <w:color w:val="auto"/>
              </w:rPr>
            </w:pPr>
            <w:r>
              <w:rPr>
                <w:rFonts w:ascii="Arial" w:cs="Arial" w:eastAsia="Arial" w:hAnsi="Arial"/>
                <w:sz w:val="18"/>
                <w:szCs w:val="18"/>
                <w:color w:val="auto"/>
              </w:rPr>
              <w:t>88</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92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w:anchor="page135">
              <w:r>
                <w:rPr>
                  <w:rFonts w:ascii="Arial" w:cs="Arial" w:eastAsia="Arial" w:hAnsi="Arial"/>
                  <w:sz w:val="18"/>
                  <w:szCs w:val="18"/>
                  <w:color w:val="0000EE"/>
                  <w:w w:val="90"/>
                </w:rPr>
                <w:t>Item 6. Directors, Senior Management and Employees</w:t>
              </w:r>
            </w:hyperlink>
          </w:p>
        </w:tc>
        <w:tc>
          <w:tcPr>
            <w:tcW w:w="2360" w:type="dxa"/>
            <w:vAlign w:val="bottom"/>
            <w:gridSpan w:val="12"/>
          </w:tcPr>
          <w:p>
            <w:pPr>
              <w:spacing w:after="0"/>
              <w:rPr>
                <w:sz w:val="17"/>
                <w:szCs w:val="17"/>
                <w:color w:val="auto"/>
              </w:rPr>
            </w:pPr>
          </w:p>
        </w:tc>
        <w:tc>
          <w:tcPr>
            <w:tcW w:w="4320" w:type="dxa"/>
            <w:vAlign w:val="bottom"/>
          </w:tcPr>
          <w:p>
            <w:pPr>
              <w:jc w:val="right"/>
              <w:spacing w:after="0" w:line="196" w:lineRule="exact"/>
              <w:rPr>
                <w:sz w:val="20"/>
                <w:szCs w:val="20"/>
                <w:color w:val="auto"/>
              </w:rPr>
            </w:pPr>
            <w:r>
              <w:rPr>
                <w:rFonts w:ascii="Arial" w:cs="Arial" w:eastAsia="Arial" w:hAnsi="Arial"/>
                <w:sz w:val="18"/>
                <w:szCs w:val="18"/>
                <w:color w:val="auto"/>
              </w:rPr>
              <w:t>131</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60" w:type="dxa"/>
            <w:vAlign w:val="bottom"/>
            <w:tcBorders>
              <w:bottom w:val="single" w:sz="8" w:color="0000EE"/>
            </w:tcBorders>
            <w:gridSpan w:val="24"/>
          </w:tcPr>
          <w:p>
            <w:pPr>
              <w:spacing w:after="0" w:line="196" w:lineRule="exact"/>
              <w:rPr>
                <w:rFonts w:ascii="Arial" w:cs="Arial" w:eastAsia="Arial" w:hAnsi="Arial"/>
                <w:sz w:val="18"/>
                <w:szCs w:val="18"/>
                <w:color w:val="0000EE"/>
                <w:w w:val="89"/>
              </w:rPr>
            </w:pPr>
            <w:hyperlink w:anchor="page140">
              <w:r>
                <w:rPr>
                  <w:rFonts w:ascii="Arial" w:cs="Arial" w:eastAsia="Arial" w:hAnsi="Arial"/>
                  <w:sz w:val="18"/>
                  <w:szCs w:val="18"/>
                  <w:color w:val="0000EE"/>
                  <w:w w:val="89"/>
                </w:rPr>
                <w:t>Item 7. Major Shareholders and Related Party Transactions</w:t>
              </w:r>
            </w:hyperlink>
          </w:p>
        </w:tc>
        <w:tc>
          <w:tcPr>
            <w:tcW w:w="2020" w:type="dxa"/>
            <w:vAlign w:val="bottom"/>
            <w:gridSpan w:val="7"/>
          </w:tcPr>
          <w:p>
            <w:pPr>
              <w:spacing w:after="0"/>
              <w:rPr>
                <w:sz w:val="17"/>
                <w:szCs w:val="17"/>
                <w:color w:val="auto"/>
              </w:rPr>
            </w:pPr>
          </w:p>
        </w:tc>
        <w:tc>
          <w:tcPr>
            <w:tcW w:w="4320" w:type="dxa"/>
            <w:vAlign w:val="bottom"/>
          </w:tcPr>
          <w:p>
            <w:pPr>
              <w:jc w:val="right"/>
              <w:spacing w:after="0" w:line="196" w:lineRule="exact"/>
              <w:rPr>
                <w:sz w:val="20"/>
                <w:szCs w:val="20"/>
                <w:color w:val="auto"/>
              </w:rPr>
            </w:pPr>
            <w:r>
              <w:rPr>
                <w:rFonts w:ascii="Arial" w:cs="Arial" w:eastAsia="Arial" w:hAnsi="Arial"/>
                <w:sz w:val="18"/>
                <w:szCs w:val="18"/>
                <w:color w:val="auto"/>
              </w:rPr>
              <w:t>136</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140" w:type="dxa"/>
            <w:vAlign w:val="bottom"/>
            <w:tcBorders>
              <w:bottom w:val="single" w:sz="8" w:color="0000EE"/>
            </w:tcBorders>
            <w:gridSpan w:val="8"/>
          </w:tcPr>
          <w:p>
            <w:pPr>
              <w:spacing w:after="0" w:line="196" w:lineRule="exact"/>
              <w:rPr>
                <w:rFonts w:ascii="Arial" w:cs="Arial" w:eastAsia="Arial" w:hAnsi="Arial"/>
                <w:sz w:val="18"/>
                <w:szCs w:val="18"/>
                <w:color w:val="0000EE"/>
                <w:w w:val="93"/>
              </w:rPr>
            </w:pPr>
            <w:hyperlink w:anchor="page145">
              <w:r>
                <w:rPr>
                  <w:rFonts w:ascii="Arial" w:cs="Arial" w:eastAsia="Arial" w:hAnsi="Arial"/>
                  <w:sz w:val="18"/>
                  <w:szCs w:val="18"/>
                  <w:color w:val="0000EE"/>
                  <w:w w:val="93"/>
                </w:rPr>
                <w:t>Item 8. Financial Information</w:t>
              </w:r>
            </w:hyperlink>
          </w:p>
        </w:tc>
        <w:tc>
          <w:tcPr>
            <w:tcW w:w="4140" w:type="dxa"/>
            <w:vAlign w:val="bottom"/>
            <w:gridSpan w:val="23"/>
          </w:tcPr>
          <w:p>
            <w:pPr>
              <w:spacing w:after="0"/>
              <w:rPr>
                <w:sz w:val="17"/>
                <w:szCs w:val="17"/>
                <w:color w:val="auto"/>
              </w:rPr>
            </w:pPr>
          </w:p>
        </w:tc>
        <w:tc>
          <w:tcPr>
            <w:tcW w:w="4320" w:type="dxa"/>
            <w:vAlign w:val="bottom"/>
          </w:tcPr>
          <w:p>
            <w:pPr>
              <w:jc w:val="right"/>
              <w:spacing w:after="0" w:line="196" w:lineRule="exact"/>
              <w:rPr>
                <w:sz w:val="20"/>
                <w:szCs w:val="20"/>
                <w:color w:val="auto"/>
              </w:rPr>
            </w:pPr>
            <w:r>
              <w:rPr>
                <w:rFonts w:ascii="Arial" w:cs="Arial" w:eastAsia="Arial" w:hAnsi="Arial"/>
                <w:sz w:val="18"/>
                <w:szCs w:val="18"/>
                <w:color w:val="auto"/>
              </w:rPr>
              <w:t>141</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80" w:type="dxa"/>
            <w:vAlign w:val="bottom"/>
            <w:gridSpan w:val="31"/>
          </w:tcPr>
          <w:p>
            <w:pPr>
              <w:spacing w:after="0" w:line="196" w:lineRule="exact"/>
              <w:rPr>
                <w:rFonts w:ascii="Arial" w:cs="Arial" w:eastAsia="Arial" w:hAnsi="Arial"/>
                <w:sz w:val="18"/>
                <w:szCs w:val="18"/>
                <w:color w:val="0000EE"/>
              </w:rPr>
            </w:pPr>
            <w:hyperlink w:anchor="page146">
              <w:r>
                <w:rPr>
                  <w:rFonts w:ascii="Arial" w:cs="Arial" w:eastAsia="Arial" w:hAnsi="Arial"/>
                  <w:sz w:val="18"/>
                  <w:szCs w:val="18"/>
                  <w:color w:val="0000EE"/>
                </w:rPr>
                <w:t>Item 9. The Offer and Listing</w:t>
              </w:r>
            </w:hyperlink>
          </w:p>
        </w:tc>
        <w:tc>
          <w:tcPr>
            <w:tcW w:w="4320" w:type="dxa"/>
            <w:vAlign w:val="bottom"/>
          </w:tcPr>
          <w:p>
            <w:pPr>
              <w:jc w:val="right"/>
              <w:spacing w:after="0" w:line="196" w:lineRule="exact"/>
              <w:rPr>
                <w:sz w:val="20"/>
                <w:szCs w:val="20"/>
                <w:color w:val="auto"/>
              </w:rPr>
            </w:pPr>
            <w:r>
              <w:rPr>
                <w:rFonts w:ascii="Arial" w:cs="Arial" w:eastAsia="Arial" w:hAnsi="Arial"/>
                <w:sz w:val="18"/>
                <w:szCs w:val="18"/>
                <w:color w:val="auto"/>
              </w:rPr>
              <w:t>142</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320" w:type="dxa"/>
            <w:vAlign w:val="bottom"/>
            <w:tcBorders>
              <w:bottom w:val="single" w:sz="8" w:color="0000EE"/>
            </w:tcBorders>
            <w:gridSpan w:val="10"/>
          </w:tcPr>
          <w:p>
            <w:pPr>
              <w:spacing w:after="0" w:line="196" w:lineRule="exact"/>
              <w:rPr>
                <w:rFonts w:ascii="Arial" w:cs="Arial" w:eastAsia="Arial" w:hAnsi="Arial"/>
                <w:sz w:val="18"/>
                <w:szCs w:val="18"/>
                <w:color w:val="0000EE"/>
                <w:w w:val="94"/>
              </w:rPr>
            </w:pPr>
            <w:hyperlink w:anchor="page146">
              <w:r>
                <w:rPr>
                  <w:rFonts w:ascii="Arial" w:cs="Arial" w:eastAsia="Arial" w:hAnsi="Arial"/>
                  <w:sz w:val="18"/>
                  <w:szCs w:val="18"/>
                  <w:color w:val="0000EE"/>
                  <w:w w:val="94"/>
                </w:rPr>
                <w:t>Item 10. Additional Information</w:t>
              </w:r>
            </w:hyperlink>
          </w:p>
        </w:tc>
        <w:tc>
          <w:tcPr>
            <w:tcW w:w="3960" w:type="dxa"/>
            <w:vAlign w:val="bottom"/>
            <w:gridSpan w:val="21"/>
          </w:tcPr>
          <w:p>
            <w:pPr>
              <w:spacing w:after="0"/>
              <w:rPr>
                <w:sz w:val="17"/>
                <w:szCs w:val="17"/>
                <w:color w:val="auto"/>
              </w:rPr>
            </w:pPr>
          </w:p>
        </w:tc>
        <w:tc>
          <w:tcPr>
            <w:tcW w:w="4320" w:type="dxa"/>
            <w:vAlign w:val="bottom"/>
          </w:tcPr>
          <w:p>
            <w:pPr>
              <w:jc w:val="right"/>
              <w:spacing w:after="0" w:line="196" w:lineRule="exact"/>
              <w:rPr>
                <w:sz w:val="20"/>
                <w:szCs w:val="20"/>
                <w:color w:val="auto"/>
              </w:rPr>
            </w:pPr>
            <w:r>
              <w:rPr>
                <w:rFonts w:ascii="Arial" w:cs="Arial" w:eastAsia="Arial" w:hAnsi="Arial"/>
                <w:sz w:val="18"/>
                <w:szCs w:val="18"/>
                <w:color w:val="auto"/>
              </w:rPr>
              <w:t>142</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80" w:type="dxa"/>
            <w:vAlign w:val="bottom"/>
            <w:gridSpan w:val="31"/>
          </w:tcPr>
          <w:p>
            <w:pPr>
              <w:spacing w:after="0" w:line="196" w:lineRule="exact"/>
              <w:rPr>
                <w:rFonts w:ascii="Arial" w:cs="Arial" w:eastAsia="Arial" w:hAnsi="Arial"/>
                <w:sz w:val="18"/>
                <w:szCs w:val="18"/>
                <w:color w:val="0000EE"/>
              </w:rPr>
            </w:pPr>
            <w:hyperlink w:anchor="page154">
              <w:r>
                <w:rPr>
                  <w:rFonts w:ascii="Arial" w:cs="Arial" w:eastAsia="Arial" w:hAnsi="Arial"/>
                  <w:sz w:val="18"/>
                  <w:szCs w:val="18"/>
                  <w:color w:val="0000EE"/>
                </w:rPr>
                <w:t>Item 11. Quantitative and Qualitative Disclosures about Market Risk</w:t>
              </w:r>
            </w:hyperlink>
          </w:p>
        </w:tc>
        <w:tc>
          <w:tcPr>
            <w:tcW w:w="4320" w:type="dxa"/>
            <w:vAlign w:val="bottom"/>
          </w:tcPr>
          <w:p>
            <w:pPr>
              <w:jc w:val="right"/>
              <w:spacing w:after="0" w:line="196" w:lineRule="exact"/>
              <w:rPr>
                <w:sz w:val="20"/>
                <w:szCs w:val="20"/>
                <w:color w:val="auto"/>
              </w:rPr>
            </w:pPr>
            <w:r>
              <w:rPr>
                <w:rFonts w:ascii="Arial" w:cs="Arial" w:eastAsia="Arial" w:hAnsi="Arial"/>
                <w:sz w:val="18"/>
                <w:szCs w:val="18"/>
                <w:color w:val="auto"/>
              </w:rPr>
              <w:t>150</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520" w:type="dxa"/>
            <w:vAlign w:val="bottom"/>
            <w:tcBorders>
              <w:top w:val="single" w:sz="8" w:color="0000EE"/>
              <w:bottom w:val="single" w:sz="8" w:color="0000EE"/>
            </w:tcBorders>
            <w:gridSpan w:val="25"/>
          </w:tcPr>
          <w:p>
            <w:pPr>
              <w:spacing w:after="0" w:line="196" w:lineRule="exact"/>
              <w:rPr>
                <w:rFonts w:ascii="Arial" w:cs="Arial" w:eastAsia="Arial" w:hAnsi="Arial"/>
                <w:sz w:val="18"/>
                <w:szCs w:val="18"/>
                <w:color w:val="0000EE"/>
                <w:w w:val="91"/>
              </w:rPr>
            </w:pPr>
            <w:hyperlink w:anchor="page155">
              <w:r>
                <w:rPr>
                  <w:rFonts w:ascii="Arial" w:cs="Arial" w:eastAsia="Arial" w:hAnsi="Arial"/>
                  <w:sz w:val="18"/>
                  <w:szCs w:val="18"/>
                  <w:color w:val="0000EE"/>
                  <w:w w:val="91"/>
                </w:rPr>
                <w:t>Item 12. Description of Securities Other than Equity Securities</w:t>
              </w:r>
            </w:hyperlink>
          </w:p>
        </w:tc>
        <w:tc>
          <w:tcPr>
            <w:tcW w:w="420" w:type="dxa"/>
            <w:vAlign w:val="bottom"/>
            <w:tcBorders>
              <w:top w:val="single" w:sz="8" w:color="0000EE"/>
            </w:tcBorders>
            <w:gridSpan w:val="2"/>
          </w:tcPr>
          <w:p>
            <w:pPr>
              <w:spacing w:after="0"/>
              <w:rPr>
                <w:sz w:val="17"/>
                <w:szCs w:val="17"/>
                <w:color w:val="auto"/>
              </w:rPr>
            </w:pPr>
          </w:p>
        </w:tc>
        <w:tc>
          <w:tcPr>
            <w:tcW w:w="1340" w:type="dxa"/>
            <w:vAlign w:val="bottom"/>
            <w:gridSpan w:val="4"/>
          </w:tcPr>
          <w:p>
            <w:pPr>
              <w:spacing w:after="0"/>
              <w:rPr>
                <w:sz w:val="17"/>
                <w:szCs w:val="17"/>
                <w:color w:val="auto"/>
              </w:rPr>
            </w:pPr>
          </w:p>
        </w:tc>
        <w:tc>
          <w:tcPr>
            <w:tcW w:w="4320" w:type="dxa"/>
            <w:vAlign w:val="bottom"/>
          </w:tcPr>
          <w:p>
            <w:pPr>
              <w:jc w:val="right"/>
              <w:spacing w:after="0" w:line="196" w:lineRule="exact"/>
              <w:rPr>
                <w:sz w:val="20"/>
                <w:szCs w:val="20"/>
                <w:color w:val="auto"/>
              </w:rPr>
            </w:pPr>
            <w:r>
              <w:rPr>
                <w:rFonts w:ascii="Arial" w:cs="Arial" w:eastAsia="Arial" w:hAnsi="Arial"/>
                <w:sz w:val="18"/>
                <w:szCs w:val="18"/>
                <w:color w:val="auto"/>
              </w:rPr>
              <w:t>151</w:t>
            </w:r>
          </w:p>
        </w:tc>
      </w:tr>
      <w:tr>
        <w:trPr>
          <w:trHeight w:val="196"/>
        </w:trPr>
        <w:tc>
          <w:tcPr>
            <w:tcW w:w="120" w:type="dxa"/>
            <w:vAlign w:val="bottom"/>
          </w:tcPr>
          <w:p>
            <w:pPr>
              <w:spacing w:after="0"/>
              <w:rPr>
                <w:sz w:val="17"/>
                <w:szCs w:val="17"/>
                <w:color w:val="auto"/>
              </w:rPr>
            </w:pPr>
          </w:p>
        </w:tc>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w:anchor="page155">
              <w:r>
                <w:rPr>
                  <w:rFonts w:ascii="Arial" w:cs="Arial" w:eastAsia="Arial" w:hAnsi="Arial"/>
                  <w:sz w:val="18"/>
                  <w:szCs w:val="18"/>
                  <w:color w:val="0000EE"/>
                  <w:w w:val="91"/>
                </w:rPr>
                <w:t>PART II</w:t>
              </w:r>
            </w:hyperlink>
          </w:p>
        </w:tc>
        <w:tc>
          <w:tcPr>
            <w:tcW w:w="6040" w:type="dxa"/>
            <w:vAlign w:val="bottom"/>
            <w:gridSpan w:val="30"/>
          </w:tcPr>
          <w:p>
            <w:pPr>
              <w:spacing w:after="0"/>
              <w:rPr>
                <w:sz w:val="17"/>
                <w:szCs w:val="17"/>
                <w:color w:val="auto"/>
              </w:rPr>
            </w:pPr>
          </w:p>
        </w:tc>
        <w:tc>
          <w:tcPr>
            <w:tcW w:w="432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80" w:type="dxa"/>
            <w:vAlign w:val="bottom"/>
            <w:gridSpan w:val="31"/>
          </w:tcPr>
          <w:p>
            <w:pPr>
              <w:spacing w:after="0" w:line="196" w:lineRule="exact"/>
              <w:rPr>
                <w:rFonts w:ascii="Arial" w:cs="Arial" w:eastAsia="Arial" w:hAnsi="Arial"/>
                <w:sz w:val="18"/>
                <w:szCs w:val="18"/>
                <w:color w:val="0000EE"/>
              </w:rPr>
            </w:pPr>
            <w:hyperlink w:anchor="page155">
              <w:r>
                <w:rPr>
                  <w:rFonts w:ascii="Arial" w:cs="Arial" w:eastAsia="Arial" w:hAnsi="Arial"/>
                  <w:sz w:val="18"/>
                  <w:szCs w:val="18"/>
                  <w:color w:val="0000EE"/>
                </w:rPr>
                <w:t>Item 13. Defaults, Dividend Arrearages and Delinquencies</w:t>
              </w:r>
            </w:hyperlink>
          </w:p>
        </w:tc>
        <w:tc>
          <w:tcPr>
            <w:tcW w:w="4320" w:type="dxa"/>
            <w:vAlign w:val="bottom"/>
          </w:tcPr>
          <w:p>
            <w:pPr>
              <w:jc w:val="right"/>
              <w:spacing w:after="0" w:line="196" w:lineRule="exact"/>
              <w:rPr>
                <w:sz w:val="20"/>
                <w:szCs w:val="20"/>
                <w:color w:val="auto"/>
              </w:rPr>
            </w:pPr>
            <w:r>
              <w:rPr>
                <w:rFonts w:ascii="Arial" w:cs="Arial" w:eastAsia="Arial" w:hAnsi="Arial"/>
                <w:sz w:val="18"/>
                <w:szCs w:val="18"/>
                <w:color w:val="auto"/>
              </w:rPr>
              <w:t>151</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80" w:type="dxa"/>
            <w:vAlign w:val="bottom"/>
            <w:tcBorders>
              <w:bottom w:val="single" w:sz="8" w:color="0000EE"/>
            </w:tcBorders>
            <w:gridSpan w:val="31"/>
          </w:tcPr>
          <w:p>
            <w:pPr>
              <w:spacing w:after="0" w:line="196" w:lineRule="exact"/>
              <w:rPr>
                <w:rFonts w:ascii="Arial" w:cs="Arial" w:eastAsia="Arial" w:hAnsi="Arial"/>
                <w:sz w:val="18"/>
                <w:szCs w:val="18"/>
                <w:color w:val="0000EE"/>
                <w:w w:val="92"/>
              </w:rPr>
            </w:pPr>
            <w:hyperlink w:anchor="page155">
              <w:r>
                <w:rPr>
                  <w:rFonts w:ascii="Arial" w:cs="Arial" w:eastAsia="Arial" w:hAnsi="Arial"/>
                  <w:sz w:val="18"/>
                  <w:szCs w:val="18"/>
                  <w:color w:val="0000EE"/>
                  <w:w w:val="92"/>
                </w:rPr>
                <w:t>Item 14. Material Modifications to the Rights of Security Holders and Use of Proceeds</w:t>
              </w:r>
            </w:hyperlink>
          </w:p>
        </w:tc>
        <w:tc>
          <w:tcPr>
            <w:tcW w:w="4320" w:type="dxa"/>
            <w:vAlign w:val="bottom"/>
          </w:tcPr>
          <w:p>
            <w:pPr>
              <w:jc w:val="right"/>
              <w:spacing w:after="0" w:line="196" w:lineRule="exact"/>
              <w:rPr>
                <w:sz w:val="20"/>
                <w:szCs w:val="20"/>
                <w:color w:val="auto"/>
              </w:rPr>
            </w:pPr>
            <w:r>
              <w:rPr>
                <w:rFonts w:ascii="Arial" w:cs="Arial" w:eastAsia="Arial" w:hAnsi="Arial"/>
                <w:sz w:val="18"/>
                <w:szCs w:val="18"/>
                <w:color w:val="auto"/>
              </w:rPr>
              <w:t>151</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2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155">
              <w:r>
                <w:rPr>
                  <w:rFonts w:ascii="Arial" w:cs="Arial" w:eastAsia="Arial" w:hAnsi="Arial"/>
                  <w:sz w:val="18"/>
                  <w:szCs w:val="18"/>
                  <w:color w:val="0000EE"/>
                  <w:w w:val="89"/>
                </w:rPr>
                <w:t>Item 15. Controls and Procedures</w:t>
              </w:r>
            </w:hyperlink>
          </w:p>
        </w:tc>
        <w:tc>
          <w:tcPr>
            <w:tcW w:w="3860" w:type="dxa"/>
            <w:vAlign w:val="bottom"/>
            <w:gridSpan w:val="19"/>
          </w:tcPr>
          <w:p>
            <w:pPr>
              <w:spacing w:after="0"/>
              <w:rPr>
                <w:sz w:val="17"/>
                <w:szCs w:val="17"/>
                <w:color w:val="auto"/>
              </w:rPr>
            </w:pPr>
          </w:p>
        </w:tc>
        <w:tc>
          <w:tcPr>
            <w:tcW w:w="4320" w:type="dxa"/>
            <w:vAlign w:val="bottom"/>
          </w:tcPr>
          <w:p>
            <w:pPr>
              <w:jc w:val="right"/>
              <w:spacing w:after="0" w:line="196" w:lineRule="exact"/>
              <w:rPr>
                <w:sz w:val="20"/>
                <w:szCs w:val="20"/>
                <w:color w:val="auto"/>
              </w:rPr>
            </w:pPr>
            <w:r>
              <w:rPr>
                <w:rFonts w:ascii="Arial" w:cs="Arial" w:eastAsia="Arial" w:hAnsi="Arial"/>
                <w:sz w:val="18"/>
                <w:szCs w:val="18"/>
                <w:color w:val="auto"/>
              </w:rPr>
              <w:t>151</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80" w:type="dxa"/>
            <w:vAlign w:val="bottom"/>
            <w:gridSpan w:val="31"/>
          </w:tcPr>
          <w:p>
            <w:pPr>
              <w:spacing w:after="0" w:line="196" w:lineRule="exact"/>
              <w:rPr>
                <w:rFonts w:ascii="Arial" w:cs="Arial" w:eastAsia="Arial" w:hAnsi="Arial"/>
                <w:sz w:val="18"/>
                <w:szCs w:val="18"/>
                <w:color w:val="0000EE"/>
              </w:rPr>
            </w:pPr>
            <w:hyperlink w:anchor="page156">
              <w:r>
                <w:rPr>
                  <w:rFonts w:ascii="Arial" w:cs="Arial" w:eastAsia="Arial" w:hAnsi="Arial"/>
                  <w:sz w:val="18"/>
                  <w:szCs w:val="18"/>
                  <w:color w:val="0000EE"/>
                </w:rPr>
                <w:t>Item 16A. Audit Committee Financial Expert</w:t>
              </w:r>
            </w:hyperlink>
          </w:p>
        </w:tc>
        <w:tc>
          <w:tcPr>
            <w:tcW w:w="4320" w:type="dxa"/>
            <w:vAlign w:val="bottom"/>
          </w:tcPr>
          <w:p>
            <w:pPr>
              <w:jc w:val="right"/>
              <w:spacing w:after="0" w:line="196" w:lineRule="exact"/>
              <w:rPr>
                <w:sz w:val="20"/>
                <w:szCs w:val="20"/>
                <w:color w:val="auto"/>
              </w:rPr>
            </w:pPr>
            <w:r>
              <w:rPr>
                <w:rFonts w:ascii="Arial" w:cs="Arial" w:eastAsia="Arial" w:hAnsi="Arial"/>
                <w:sz w:val="18"/>
                <w:szCs w:val="18"/>
                <w:color w:val="auto"/>
              </w:rPr>
              <w:t>152</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w:anchor="page156">
              <w:r>
                <w:rPr>
                  <w:rFonts w:ascii="Arial" w:cs="Arial" w:eastAsia="Arial" w:hAnsi="Arial"/>
                  <w:sz w:val="18"/>
                  <w:szCs w:val="18"/>
                  <w:color w:val="0000EE"/>
                  <w:w w:val="91"/>
                </w:rPr>
                <w:t>Item 16B. Code of Ethics</w:t>
              </w:r>
            </w:hyperlink>
          </w:p>
        </w:tc>
        <w:tc>
          <w:tcPr>
            <w:tcW w:w="1420" w:type="dxa"/>
            <w:vAlign w:val="bottom"/>
            <w:tcBorders>
              <w:top w:val="single" w:sz="8" w:color="0000EE"/>
            </w:tcBorders>
            <w:gridSpan w:val="10"/>
          </w:tcPr>
          <w:p>
            <w:pPr>
              <w:spacing w:after="0"/>
              <w:rPr>
                <w:sz w:val="17"/>
                <w:szCs w:val="17"/>
                <w:color w:val="auto"/>
              </w:rPr>
            </w:pPr>
          </w:p>
        </w:tc>
        <w:tc>
          <w:tcPr>
            <w:tcW w:w="3020" w:type="dxa"/>
            <w:vAlign w:val="bottom"/>
            <w:gridSpan w:val="15"/>
          </w:tcPr>
          <w:p>
            <w:pPr>
              <w:spacing w:after="0"/>
              <w:rPr>
                <w:sz w:val="17"/>
                <w:szCs w:val="17"/>
                <w:color w:val="auto"/>
              </w:rPr>
            </w:pPr>
          </w:p>
        </w:tc>
        <w:tc>
          <w:tcPr>
            <w:tcW w:w="4320" w:type="dxa"/>
            <w:vAlign w:val="bottom"/>
          </w:tcPr>
          <w:p>
            <w:pPr>
              <w:jc w:val="right"/>
              <w:spacing w:after="0" w:line="196" w:lineRule="exact"/>
              <w:rPr>
                <w:sz w:val="20"/>
                <w:szCs w:val="20"/>
                <w:color w:val="auto"/>
              </w:rPr>
            </w:pPr>
            <w:r>
              <w:rPr>
                <w:rFonts w:ascii="Arial" w:cs="Arial" w:eastAsia="Arial" w:hAnsi="Arial"/>
                <w:sz w:val="18"/>
                <w:szCs w:val="18"/>
                <w:color w:val="auto"/>
              </w:rPr>
              <w:t>152</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2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w:anchor="page156">
              <w:r>
                <w:rPr>
                  <w:rFonts w:ascii="Arial" w:cs="Arial" w:eastAsia="Arial" w:hAnsi="Arial"/>
                  <w:sz w:val="18"/>
                  <w:szCs w:val="18"/>
                  <w:color w:val="0000EE"/>
                  <w:w w:val="89"/>
                </w:rPr>
                <w:t>Item 16C. Principal Accountant Fees and Services</w:t>
              </w:r>
            </w:hyperlink>
          </w:p>
        </w:tc>
        <w:tc>
          <w:tcPr>
            <w:tcW w:w="2660" w:type="dxa"/>
            <w:vAlign w:val="bottom"/>
            <w:gridSpan w:val="13"/>
          </w:tcPr>
          <w:p>
            <w:pPr>
              <w:spacing w:after="0"/>
              <w:rPr>
                <w:sz w:val="17"/>
                <w:szCs w:val="17"/>
                <w:color w:val="auto"/>
              </w:rPr>
            </w:pPr>
          </w:p>
        </w:tc>
        <w:tc>
          <w:tcPr>
            <w:tcW w:w="4320" w:type="dxa"/>
            <w:vAlign w:val="bottom"/>
          </w:tcPr>
          <w:p>
            <w:pPr>
              <w:jc w:val="right"/>
              <w:spacing w:after="0" w:line="196" w:lineRule="exact"/>
              <w:rPr>
                <w:sz w:val="20"/>
                <w:szCs w:val="20"/>
                <w:color w:val="auto"/>
              </w:rPr>
            </w:pPr>
            <w:r>
              <w:rPr>
                <w:rFonts w:ascii="Arial" w:cs="Arial" w:eastAsia="Arial" w:hAnsi="Arial"/>
                <w:sz w:val="18"/>
                <w:szCs w:val="18"/>
                <w:color w:val="auto"/>
              </w:rPr>
              <w:t>152</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80" w:type="dxa"/>
            <w:vAlign w:val="bottom"/>
            <w:gridSpan w:val="31"/>
          </w:tcPr>
          <w:p>
            <w:pPr>
              <w:spacing w:after="0" w:line="196" w:lineRule="exact"/>
              <w:rPr>
                <w:rFonts w:ascii="Arial" w:cs="Arial" w:eastAsia="Arial" w:hAnsi="Arial"/>
                <w:sz w:val="18"/>
                <w:szCs w:val="18"/>
                <w:color w:val="0000EE"/>
              </w:rPr>
            </w:pPr>
            <w:hyperlink w:anchor="page156">
              <w:r>
                <w:rPr>
                  <w:rFonts w:ascii="Arial" w:cs="Arial" w:eastAsia="Arial" w:hAnsi="Arial"/>
                  <w:sz w:val="18"/>
                  <w:szCs w:val="18"/>
                  <w:color w:val="0000EE"/>
                </w:rPr>
                <w:t>Item 16D. Exemptions from the Listing Standards for Audit Committees</w:t>
              </w:r>
            </w:hyperlink>
          </w:p>
        </w:tc>
        <w:tc>
          <w:tcPr>
            <w:tcW w:w="4320" w:type="dxa"/>
            <w:vAlign w:val="bottom"/>
          </w:tcPr>
          <w:p>
            <w:pPr>
              <w:jc w:val="right"/>
              <w:spacing w:after="0" w:line="196" w:lineRule="exact"/>
              <w:rPr>
                <w:sz w:val="20"/>
                <w:szCs w:val="20"/>
                <w:color w:val="auto"/>
              </w:rPr>
            </w:pPr>
            <w:r>
              <w:rPr>
                <w:rFonts w:ascii="Arial" w:cs="Arial" w:eastAsia="Arial" w:hAnsi="Arial"/>
                <w:sz w:val="18"/>
                <w:szCs w:val="18"/>
                <w:color w:val="auto"/>
              </w:rPr>
              <w:t>152</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1540" w:type="dxa"/>
            <w:vAlign w:val="bottom"/>
            <w:gridSpan w:val="8"/>
            <w:shd w:val="clear" w:color="auto" w:fill="0000EE"/>
          </w:tcPr>
          <w:p>
            <w:pPr>
              <w:spacing w:after="0" w:line="20" w:lineRule="exact"/>
              <w:rPr>
                <w:sz w:val="1"/>
                <w:szCs w:val="1"/>
                <w:color w:val="auto"/>
              </w:rPr>
            </w:pPr>
          </w:p>
        </w:tc>
        <w:tc>
          <w:tcPr>
            <w:tcW w:w="1120" w:type="dxa"/>
            <w:vAlign w:val="bottom"/>
            <w:gridSpan w:val="7"/>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80" w:type="dxa"/>
            <w:vAlign w:val="bottom"/>
            <w:gridSpan w:val="31"/>
          </w:tcPr>
          <w:p>
            <w:pPr>
              <w:spacing w:after="0" w:line="196" w:lineRule="exact"/>
              <w:rPr>
                <w:rFonts w:ascii="Arial" w:cs="Arial" w:eastAsia="Arial" w:hAnsi="Arial"/>
                <w:sz w:val="18"/>
                <w:szCs w:val="18"/>
                <w:color w:val="0000EE"/>
                <w:w w:val="97"/>
              </w:rPr>
            </w:pPr>
            <w:hyperlink w:anchor="page157">
              <w:r>
                <w:rPr>
                  <w:rFonts w:ascii="Arial" w:cs="Arial" w:eastAsia="Arial" w:hAnsi="Arial"/>
                  <w:sz w:val="18"/>
                  <w:szCs w:val="18"/>
                  <w:color w:val="0000EE"/>
                  <w:w w:val="97"/>
                </w:rPr>
                <w:t>Item 16E. Purchases of Equity Securities by the Issuer and Affiliated Purchasers</w:t>
              </w:r>
            </w:hyperlink>
          </w:p>
        </w:tc>
        <w:tc>
          <w:tcPr>
            <w:tcW w:w="4320" w:type="dxa"/>
            <w:vAlign w:val="bottom"/>
          </w:tcPr>
          <w:p>
            <w:pPr>
              <w:jc w:val="right"/>
              <w:spacing w:after="0" w:line="196" w:lineRule="exact"/>
              <w:rPr>
                <w:sz w:val="20"/>
                <w:szCs w:val="20"/>
                <w:color w:val="auto"/>
              </w:rPr>
            </w:pPr>
            <w:r>
              <w:rPr>
                <w:rFonts w:ascii="Arial" w:cs="Arial" w:eastAsia="Arial" w:hAnsi="Arial"/>
                <w:sz w:val="18"/>
                <w:szCs w:val="18"/>
                <w:color w:val="auto"/>
              </w:rPr>
              <w:t>153</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100" w:type="dxa"/>
            <w:vAlign w:val="bottom"/>
            <w:tcBorders>
              <w:top w:val="single" w:sz="8" w:color="0000EE"/>
              <w:bottom w:val="single" w:sz="8" w:color="0000EE"/>
            </w:tcBorders>
            <w:gridSpan w:val="21"/>
          </w:tcPr>
          <w:p>
            <w:pPr>
              <w:spacing w:after="0" w:line="196" w:lineRule="exact"/>
              <w:rPr>
                <w:rFonts w:ascii="Arial" w:cs="Arial" w:eastAsia="Arial" w:hAnsi="Arial"/>
                <w:sz w:val="18"/>
                <w:szCs w:val="18"/>
                <w:color w:val="0000EE"/>
                <w:w w:val="91"/>
              </w:rPr>
            </w:pPr>
            <w:hyperlink w:anchor="page157">
              <w:r>
                <w:rPr>
                  <w:rFonts w:ascii="Arial" w:cs="Arial" w:eastAsia="Arial" w:hAnsi="Arial"/>
                  <w:sz w:val="18"/>
                  <w:szCs w:val="18"/>
                  <w:color w:val="0000EE"/>
                  <w:w w:val="91"/>
                </w:rPr>
                <w:t>Item 16F. Changes in Registrant’s Certifying Accountant</w:t>
              </w:r>
            </w:hyperlink>
          </w:p>
        </w:tc>
        <w:tc>
          <w:tcPr>
            <w:tcW w:w="1720" w:type="dxa"/>
            <w:vAlign w:val="bottom"/>
            <w:tcBorders>
              <w:top w:val="single" w:sz="8" w:color="0000EE"/>
            </w:tcBorders>
            <w:gridSpan w:val="8"/>
          </w:tcPr>
          <w:p>
            <w:pPr>
              <w:spacing w:after="0"/>
              <w:rPr>
                <w:sz w:val="17"/>
                <w:szCs w:val="17"/>
                <w:color w:val="auto"/>
              </w:rPr>
            </w:pPr>
          </w:p>
        </w:tc>
        <w:tc>
          <w:tcPr>
            <w:tcW w:w="460" w:type="dxa"/>
            <w:vAlign w:val="bottom"/>
            <w:gridSpan w:val="2"/>
          </w:tcPr>
          <w:p>
            <w:pPr>
              <w:spacing w:after="0"/>
              <w:rPr>
                <w:sz w:val="17"/>
                <w:szCs w:val="17"/>
                <w:color w:val="auto"/>
              </w:rPr>
            </w:pPr>
          </w:p>
        </w:tc>
        <w:tc>
          <w:tcPr>
            <w:tcW w:w="4320" w:type="dxa"/>
            <w:vAlign w:val="bottom"/>
          </w:tcPr>
          <w:p>
            <w:pPr>
              <w:jc w:val="right"/>
              <w:spacing w:after="0" w:line="196" w:lineRule="exact"/>
              <w:rPr>
                <w:sz w:val="20"/>
                <w:szCs w:val="20"/>
                <w:color w:val="auto"/>
              </w:rPr>
            </w:pPr>
            <w:r>
              <w:rPr>
                <w:rFonts w:ascii="Arial" w:cs="Arial" w:eastAsia="Arial" w:hAnsi="Arial"/>
                <w:sz w:val="18"/>
                <w:szCs w:val="18"/>
                <w:color w:val="auto"/>
              </w:rPr>
              <w:t>153</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80" w:type="dxa"/>
            <w:vAlign w:val="bottom"/>
            <w:gridSpan w:val="31"/>
          </w:tcPr>
          <w:p>
            <w:pPr>
              <w:spacing w:after="0" w:line="196" w:lineRule="exact"/>
              <w:rPr>
                <w:rFonts w:ascii="Arial" w:cs="Arial" w:eastAsia="Arial" w:hAnsi="Arial"/>
                <w:sz w:val="18"/>
                <w:szCs w:val="18"/>
                <w:color w:val="0000EE"/>
              </w:rPr>
            </w:pPr>
            <w:hyperlink w:anchor="page157">
              <w:r>
                <w:rPr>
                  <w:rFonts w:ascii="Arial" w:cs="Arial" w:eastAsia="Arial" w:hAnsi="Arial"/>
                  <w:sz w:val="18"/>
                  <w:szCs w:val="18"/>
                  <w:color w:val="0000EE"/>
                </w:rPr>
                <w:t>Item 16G. Corporate Governance</w:t>
              </w:r>
            </w:hyperlink>
          </w:p>
        </w:tc>
        <w:tc>
          <w:tcPr>
            <w:tcW w:w="4320" w:type="dxa"/>
            <w:vAlign w:val="bottom"/>
          </w:tcPr>
          <w:p>
            <w:pPr>
              <w:jc w:val="right"/>
              <w:spacing w:after="0" w:line="196" w:lineRule="exact"/>
              <w:rPr>
                <w:sz w:val="20"/>
                <w:szCs w:val="20"/>
                <w:color w:val="auto"/>
              </w:rPr>
            </w:pPr>
            <w:r>
              <w:rPr>
                <w:rFonts w:ascii="Arial" w:cs="Arial" w:eastAsia="Arial" w:hAnsi="Arial"/>
                <w:sz w:val="18"/>
                <w:szCs w:val="18"/>
                <w:color w:val="auto"/>
              </w:rPr>
              <w:t>153</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720" w:type="dxa"/>
            <w:vAlign w:val="bottom"/>
            <w:gridSpan w:val="18"/>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56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w:anchor="page157">
              <w:r>
                <w:rPr>
                  <w:rFonts w:ascii="Arial" w:cs="Arial" w:eastAsia="Arial" w:hAnsi="Arial"/>
                  <w:sz w:val="18"/>
                  <w:szCs w:val="18"/>
                  <w:color w:val="0000EE"/>
                  <w:w w:val="91"/>
                </w:rPr>
                <w:t>Item 16H. Mine Safety Disclosures</w:t>
              </w:r>
            </w:hyperlink>
          </w:p>
        </w:tc>
        <w:tc>
          <w:tcPr>
            <w:tcW w:w="3720" w:type="dxa"/>
            <w:vAlign w:val="bottom"/>
            <w:gridSpan w:val="18"/>
          </w:tcPr>
          <w:p>
            <w:pPr>
              <w:spacing w:after="0"/>
              <w:rPr>
                <w:sz w:val="17"/>
                <w:szCs w:val="17"/>
                <w:color w:val="auto"/>
              </w:rPr>
            </w:pPr>
          </w:p>
        </w:tc>
        <w:tc>
          <w:tcPr>
            <w:tcW w:w="4320" w:type="dxa"/>
            <w:vAlign w:val="bottom"/>
          </w:tcPr>
          <w:p>
            <w:pPr>
              <w:jc w:val="right"/>
              <w:spacing w:after="0" w:line="196" w:lineRule="exact"/>
              <w:rPr>
                <w:sz w:val="20"/>
                <w:szCs w:val="20"/>
                <w:color w:val="auto"/>
              </w:rPr>
            </w:pPr>
            <w:r>
              <w:rPr>
                <w:rFonts w:ascii="Arial" w:cs="Arial" w:eastAsia="Arial" w:hAnsi="Arial"/>
                <w:sz w:val="18"/>
                <w:szCs w:val="18"/>
                <w:color w:val="auto"/>
              </w:rPr>
              <w:t>153</w:t>
            </w:r>
          </w:p>
        </w:tc>
      </w:tr>
      <w:tr>
        <w:trPr>
          <w:trHeight w:val="196"/>
        </w:trPr>
        <w:tc>
          <w:tcPr>
            <w:tcW w:w="120" w:type="dxa"/>
            <w:vAlign w:val="bottom"/>
          </w:tcPr>
          <w:p>
            <w:pPr>
              <w:spacing w:after="0"/>
              <w:rPr>
                <w:sz w:val="17"/>
                <w:szCs w:val="17"/>
                <w:color w:val="auto"/>
              </w:rPr>
            </w:pPr>
          </w:p>
        </w:tc>
        <w:tc>
          <w:tcPr>
            <w:tcW w:w="660" w:type="dxa"/>
            <w:vAlign w:val="bottom"/>
            <w:tcBorders>
              <w:bottom w:val="single" w:sz="8" w:color="0000EE"/>
            </w:tcBorders>
            <w:gridSpan w:val="3"/>
          </w:tcPr>
          <w:p>
            <w:pPr>
              <w:spacing w:after="0" w:line="196" w:lineRule="exact"/>
              <w:rPr>
                <w:rFonts w:ascii="Arial" w:cs="Arial" w:eastAsia="Arial" w:hAnsi="Arial"/>
                <w:sz w:val="18"/>
                <w:szCs w:val="18"/>
                <w:color w:val="0000EE"/>
                <w:w w:val="94"/>
              </w:rPr>
            </w:pPr>
            <w:hyperlink w:anchor="page157">
              <w:r>
                <w:rPr>
                  <w:rFonts w:ascii="Arial" w:cs="Arial" w:eastAsia="Arial" w:hAnsi="Arial"/>
                  <w:sz w:val="18"/>
                  <w:szCs w:val="18"/>
                  <w:color w:val="0000EE"/>
                  <w:w w:val="94"/>
                </w:rPr>
                <w:t>PART III</w:t>
              </w:r>
            </w:hyperlink>
          </w:p>
        </w:tc>
        <w:tc>
          <w:tcPr>
            <w:tcW w:w="5980" w:type="dxa"/>
            <w:vAlign w:val="bottom"/>
            <w:gridSpan w:val="29"/>
          </w:tcPr>
          <w:p>
            <w:pPr>
              <w:spacing w:after="0"/>
              <w:rPr>
                <w:sz w:val="17"/>
                <w:szCs w:val="17"/>
                <w:color w:val="auto"/>
              </w:rPr>
            </w:pPr>
          </w:p>
        </w:tc>
        <w:tc>
          <w:tcPr>
            <w:tcW w:w="432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16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157">
              <w:r>
                <w:rPr>
                  <w:rFonts w:ascii="Arial" w:cs="Arial" w:eastAsia="Arial" w:hAnsi="Arial"/>
                  <w:sz w:val="18"/>
                  <w:szCs w:val="18"/>
                  <w:color w:val="0000EE"/>
                  <w:w w:val="89"/>
                </w:rPr>
                <w:t>Item 17. Financial Statements</w:t>
              </w:r>
            </w:hyperlink>
          </w:p>
        </w:tc>
        <w:tc>
          <w:tcPr>
            <w:tcW w:w="4120" w:type="dxa"/>
            <w:vAlign w:val="bottom"/>
            <w:gridSpan w:val="22"/>
          </w:tcPr>
          <w:p>
            <w:pPr>
              <w:spacing w:after="0"/>
              <w:rPr>
                <w:sz w:val="17"/>
                <w:szCs w:val="17"/>
                <w:color w:val="auto"/>
              </w:rPr>
            </w:pPr>
          </w:p>
        </w:tc>
        <w:tc>
          <w:tcPr>
            <w:tcW w:w="4320" w:type="dxa"/>
            <w:vAlign w:val="bottom"/>
          </w:tcPr>
          <w:p>
            <w:pPr>
              <w:jc w:val="right"/>
              <w:spacing w:after="0" w:line="196" w:lineRule="exact"/>
              <w:rPr>
                <w:sz w:val="20"/>
                <w:szCs w:val="20"/>
                <w:color w:val="auto"/>
              </w:rPr>
            </w:pPr>
            <w:r>
              <w:rPr>
                <w:rFonts w:ascii="Arial" w:cs="Arial" w:eastAsia="Arial" w:hAnsi="Arial"/>
                <w:sz w:val="18"/>
                <w:szCs w:val="18"/>
                <w:color w:val="auto"/>
              </w:rPr>
              <w:t>153</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80" w:type="dxa"/>
            <w:vAlign w:val="bottom"/>
            <w:gridSpan w:val="31"/>
          </w:tcPr>
          <w:p>
            <w:pPr>
              <w:spacing w:after="0" w:line="196" w:lineRule="exact"/>
              <w:rPr>
                <w:rFonts w:ascii="Arial" w:cs="Arial" w:eastAsia="Arial" w:hAnsi="Arial"/>
                <w:sz w:val="18"/>
                <w:szCs w:val="18"/>
                <w:color w:val="0000EE"/>
              </w:rPr>
            </w:pPr>
            <w:hyperlink w:anchor="page157">
              <w:r>
                <w:rPr>
                  <w:rFonts w:ascii="Arial" w:cs="Arial" w:eastAsia="Arial" w:hAnsi="Arial"/>
                  <w:sz w:val="18"/>
                  <w:szCs w:val="18"/>
                  <w:color w:val="0000EE"/>
                </w:rPr>
                <w:t>Item 18. Financial Statements</w:t>
              </w:r>
            </w:hyperlink>
          </w:p>
        </w:tc>
        <w:tc>
          <w:tcPr>
            <w:tcW w:w="4320" w:type="dxa"/>
            <w:vAlign w:val="bottom"/>
          </w:tcPr>
          <w:p>
            <w:pPr>
              <w:jc w:val="right"/>
              <w:spacing w:after="0" w:line="196" w:lineRule="exact"/>
              <w:rPr>
                <w:sz w:val="20"/>
                <w:szCs w:val="20"/>
                <w:color w:val="auto"/>
              </w:rPr>
            </w:pPr>
            <w:r>
              <w:rPr>
                <w:rFonts w:ascii="Arial" w:cs="Arial" w:eastAsia="Arial" w:hAnsi="Arial"/>
                <w:sz w:val="18"/>
                <w:szCs w:val="18"/>
                <w:color w:val="auto"/>
              </w:rPr>
              <w:t>153</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14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158">
              <w:r>
                <w:rPr>
                  <w:rFonts w:ascii="Arial" w:cs="Arial" w:eastAsia="Arial" w:hAnsi="Arial"/>
                  <w:sz w:val="18"/>
                  <w:szCs w:val="18"/>
                  <w:color w:val="0000EE"/>
                </w:rPr>
                <w:t>Item 19. Exhibits</w:t>
              </w:r>
            </w:hyperlink>
          </w:p>
        </w:tc>
        <w:tc>
          <w:tcPr>
            <w:tcW w:w="4140" w:type="dxa"/>
            <w:vAlign w:val="bottom"/>
            <w:gridSpan w:val="23"/>
          </w:tcPr>
          <w:p>
            <w:pPr>
              <w:spacing w:after="0"/>
              <w:rPr>
                <w:sz w:val="17"/>
                <w:szCs w:val="17"/>
                <w:color w:val="auto"/>
              </w:rPr>
            </w:pPr>
          </w:p>
        </w:tc>
        <w:tc>
          <w:tcPr>
            <w:tcW w:w="4320" w:type="dxa"/>
            <w:vAlign w:val="bottom"/>
          </w:tcPr>
          <w:p>
            <w:pPr>
              <w:jc w:val="right"/>
              <w:spacing w:after="0" w:line="196" w:lineRule="exact"/>
              <w:rPr>
                <w:sz w:val="20"/>
                <w:szCs w:val="20"/>
                <w:color w:val="auto"/>
              </w:rPr>
            </w:pPr>
            <w:r>
              <w:rPr>
                <w:rFonts w:ascii="Arial" w:cs="Arial" w:eastAsia="Arial" w:hAnsi="Arial"/>
                <w:sz w:val="18"/>
                <w:szCs w:val="18"/>
                <w:color w:val="auto"/>
              </w:rPr>
              <w:t>154</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5040" w:type="dxa"/>
            <w:vAlign w:val="bottom"/>
            <w:gridSpan w:val="27"/>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r>
      <w:tr>
        <w:trPr>
          <w:trHeight w:val="222"/>
        </w:trPr>
        <w:tc>
          <w:tcPr>
            <w:tcW w:w="120" w:type="dxa"/>
            <w:vAlign w:val="bottom"/>
          </w:tcPr>
          <w:p>
            <w:pPr>
              <w:spacing w:after="0"/>
              <w:rPr>
                <w:sz w:val="19"/>
                <w:szCs w:val="19"/>
                <w:color w:val="auto"/>
              </w:rPr>
            </w:pPr>
          </w:p>
        </w:tc>
        <w:tc>
          <w:tcPr>
            <w:tcW w:w="6640" w:type="dxa"/>
            <w:vAlign w:val="bottom"/>
            <w:gridSpan w:val="32"/>
          </w:tcPr>
          <w:p>
            <w:pPr>
              <w:spacing w:after="0"/>
              <w:rPr>
                <w:sz w:val="20"/>
                <w:szCs w:val="20"/>
                <w:color w:val="auto"/>
              </w:rPr>
            </w:pPr>
            <w:r>
              <w:rPr>
                <w:rFonts w:ascii="Arial" w:cs="Arial" w:eastAsia="Arial" w:hAnsi="Arial"/>
                <w:sz w:val="18"/>
                <w:szCs w:val="18"/>
                <w:color w:val="auto"/>
              </w:rPr>
              <w:t>EX-1.2</w:t>
            </w:r>
          </w:p>
        </w:tc>
        <w:tc>
          <w:tcPr>
            <w:tcW w:w="4320" w:type="dxa"/>
            <w:vAlign w:val="bottom"/>
          </w:tcPr>
          <w:p>
            <w:pPr>
              <w:spacing w:after="0"/>
              <w:rPr>
                <w:sz w:val="19"/>
                <w:szCs w:val="19"/>
                <w:color w:val="auto"/>
              </w:rPr>
            </w:pPr>
          </w:p>
        </w:tc>
      </w:tr>
      <w:tr>
        <w:trPr>
          <w:trHeight w:val="230"/>
        </w:trPr>
        <w:tc>
          <w:tcPr>
            <w:tcW w:w="120" w:type="dxa"/>
            <w:vAlign w:val="bottom"/>
          </w:tcPr>
          <w:p>
            <w:pPr>
              <w:spacing w:after="0"/>
              <w:rPr>
                <w:sz w:val="20"/>
                <w:szCs w:val="20"/>
                <w:color w:val="auto"/>
              </w:rPr>
            </w:pPr>
          </w:p>
        </w:tc>
        <w:tc>
          <w:tcPr>
            <w:tcW w:w="6640" w:type="dxa"/>
            <w:vAlign w:val="bottom"/>
            <w:gridSpan w:val="32"/>
          </w:tcPr>
          <w:p>
            <w:pPr>
              <w:spacing w:after="0"/>
              <w:rPr>
                <w:sz w:val="20"/>
                <w:szCs w:val="20"/>
                <w:color w:val="auto"/>
              </w:rPr>
            </w:pPr>
            <w:r>
              <w:rPr>
                <w:rFonts w:ascii="Arial" w:cs="Arial" w:eastAsia="Arial" w:hAnsi="Arial"/>
                <w:sz w:val="18"/>
                <w:szCs w:val="18"/>
                <w:color w:val="auto"/>
              </w:rPr>
              <w:t>EX-2.19</w:t>
            </w:r>
          </w:p>
        </w:tc>
        <w:tc>
          <w:tcPr>
            <w:tcW w:w="4320" w:type="dxa"/>
            <w:vAlign w:val="bottom"/>
          </w:tcPr>
          <w:p>
            <w:pPr>
              <w:spacing w:after="0"/>
              <w:rPr>
                <w:sz w:val="20"/>
                <w:szCs w:val="20"/>
                <w:color w:val="auto"/>
              </w:rPr>
            </w:pPr>
          </w:p>
        </w:tc>
      </w:tr>
    </w:tbl>
    <w:p>
      <w:pPr>
        <w:ind w:left="1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EX-8.1</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EX-12.1</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EX-12.2</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EX-13.1</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EX-15.1</w:t>
      </w:r>
    </w:p>
    <w:p>
      <w:pPr>
        <w:sectPr>
          <w:pgSz w:w="11900" w:h="16838" w:orient="portrait"/>
          <w:cols w:equalWidth="0" w:num="1">
            <w:col w:w="11080"/>
          </w:cols>
          <w:pgMar w:left="320" w:top="446"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Please note in this Annual Report, “we”, “us”, “our”, the “Company” and “Navios Holdings” all refer to Navios Maritime Holdings Inc. and its consolidated subsidiaries, except as otherwise indicated or where the context otherwise requires.</w:t>
      </w:r>
    </w:p>
    <w:p>
      <w:pPr>
        <w:spacing w:after="0" w:line="38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This Annual Report should be read in conjunction with the consolidated financial statements and accompanying notes included in this report.</w:t>
      </w:r>
    </w:p>
    <w:p>
      <w:pPr>
        <w:spacing w:after="0" w:line="24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Navios Maritime Holdings Inc. desires to take advantage of the safe harbor provisions of the Private Securities Litigation Reform Act of 1995 and is including this cautionary statement in connection with this safe harbor legislation. This document and any other written or oral statements made by us or on our behalf may include forward-looking statements, which reflect our current views with respect to future events and financial performance. The words “may,” “could,” “should,” “would,” “expect,” “plan,” “anticipate,” “intend,” “forecast,” “believe,” “estimate,” “predict,” “propose,” “potential,” “continue” and similar expressions identify forward-looking statements.</w:t>
      </w:r>
    </w:p>
    <w:p>
      <w:pPr>
        <w:spacing w:after="0" w:line="188"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The forward-looking statements in this document and in other written or oral statements we make from time to time are based upon current assumptions, many of which are based, in turn, upon further assumptions, including without limitation, management’s examination of historical operating trends, data contained in our records, and other data available from third parties. Although we believe that these assumptions were reasonable when made, because these assumptions are inherently subject to significant uncertainties and contingencies which are difficult or impossible to predict and are beyond our control, we cannot assure you that we will achieve or accomplish these expectations, beliefs or projections.</w:t>
      </w:r>
    </w:p>
    <w:p>
      <w:pPr>
        <w:spacing w:after="0" w:line="161"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In addition to these important factors and matters discussed elsewhere herein, important factors that, in our view, could cause actual results to differ materially from those discussed in the forward-looking statements include, but are not limited to, our ability to service and refinance our indebtedness including our 2022 Notes and 2022 Senior Secured Notes, changes in the availability and costs of funding, the strength of world economies, fluctuations in currencies and interest rates, general market conditions, including fluctuations in charter hire rates and vessel values, number of newbuildings and changes to the orderbook, changes in demand in the dry cargo shipping industry, changes in the Company’s operating expenses, including crew wages, insurance, provisions, port expenses, bunker and lube oil prices, drydocking, insurance costs, the aging of our fleet, repairs, maintenance and general and administrative expenses, expectations of dividends and distributions from affiliate companies, the Company’s ability to maintain compliance with the continued listing standards of the New York Stock Exchange (the “NYSE”), changes in governmental rules and regulations or actions taken by regulatory authorities, as well as regulations imposed by our clients, potential liability from pending or future litigation, the adequacy of our insurance arrangements, general domestic and international political conditions including wars, pandemics, terrorism and piracy, potential disruption of shipping routes due to accidents or political events, the value of our publicly traded subsidiaries, public health threats, such as COVID-19 pandemic, influenza and other highly contagious diseases or viruses, and other important factors described from time to time in the reports we file with the Securities and Exchange Commission (the “SEC”). See also “Risk Factors” below.</w:t>
      </w:r>
    </w:p>
    <w:p>
      <w:pPr>
        <w:spacing w:after="0" w:line="174"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We undertake no obligation to update any forward-looking statement or statements to reflect events or circumstances after the date on which such statement is made or to reflect the occurrence of unanticipated events, except as required by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36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Identity of Directors, Senior Management and Advisers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Offer Statistics and Expected Timetable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80"/>
          </w:cols>
          <w:pgMar w:left="320" w:top="459" w:right="4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3. Key Information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 Selected Financial Data</w:t>
      </w:r>
    </w:p>
    <w:p>
      <w:pPr>
        <w:spacing w:after="0" w:line="117"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6"/>
          <w:szCs w:val="16"/>
          <w:color w:val="auto"/>
        </w:rPr>
        <w:t>Navios Holdings’ selected historical financial information and operating results for the years ended December 31, 2020, 2019, 2018, 2017, and 2016 are derived from the consolidated financial statements of Navios Holdings, adjusted to reflect the Reverse Stock Split (as defined herein) and the adoption of ASU 2016-18, Statement of Cash Flows (Topic 230): Restricted Cash. In August 2019, Navios Holdings sold its ship management division, and the general partnership interests in Navios Partners (except for the incentive distribution rights) and Navios Containers GP LLC (the “Transaction”) to N Shipmanagement Acquisition Corp. and related entities (“NSM” or the “Manager”) affiliated with Company’s Chairman and Chief Executive Officer, Angeliki Frangou. The Company entered into five-year service agreements under which NSM provides technical and commercial management services at a fixed rate of $3,700 per day per vessel until August 2021 and administrative services, reimbursed at allocable cost. See also “Item 7.B Related party transactions”. Following the sale of Navios Containers’ general partnership interest, Navios Holdings lost control and deconsolidated Navios Containers from that date onwards. The results of operations of Navios Containers for the period consolidated under Navios Holdings have been reported as discontinued operations for the periods from January 1, 2019 to August 30, 2019 and from November 30, 2018 to December 31, 2018. The selected consolidated statement of comprehensive (loss)/income data for the years ended December 31, 2020, 2019, and 2018 and the selected consolidated balance sheet data as of December 31, 2020 and 2019 have been derived from our audited consolidated financial statements included elsewhere in this Annual Report. The selected consolidated financial data should be read in conjunction with “Item 5. Operating and Financial Review and Prospects”, the consolidated financial statements, related notes and other financial information included elsewhere in this Annual Report. The historical data included below and elsewhere in this Annual Report is not necessarily indicative of our future performance.</w:t>
      </w:r>
    </w:p>
    <w:p>
      <w:pPr>
        <w:spacing w:after="0" w:line="17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401"/>
              <w:spacing w:after="0"/>
              <w:rPr>
                <w:sz w:val="20"/>
                <w:szCs w:val="20"/>
                <w:color w:val="auto"/>
              </w:rPr>
            </w:pPr>
            <w:r>
              <w:rPr>
                <w:rFonts w:ascii="Arial" w:cs="Arial" w:eastAsia="Arial" w:hAnsi="Arial"/>
                <w:sz w:val="14"/>
                <w:szCs w:val="14"/>
                <w:b w:val="1"/>
                <w:bCs w:val="1"/>
                <w:color w:val="auto"/>
                <w:w w:val="90"/>
              </w:rPr>
              <w:t>Year Ended</w:t>
            </w:r>
          </w:p>
        </w:tc>
        <w:tc>
          <w:tcPr>
            <w:tcW w:w="80" w:type="dxa"/>
            <w:vAlign w:val="bottom"/>
          </w:tcPr>
          <w:p>
            <w:pPr>
              <w:spacing w:after="0"/>
              <w:rPr>
                <w:sz w:val="14"/>
                <w:szCs w:val="14"/>
                <w:color w:val="auto"/>
              </w:rPr>
            </w:pPr>
          </w:p>
        </w:tc>
        <w:tc>
          <w:tcPr>
            <w:tcW w:w="1040" w:type="dxa"/>
            <w:vAlign w:val="bottom"/>
            <w:gridSpan w:val="2"/>
          </w:tcPr>
          <w:p>
            <w:pPr>
              <w:jc w:val="right"/>
              <w:ind w:right="241"/>
              <w:spacing w:after="0"/>
              <w:rPr>
                <w:sz w:val="20"/>
                <w:szCs w:val="20"/>
                <w:color w:val="auto"/>
              </w:rPr>
            </w:pPr>
            <w:r>
              <w:rPr>
                <w:rFonts w:ascii="Arial" w:cs="Arial" w:eastAsia="Arial" w:hAnsi="Arial"/>
                <w:sz w:val="14"/>
                <w:szCs w:val="14"/>
                <w:b w:val="1"/>
                <w:bCs w:val="1"/>
                <w:color w:val="auto"/>
                <w:w w:val="90"/>
              </w:rPr>
              <w:t>Year Ended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center"/>
              <w:ind w:right="401"/>
              <w:spacing w:after="0"/>
              <w:rPr>
                <w:sz w:val="20"/>
                <w:szCs w:val="20"/>
                <w:color w:val="auto"/>
              </w:rPr>
            </w:pPr>
            <w:r>
              <w:rPr>
                <w:rFonts w:ascii="Arial" w:cs="Arial" w:eastAsia="Arial" w:hAnsi="Arial"/>
                <w:sz w:val="14"/>
                <w:szCs w:val="14"/>
                <w:b w:val="1"/>
                <w:bCs w:val="1"/>
                <w:color w:val="auto"/>
                <w:w w:val="93"/>
              </w:rPr>
              <w:t>Year Ended</w:t>
            </w:r>
          </w:p>
        </w:tc>
        <w:tc>
          <w:tcPr>
            <w:tcW w:w="80" w:type="dxa"/>
            <w:vAlign w:val="bottom"/>
          </w:tcPr>
          <w:p>
            <w:pPr>
              <w:spacing w:after="0"/>
              <w:rPr>
                <w:sz w:val="14"/>
                <w:szCs w:val="14"/>
                <w:color w:val="auto"/>
              </w:rPr>
            </w:pPr>
          </w:p>
        </w:tc>
        <w:tc>
          <w:tcPr>
            <w:tcW w:w="1040" w:type="dxa"/>
            <w:vAlign w:val="bottom"/>
            <w:gridSpan w:val="2"/>
          </w:tcPr>
          <w:p>
            <w:pPr>
              <w:jc w:val="right"/>
              <w:ind w:right="241"/>
              <w:spacing w:after="0"/>
              <w:rPr>
                <w:sz w:val="20"/>
                <w:szCs w:val="20"/>
                <w:color w:val="auto"/>
              </w:rPr>
            </w:pPr>
            <w:r>
              <w:rPr>
                <w:rFonts w:ascii="Arial" w:cs="Arial" w:eastAsia="Arial" w:hAnsi="Arial"/>
                <w:sz w:val="14"/>
                <w:szCs w:val="14"/>
                <w:b w:val="1"/>
                <w:bCs w:val="1"/>
                <w:color w:val="auto"/>
                <w:w w:val="90"/>
              </w:rPr>
              <w:t>Year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121"/>
              <w:spacing w:after="0"/>
              <w:rPr>
                <w:sz w:val="20"/>
                <w:szCs w:val="20"/>
                <w:color w:val="auto"/>
              </w:rPr>
            </w:pPr>
            <w:r>
              <w:rPr>
                <w:rFonts w:ascii="Arial" w:cs="Arial" w:eastAsia="Arial" w:hAnsi="Arial"/>
                <w:sz w:val="14"/>
                <w:szCs w:val="14"/>
                <w:b w:val="1"/>
                <w:bCs w:val="1"/>
                <w:color w:val="auto"/>
                <w:w w:val="90"/>
              </w:rPr>
              <w:t>Year Ended</w:t>
            </w: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3"/>
          </w:tcPr>
          <w:p>
            <w:pPr>
              <w:jc w:val="right"/>
              <w:ind w:right="341"/>
              <w:spacing w:after="0" w:line="149" w:lineRule="exact"/>
              <w:rPr>
                <w:sz w:val="20"/>
                <w:szCs w:val="20"/>
                <w:color w:val="auto"/>
              </w:rPr>
            </w:pPr>
            <w:r>
              <w:rPr>
                <w:rFonts w:ascii="Arial" w:cs="Arial" w:eastAsia="Arial" w:hAnsi="Arial"/>
                <w:sz w:val="14"/>
                <w:szCs w:val="14"/>
                <w:b w:val="1"/>
                <w:bCs w:val="1"/>
                <w:color w:val="auto"/>
                <w:w w:val="94"/>
              </w:rPr>
              <w:t>December 31,</w:t>
            </w:r>
          </w:p>
        </w:tc>
        <w:tc>
          <w:tcPr>
            <w:tcW w:w="1120" w:type="dxa"/>
            <w:vAlign w:val="bottom"/>
            <w:gridSpan w:val="3"/>
          </w:tcPr>
          <w:p>
            <w:pPr>
              <w:jc w:val="right"/>
              <w:ind w:right="181"/>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2"/>
                <w:szCs w:val="12"/>
                <w:color w:val="auto"/>
              </w:rPr>
            </w:pPr>
          </w:p>
        </w:tc>
        <w:tc>
          <w:tcPr>
            <w:tcW w:w="1280" w:type="dxa"/>
            <w:vAlign w:val="bottom"/>
            <w:gridSpan w:val="3"/>
          </w:tcPr>
          <w:p>
            <w:pPr>
              <w:jc w:val="center"/>
              <w:ind w:right="321"/>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120" w:type="dxa"/>
            <w:vAlign w:val="bottom"/>
            <w:gridSpan w:val="3"/>
          </w:tcPr>
          <w:p>
            <w:pPr>
              <w:jc w:val="right"/>
              <w:ind w:right="181"/>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2"/>
                <w:szCs w:val="12"/>
                <w:color w:val="auto"/>
              </w:rPr>
            </w:pPr>
          </w:p>
        </w:tc>
        <w:tc>
          <w:tcPr>
            <w:tcW w:w="1020" w:type="dxa"/>
            <w:vAlign w:val="bottom"/>
            <w:gridSpan w:val="3"/>
          </w:tcPr>
          <w:p>
            <w:pPr>
              <w:jc w:val="right"/>
              <w:ind w:right="81"/>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4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940" w:type="dxa"/>
            <w:vAlign w:val="bottom"/>
            <w:gridSpan w:val="15"/>
          </w:tcPr>
          <w:p>
            <w:pPr>
              <w:jc w:val="center"/>
              <w:spacing w:after="0" w:line="142" w:lineRule="exact"/>
              <w:rPr>
                <w:sz w:val="20"/>
                <w:szCs w:val="20"/>
                <w:color w:val="auto"/>
              </w:rPr>
            </w:pPr>
            <w:r>
              <w:rPr>
                <w:rFonts w:ascii="Arial" w:cs="Arial" w:eastAsia="Arial" w:hAnsi="Arial"/>
                <w:sz w:val="14"/>
                <w:szCs w:val="14"/>
                <w:b w:val="1"/>
                <w:bCs w:val="1"/>
                <w:color w:val="auto"/>
                <w:w w:val="91"/>
              </w:rPr>
              <w:t>(Expressed in thousands of U.S. dollars — except share and per share data)</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Comprehensive (Loss)/Income Data</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Revenue</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01"/>
              <w:spacing w:after="0"/>
              <w:rPr>
                <w:sz w:val="20"/>
                <w:szCs w:val="20"/>
                <w:color w:val="auto"/>
              </w:rPr>
            </w:pPr>
            <w:r>
              <w:rPr>
                <w:rFonts w:ascii="Arial" w:cs="Arial" w:eastAsia="Arial" w:hAnsi="Arial"/>
                <w:sz w:val="18"/>
                <w:szCs w:val="18"/>
                <w:color w:val="auto"/>
              </w:rPr>
              <w:t>416,718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482,449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01"/>
              <w:spacing w:after="0"/>
              <w:rPr>
                <w:sz w:val="20"/>
                <w:szCs w:val="20"/>
                <w:color w:val="auto"/>
              </w:rPr>
            </w:pPr>
            <w:r>
              <w:rPr>
                <w:rFonts w:ascii="Arial" w:cs="Arial" w:eastAsia="Arial" w:hAnsi="Arial"/>
                <w:sz w:val="18"/>
                <w:szCs w:val="18"/>
                <w:color w:val="auto"/>
              </w:rPr>
              <w:t>505,686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463,049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1"/>
              <w:spacing w:after="0"/>
              <w:rPr>
                <w:sz w:val="20"/>
                <w:szCs w:val="20"/>
                <w:color w:val="auto"/>
              </w:rPr>
            </w:pPr>
            <w:r>
              <w:rPr>
                <w:rFonts w:ascii="Arial" w:cs="Arial" w:eastAsia="Arial" w:hAnsi="Arial"/>
                <w:sz w:val="18"/>
                <w:szCs w:val="18"/>
                <w:color w:val="auto"/>
              </w:rPr>
              <w:t>419,782</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Administrative fee revenue from affiliate companies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16,991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28,393</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23,667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21,799</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Time charter, voyage and logistics business expenses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41"/>
              <w:spacing w:after="0"/>
              <w:rPr>
                <w:sz w:val="20"/>
                <w:szCs w:val="20"/>
                <w:color w:val="auto"/>
              </w:rPr>
            </w:pPr>
            <w:r>
              <w:rPr>
                <w:rFonts w:ascii="Arial" w:cs="Arial" w:eastAsia="Arial" w:hAnsi="Arial"/>
                <w:sz w:val="18"/>
                <w:szCs w:val="18"/>
                <w:color w:val="auto"/>
              </w:rPr>
              <w:t>(166,589)</w:t>
            </w:r>
          </w:p>
        </w:tc>
        <w:tc>
          <w:tcPr>
            <w:tcW w:w="80" w:type="dxa"/>
            <w:vAlign w:val="bottom"/>
          </w:tcPr>
          <w:p>
            <w:pPr>
              <w:spacing w:after="0"/>
              <w:rPr>
                <w:sz w:val="18"/>
                <w:szCs w:val="18"/>
                <w:color w:val="auto"/>
              </w:rPr>
            </w:pPr>
          </w:p>
        </w:tc>
        <w:tc>
          <w:tcPr>
            <w:tcW w:w="1040" w:type="dxa"/>
            <w:vAlign w:val="bottom"/>
            <w:gridSpan w:val="2"/>
          </w:tcPr>
          <w:p>
            <w:pPr>
              <w:jc w:val="right"/>
              <w:ind w:right="81"/>
              <w:spacing w:after="0"/>
              <w:rPr>
                <w:sz w:val="20"/>
                <w:szCs w:val="20"/>
                <w:color w:val="auto"/>
              </w:rPr>
            </w:pPr>
            <w:r>
              <w:rPr>
                <w:rFonts w:ascii="Arial" w:cs="Arial" w:eastAsia="Arial" w:hAnsi="Arial"/>
                <w:sz w:val="18"/>
                <w:szCs w:val="18"/>
                <w:color w:val="auto"/>
              </w:rPr>
              <w:t>(177,216)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241"/>
              <w:spacing w:after="0"/>
              <w:rPr>
                <w:sz w:val="20"/>
                <w:szCs w:val="20"/>
                <w:color w:val="auto"/>
              </w:rPr>
            </w:pPr>
            <w:r>
              <w:rPr>
                <w:rFonts w:ascii="Arial" w:cs="Arial" w:eastAsia="Arial" w:hAnsi="Arial"/>
                <w:sz w:val="18"/>
                <w:szCs w:val="18"/>
                <w:color w:val="auto"/>
              </w:rPr>
              <w:t>(205,787)</w:t>
            </w:r>
          </w:p>
        </w:tc>
        <w:tc>
          <w:tcPr>
            <w:tcW w:w="80" w:type="dxa"/>
            <w:vAlign w:val="bottom"/>
          </w:tcPr>
          <w:p>
            <w:pPr>
              <w:spacing w:after="0"/>
              <w:rPr>
                <w:sz w:val="18"/>
                <w:szCs w:val="18"/>
                <w:color w:val="auto"/>
              </w:rPr>
            </w:pPr>
          </w:p>
        </w:tc>
        <w:tc>
          <w:tcPr>
            <w:tcW w:w="1040" w:type="dxa"/>
            <w:vAlign w:val="bottom"/>
            <w:gridSpan w:val="2"/>
          </w:tcPr>
          <w:p>
            <w:pPr>
              <w:jc w:val="right"/>
              <w:ind w:right="81"/>
              <w:spacing w:after="0"/>
              <w:rPr>
                <w:sz w:val="20"/>
                <w:szCs w:val="20"/>
                <w:color w:val="auto"/>
              </w:rPr>
            </w:pPr>
            <w:r>
              <w:rPr>
                <w:rFonts w:ascii="Arial" w:cs="Arial" w:eastAsia="Arial" w:hAnsi="Arial"/>
                <w:sz w:val="18"/>
                <w:szCs w:val="18"/>
                <w:color w:val="auto"/>
              </w:rPr>
              <w:t>(213,929)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(175,072)</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Direct vessel expenses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(104,755)</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(101,467)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(96,261)</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(116,713)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(127,396)</w:t>
            </w:r>
          </w:p>
        </w:tc>
        <w:tc>
          <w:tcPr>
            <w:tcW w:w="0" w:type="dxa"/>
            <w:vAlign w:val="bottom"/>
          </w:tcPr>
          <w:p>
            <w:pPr>
              <w:spacing w:after="0"/>
              <w:rPr>
                <w:sz w:val="1"/>
                <w:szCs w:val="1"/>
                <w:color w:val="auto"/>
              </w:rPr>
            </w:pPr>
          </w:p>
        </w:tc>
      </w:tr>
      <w:tr>
        <w:trPr>
          <w:trHeight w:val="202"/>
        </w:trPr>
        <w:tc>
          <w:tcPr>
            <w:tcW w:w="4720" w:type="dxa"/>
            <w:vAlign w:val="bottom"/>
          </w:tcPr>
          <w:p>
            <w:pPr>
              <w:spacing w:after="0" w:line="201" w:lineRule="exact"/>
              <w:rPr>
                <w:sz w:val="20"/>
                <w:szCs w:val="20"/>
                <w:color w:val="auto"/>
              </w:rPr>
            </w:pPr>
            <w:r>
              <w:rPr>
                <w:rFonts w:ascii="Arial" w:cs="Arial" w:eastAsia="Arial" w:hAnsi="Arial"/>
                <w:sz w:val="18"/>
                <w:szCs w:val="18"/>
                <w:color w:val="auto"/>
              </w:rPr>
              <w:t>General and administrative expenses incurred on behalf of</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180"/>
              <w:spacing w:after="0"/>
              <w:rPr>
                <w:sz w:val="20"/>
                <w:szCs w:val="20"/>
                <w:color w:val="auto"/>
              </w:rPr>
            </w:pPr>
            <w:r>
              <w:rPr>
                <w:rFonts w:ascii="Arial" w:cs="Arial" w:eastAsia="Arial" w:hAnsi="Arial"/>
                <w:sz w:val="18"/>
                <w:szCs w:val="18"/>
                <w:color w:val="auto"/>
              </w:rPr>
              <w:t>affiliate companies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40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40" w:type="dxa"/>
            <w:vAlign w:val="bottom"/>
            <w:gridSpan w:val="2"/>
          </w:tcPr>
          <w:p>
            <w:pPr>
              <w:jc w:val="right"/>
              <w:ind w:right="81"/>
              <w:spacing w:after="0"/>
              <w:rPr>
                <w:sz w:val="20"/>
                <w:szCs w:val="20"/>
                <w:color w:val="auto"/>
              </w:rPr>
            </w:pPr>
            <w:r>
              <w:rPr>
                <w:rFonts w:ascii="Arial" w:cs="Arial" w:eastAsia="Arial" w:hAnsi="Arial"/>
                <w:sz w:val="18"/>
                <w:szCs w:val="18"/>
                <w:color w:val="auto"/>
              </w:rPr>
              <w:t>(16,991)</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2"/>
          </w:tcPr>
          <w:p>
            <w:pPr>
              <w:jc w:val="right"/>
              <w:ind w:right="241"/>
              <w:spacing w:after="0"/>
              <w:rPr>
                <w:sz w:val="20"/>
                <w:szCs w:val="20"/>
                <w:color w:val="auto"/>
              </w:rPr>
            </w:pPr>
            <w:r>
              <w:rPr>
                <w:rFonts w:ascii="Arial" w:cs="Arial" w:eastAsia="Arial" w:hAnsi="Arial"/>
                <w:sz w:val="18"/>
                <w:szCs w:val="18"/>
                <w:color w:val="auto"/>
              </w:rPr>
              <w:t>(28,393)</w:t>
            </w:r>
          </w:p>
        </w:tc>
        <w:tc>
          <w:tcPr>
            <w:tcW w:w="80" w:type="dxa"/>
            <w:vAlign w:val="bottom"/>
          </w:tcPr>
          <w:p>
            <w:pPr>
              <w:spacing w:after="0"/>
              <w:rPr>
                <w:sz w:val="20"/>
                <w:szCs w:val="20"/>
                <w:color w:val="auto"/>
              </w:rPr>
            </w:pPr>
          </w:p>
        </w:tc>
        <w:tc>
          <w:tcPr>
            <w:tcW w:w="1040" w:type="dxa"/>
            <w:vAlign w:val="bottom"/>
            <w:gridSpan w:val="2"/>
          </w:tcPr>
          <w:p>
            <w:pPr>
              <w:jc w:val="right"/>
              <w:ind w:right="81"/>
              <w:spacing w:after="0"/>
              <w:rPr>
                <w:sz w:val="20"/>
                <w:szCs w:val="20"/>
                <w:color w:val="auto"/>
              </w:rPr>
            </w:pPr>
            <w:r>
              <w:rPr>
                <w:rFonts w:ascii="Arial" w:cs="Arial" w:eastAsia="Arial" w:hAnsi="Arial"/>
                <w:sz w:val="18"/>
                <w:szCs w:val="18"/>
                <w:color w:val="auto"/>
              </w:rPr>
              <w:t>(23,667)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(21,799)</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(33,702)</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(36,194)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(26,640)</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(27,521)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(25,295)</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41"/>
              <w:spacing w:after="0"/>
              <w:rPr>
                <w:sz w:val="20"/>
                <w:szCs w:val="20"/>
                <w:color w:val="auto"/>
              </w:rPr>
            </w:pPr>
            <w:r>
              <w:rPr>
                <w:rFonts w:ascii="Arial" w:cs="Arial" w:eastAsia="Arial" w:hAnsi="Arial"/>
                <w:sz w:val="18"/>
                <w:szCs w:val="18"/>
                <w:color w:val="auto"/>
              </w:rPr>
              <w:t>(71,015)</w:t>
            </w:r>
          </w:p>
        </w:tc>
        <w:tc>
          <w:tcPr>
            <w:tcW w:w="80" w:type="dxa"/>
            <w:vAlign w:val="bottom"/>
          </w:tcPr>
          <w:p>
            <w:pPr>
              <w:spacing w:after="0"/>
              <w:rPr>
                <w:sz w:val="18"/>
                <w:szCs w:val="18"/>
                <w:color w:val="auto"/>
              </w:rPr>
            </w:pPr>
          </w:p>
        </w:tc>
        <w:tc>
          <w:tcPr>
            <w:tcW w:w="1040" w:type="dxa"/>
            <w:vAlign w:val="bottom"/>
            <w:gridSpan w:val="2"/>
          </w:tcPr>
          <w:p>
            <w:pPr>
              <w:jc w:val="right"/>
              <w:ind w:right="81"/>
              <w:spacing w:after="0"/>
              <w:rPr>
                <w:sz w:val="20"/>
                <w:szCs w:val="20"/>
                <w:color w:val="auto"/>
              </w:rPr>
            </w:pPr>
            <w:r>
              <w:rPr>
                <w:rFonts w:ascii="Arial" w:cs="Arial" w:eastAsia="Arial" w:hAnsi="Arial"/>
                <w:sz w:val="18"/>
                <w:szCs w:val="18"/>
                <w:color w:val="auto"/>
              </w:rPr>
              <w:t>(81,723)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241"/>
              <w:spacing w:after="0"/>
              <w:rPr>
                <w:sz w:val="20"/>
                <w:szCs w:val="20"/>
                <w:color w:val="auto"/>
              </w:rPr>
            </w:pPr>
            <w:r>
              <w:rPr>
                <w:rFonts w:ascii="Arial" w:cs="Arial" w:eastAsia="Arial" w:hAnsi="Arial"/>
                <w:sz w:val="18"/>
                <w:szCs w:val="18"/>
                <w:color w:val="auto"/>
              </w:rPr>
              <w:t>(99,779)</w:t>
            </w:r>
          </w:p>
        </w:tc>
        <w:tc>
          <w:tcPr>
            <w:tcW w:w="80" w:type="dxa"/>
            <w:vAlign w:val="bottom"/>
          </w:tcPr>
          <w:p>
            <w:pPr>
              <w:spacing w:after="0"/>
              <w:rPr>
                <w:sz w:val="18"/>
                <w:szCs w:val="18"/>
                <w:color w:val="auto"/>
              </w:rPr>
            </w:pPr>
          </w:p>
        </w:tc>
        <w:tc>
          <w:tcPr>
            <w:tcW w:w="1040" w:type="dxa"/>
            <w:vAlign w:val="bottom"/>
            <w:gridSpan w:val="2"/>
          </w:tcPr>
          <w:p>
            <w:pPr>
              <w:jc w:val="right"/>
              <w:ind w:right="81"/>
              <w:spacing w:after="0"/>
              <w:rPr>
                <w:sz w:val="20"/>
                <w:szCs w:val="20"/>
                <w:color w:val="auto"/>
              </w:rPr>
            </w:pPr>
            <w:r>
              <w:rPr>
                <w:rFonts w:ascii="Arial" w:cs="Arial" w:eastAsia="Arial" w:hAnsi="Arial"/>
                <w:sz w:val="18"/>
                <w:szCs w:val="18"/>
                <w:color w:val="auto"/>
              </w:rPr>
              <w:t>(104,112)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(113,825)</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Allowance for credit losses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(541)</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(999)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(575)</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(269)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(1,304)</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01"/>
              <w:spacing w:after="0"/>
              <w:rPr>
                <w:sz w:val="20"/>
                <w:szCs w:val="20"/>
                <w:color w:val="auto"/>
              </w:rPr>
            </w:pPr>
            <w:r>
              <w:rPr>
                <w:rFonts w:ascii="Arial" w:cs="Arial" w:eastAsia="Arial" w:hAnsi="Arial"/>
                <w:sz w:val="18"/>
                <w:szCs w:val="18"/>
                <w:color w:val="auto"/>
              </w:rPr>
              <w:t>257</w:t>
            </w:r>
          </w:p>
        </w:tc>
        <w:tc>
          <w:tcPr>
            <w:tcW w:w="80" w:type="dxa"/>
            <w:vAlign w:val="bottom"/>
          </w:tcPr>
          <w:p>
            <w:pPr>
              <w:spacing w:after="0"/>
              <w:rPr>
                <w:sz w:val="18"/>
                <w:szCs w:val="18"/>
                <w:color w:val="auto"/>
              </w:rPr>
            </w:pP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10,662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01"/>
              <w:spacing w:after="0"/>
              <w:rPr>
                <w:sz w:val="20"/>
                <w:szCs w:val="20"/>
                <w:color w:val="auto"/>
              </w:rPr>
            </w:pPr>
            <w:r>
              <w:rPr>
                <w:rFonts w:ascii="Arial" w:cs="Arial" w:eastAsia="Arial" w:hAnsi="Arial"/>
                <w:sz w:val="18"/>
                <w:szCs w:val="18"/>
                <w:color w:val="auto"/>
              </w:rPr>
              <w:t>8,748</w:t>
            </w:r>
          </w:p>
        </w:tc>
        <w:tc>
          <w:tcPr>
            <w:tcW w:w="80" w:type="dxa"/>
            <w:vAlign w:val="bottom"/>
          </w:tcPr>
          <w:p>
            <w:pPr>
              <w:spacing w:after="0"/>
              <w:rPr>
                <w:sz w:val="18"/>
                <w:szCs w:val="18"/>
                <w:color w:val="auto"/>
              </w:rPr>
            </w:pP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6,831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Arial" w:cs="Arial" w:eastAsia="Arial" w:hAnsi="Arial"/>
                <w:sz w:val="18"/>
                <w:szCs w:val="18"/>
                <w:color w:val="auto"/>
              </w:rPr>
              <w:t>4,947</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and finance cost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(136,559)</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(133,479)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(137,916)</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(121,611)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(113,639)</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Impairment loss/ loss on sale of vessels, net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41"/>
              <w:spacing w:after="0"/>
              <w:rPr>
                <w:sz w:val="20"/>
                <w:szCs w:val="20"/>
                <w:color w:val="auto"/>
              </w:rPr>
            </w:pPr>
            <w:r>
              <w:rPr>
                <w:rFonts w:ascii="Arial" w:cs="Arial" w:eastAsia="Arial" w:hAnsi="Arial"/>
                <w:sz w:val="18"/>
                <w:szCs w:val="18"/>
                <w:color w:val="auto"/>
              </w:rPr>
              <w:t>(88,367)</w:t>
            </w:r>
          </w:p>
        </w:tc>
        <w:tc>
          <w:tcPr>
            <w:tcW w:w="80" w:type="dxa"/>
            <w:vAlign w:val="bottom"/>
          </w:tcPr>
          <w:p>
            <w:pPr>
              <w:spacing w:after="0"/>
              <w:rPr>
                <w:sz w:val="18"/>
                <w:szCs w:val="18"/>
                <w:color w:val="auto"/>
              </w:rPr>
            </w:pPr>
          </w:p>
        </w:tc>
        <w:tc>
          <w:tcPr>
            <w:tcW w:w="1040" w:type="dxa"/>
            <w:vAlign w:val="bottom"/>
            <w:gridSpan w:val="2"/>
          </w:tcPr>
          <w:p>
            <w:pPr>
              <w:jc w:val="right"/>
              <w:ind w:right="81"/>
              <w:spacing w:after="0"/>
              <w:rPr>
                <w:sz w:val="20"/>
                <w:szCs w:val="20"/>
                <w:color w:val="auto"/>
              </w:rPr>
            </w:pPr>
            <w:r>
              <w:rPr>
                <w:rFonts w:ascii="Arial" w:cs="Arial" w:eastAsia="Arial" w:hAnsi="Arial"/>
                <w:sz w:val="18"/>
                <w:szCs w:val="18"/>
                <w:color w:val="auto"/>
              </w:rPr>
              <w:t>(156,106)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241"/>
              <w:spacing w:after="0"/>
              <w:rPr>
                <w:sz w:val="20"/>
                <w:szCs w:val="20"/>
                <w:color w:val="auto"/>
              </w:rPr>
            </w:pPr>
            <w:r>
              <w:rPr>
                <w:rFonts w:ascii="Arial" w:cs="Arial" w:eastAsia="Arial" w:hAnsi="Arial"/>
                <w:sz w:val="18"/>
                <w:szCs w:val="18"/>
                <w:color w:val="auto"/>
              </w:rPr>
              <w:t>(200,657)</w:t>
            </w:r>
          </w:p>
        </w:tc>
        <w:tc>
          <w:tcPr>
            <w:tcW w:w="80" w:type="dxa"/>
            <w:vAlign w:val="bottom"/>
          </w:tcPr>
          <w:p>
            <w:pPr>
              <w:spacing w:after="0"/>
              <w:rPr>
                <w:sz w:val="18"/>
                <w:szCs w:val="18"/>
                <w:color w:val="auto"/>
              </w:rPr>
            </w:pPr>
          </w:p>
        </w:tc>
        <w:tc>
          <w:tcPr>
            <w:tcW w:w="1040" w:type="dxa"/>
            <w:vAlign w:val="bottom"/>
            <w:gridSpan w:val="2"/>
          </w:tcPr>
          <w:p>
            <w:pPr>
              <w:jc w:val="right"/>
              <w:ind w:right="81"/>
              <w:spacing w:after="0"/>
              <w:rPr>
                <w:sz w:val="20"/>
                <w:szCs w:val="20"/>
                <w:color w:val="auto"/>
              </w:rPr>
            </w:pPr>
            <w:r>
              <w:rPr>
                <w:rFonts w:ascii="Arial" w:cs="Arial" w:eastAsia="Arial" w:hAnsi="Arial"/>
                <w:sz w:val="18"/>
                <w:szCs w:val="18"/>
                <w:color w:val="auto"/>
              </w:rPr>
              <w:t>(50,565)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Gain/(loss) on bond and debt extinguishment, net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7,047</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47,430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6,464</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(981)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29,187</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Gain on sale of assets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0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4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01"/>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8"/>
                <w:szCs w:val="18"/>
                <w:color w:val="auto"/>
              </w:rPr>
            </w:pP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1,064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business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9,802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w w:val="98"/>
              </w:rPr>
              <w:t>(Loss on loss of control)/Bargain gain upon obtaining control</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0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40" w:type="dxa"/>
            <w:vAlign w:val="bottom"/>
            <w:gridSpan w:val="2"/>
          </w:tcPr>
          <w:p>
            <w:pPr>
              <w:jc w:val="right"/>
              <w:ind w:right="81"/>
              <w:spacing w:after="0"/>
              <w:rPr>
                <w:sz w:val="20"/>
                <w:szCs w:val="20"/>
                <w:color w:val="auto"/>
              </w:rPr>
            </w:pPr>
            <w:r>
              <w:rPr>
                <w:rFonts w:ascii="Arial" w:cs="Arial" w:eastAsia="Arial" w:hAnsi="Arial"/>
                <w:sz w:val="18"/>
                <w:szCs w:val="18"/>
                <w:color w:val="auto"/>
              </w:rPr>
              <w:t>(61,741)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01"/>
              <w:spacing w:after="0"/>
              <w:rPr>
                <w:sz w:val="20"/>
                <w:szCs w:val="20"/>
                <w:color w:val="auto"/>
              </w:rPr>
            </w:pPr>
            <w:r>
              <w:rPr>
                <w:rFonts w:ascii="Arial" w:cs="Arial" w:eastAsia="Arial" w:hAnsi="Arial"/>
                <w:sz w:val="18"/>
                <w:szCs w:val="18"/>
                <w:color w:val="auto"/>
              </w:rPr>
              <w:t>58,313</w:t>
            </w:r>
          </w:p>
        </w:tc>
        <w:tc>
          <w:tcPr>
            <w:tcW w:w="80" w:type="dxa"/>
            <w:vAlign w:val="bottom"/>
          </w:tcPr>
          <w:p>
            <w:pPr>
              <w:spacing w:after="0"/>
              <w:rPr>
                <w:sz w:val="18"/>
                <w:szCs w:val="18"/>
                <w:color w:val="auto"/>
              </w:rPr>
            </w:pPr>
          </w:p>
        </w:tc>
        <w:tc>
          <w:tcPr>
            <w:tcW w:w="104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6,303</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44,750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14,500</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6,140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18,175</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Other expense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41"/>
              <w:spacing w:after="0"/>
              <w:rPr>
                <w:sz w:val="20"/>
                <w:szCs w:val="20"/>
                <w:color w:val="auto"/>
              </w:rPr>
            </w:pPr>
            <w:r>
              <w:rPr>
                <w:rFonts w:ascii="Arial" w:cs="Arial" w:eastAsia="Arial" w:hAnsi="Arial"/>
                <w:sz w:val="18"/>
                <w:szCs w:val="18"/>
                <w:color w:val="auto"/>
              </w:rPr>
              <w:t>(8,007)</w:t>
            </w:r>
          </w:p>
        </w:tc>
        <w:tc>
          <w:tcPr>
            <w:tcW w:w="80" w:type="dxa"/>
            <w:vAlign w:val="bottom"/>
          </w:tcPr>
          <w:p>
            <w:pPr>
              <w:spacing w:after="0"/>
              <w:rPr>
                <w:sz w:val="18"/>
                <w:szCs w:val="18"/>
                <w:color w:val="auto"/>
              </w:rPr>
            </w:pPr>
          </w:p>
        </w:tc>
        <w:tc>
          <w:tcPr>
            <w:tcW w:w="1040" w:type="dxa"/>
            <w:vAlign w:val="bottom"/>
            <w:gridSpan w:val="2"/>
          </w:tcPr>
          <w:p>
            <w:pPr>
              <w:jc w:val="right"/>
              <w:ind w:right="81"/>
              <w:spacing w:after="0"/>
              <w:rPr>
                <w:sz w:val="20"/>
                <w:szCs w:val="20"/>
                <w:color w:val="auto"/>
              </w:rPr>
            </w:pPr>
            <w:r>
              <w:rPr>
                <w:rFonts w:ascii="Arial" w:cs="Arial" w:eastAsia="Arial" w:hAnsi="Arial"/>
                <w:sz w:val="18"/>
                <w:szCs w:val="18"/>
                <w:color w:val="auto"/>
              </w:rPr>
              <w:t>(15,842)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241"/>
              <w:spacing w:after="0"/>
              <w:rPr>
                <w:sz w:val="20"/>
                <w:szCs w:val="20"/>
                <w:color w:val="auto"/>
              </w:rPr>
            </w:pPr>
            <w:r>
              <w:rPr>
                <w:rFonts w:ascii="Arial" w:cs="Arial" w:eastAsia="Arial" w:hAnsi="Arial"/>
                <w:sz w:val="18"/>
                <w:szCs w:val="18"/>
                <w:color w:val="auto"/>
              </w:rPr>
              <w:t>(13,290)</w:t>
            </w:r>
          </w:p>
        </w:tc>
        <w:tc>
          <w:tcPr>
            <w:tcW w:w="80" w:type="dxa"/>
            <w:vAlign w:val="bottom"/>
          </w:tcPr>
          <w:p>
            <w:pPr>
              <w:spacing w:after="0"/>
              <w:rPr>
                <w:sz w:val="18"/>
                <w:szCs w:val="18"/>
                <w:color w:val="auto"/>
              </w:rPr>
            </w:pPr>
          </w:p>
        </w:tc>
        <w:tc>
          <w:tcPr>
            <w:tcW w:w="1040" w:type="dxa"/>
            <w:vAlign w:val="bottom"/>
            <w:gridSpan w:val="2"/>
          </w:tcPr>
          <w:p>
            <w:pPr>
              <w:jc w:val="right"/>
              <w:ind w:right="81"/>
              <w:spacing w:after="0"/>
              <w:rPr>
                <w:sz w:val="20"/>
                <w:szCs w:val="20"/>
                <w:color w:val="auto"/>
              </w:rPr>
            </w:pPr>
            <w:r>
              <w:rPr>
                <w:rFonts w:ascii="Arial" w:cs="Arial" w:eastAsia="Arial" w:hAnsi="Arial"/>
                <w:sz w:val="18"/>
                <w:szCs w:val="18"/>
                <w:color w:val="auto"/>
              </w:rPr>
              <w:t>(13,761)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(11,665)</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Impairment of loan receivable from affiliate company</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(6,050)</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5"/>
        </w:trPr>
        <w:tc>
          <w:tcPr>
            <w:tcW w:w="4720" w:type="dxa"/>
            <w:vAlign w:val="bottom"/>
          </w:tcPr>
          <w:p>
            <w:pPr>
              <w:spacing w:after="0" w:line="205" w:lineRule="exact"/>
              <w:rPr>
                <w:sz w:val="20"/>
                <w:szCs w:val="20"/>
                <w:color w:val="auto"/>
              </w:rPr>
            </w:pPr>
            <w:r>
              <w:rPr>
                <w:rFonts w:ascii="Arial" w:cs="Arial" w:eastAsia="Arial" w:hAnsi="Arial"/>
                <w:sz w:val="18"/>
                <w:szCs w:val="18"/>
                <w:b w:val="1"/>
                <w:bCs w:val="1"/>
                <w:color w:val="auto"/>
              </w:rPr>
              <w:t>Loss before equity in net (losses)/earnings of affiliate</w:t>
            </w: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20" w:type="dxa"/>
            <w:vAlign w:val="bottom"/>
          </w:tcPr>
          <w:p>
            <w:pPr>
              <w:ind w:left="180"/>
              <w:spacing w:after="0"/>
              <w:rPr>
                <w:sz w:val="20"/>
                <w:szCs w:val="20"/>
                <w:color w:val="auto"/>
              </w:rPr>
            </w:pPr>
            <w:r>
              <w:rPr>
                <w:rFonts w:ascii="Arial" w:cs="Arial" w:eastAsia="Arial" w:hAnsi="Arial"/>
                <w:sz w:val="18"/>
                <w:szCs w:val="18"/>
                <w:b w:val="1"/>
                <w:bCs w:val="1"/>
                <w:color w:val="auto"/>
              </w:rPr>
              <w:t>companies</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tcPr>
          <w:p>
            <w:pPr>
              <w:jc w:val="right"/>
              <w:ind w:right="241"/>
              <w:spacing w:after="0"/>
              <w:rPr>
                <w:sz w:val="20"/>
                <w:szCs w:val="20"/>
                <w:color w:val="auto"/>
              </w:rPr>
            </w:pPr>
            <w:r>
              <w:rPr>
                <w:rFonts w:ascii="Arial" w:cs="Arial" w:eastAsia="Arial" w:hAnsi="Arial"/>
                <w:sz w:val="18"/>
                <w:szCs w:val="18"/>
                <w:b w:val="1"/>
                <w:bCs w:val="1"/>
                <w:color w:val="auto"/>
              </w:rPr>
              <w:t>(185,260)</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tcPr>
          <w:p>
            <w:pPr>
              <w:jc w:val="right"/>
              <w:ind w:right="81"/>
              <w:spacing w:after="0"/>
              <w:rPr>
                <w:sz w:val="20"/>
                <w:szCs w:val="20"/>
                <w:color w:val="auto"/>
              </w:rPr>
            </w:pPr>
            <w:r>
              <w:rPr>
                <w:rFonts w:ascii="Arial" w:cs="Arial" w:eastAsia="Arial" w:hAnsi="Arial"/>
                <w:sz w:val="18"/>
                <w:szCs w:val="18"/>
                <w:b w:val="1"/>
                <w:bCs w:val="1"/>
                <w:color w:val="auto"/>
              </w:rPr>
              <w:t>(169,674)</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tcPr>
          <w:p>
            <w:pPr>
              <w:jc w:val="right"/>
              <w:ind w:right="241"/>
              <w:spacing w:after="0"/>
              <w:rPr>
                <w:sz w:val="20"/>
                <w:szCs w:val="20"/>
                <w:color w:val="auto"/>
              </w:rPr>
            </w:pPr>
            <w:r>
              <w:rPr>
                <w:rFonts w:ascii="Arial" w:cs="Arial" w:eastAsia="Arial" w:hAnsi="Arial"/>
                <w:sz w:val="18"/>
                <w:szCs w:val="18"/>
                <w:b w:val="1"/>
                <w:bCs w:val="1"/>
                <w:color w:val="auto"/>
              </w:rPr>
              <w:t>(187,166)</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tcPr>
          <w:p>
            <w:pPr>
              <w:jc w:val="right"/>
              <w:ind w:right="81"/>
              <w:spacing w:after="0"/>
              <w:rPr>
                <w:sz w:val="20"/>
                <w:szCs w:val="20"/>
                <w:color w:val="auto"/>
              </w:rPr>
            </w:pPr>
            <w:r>
              <w:rPr>
                <w:rFonts w:ascii="Arial" w:cs="Arial" w:eastAsia="Arial" w:hAnsi="Arial"/>
                <w:sz w:val="18"/>
                <w:szCs w:val="18"/>
                <w:b w:val="1"/>
                <w:bCs w:val="1"/>
                <w:color w:val="auto"/>
              </w:rPr>
              <w:t>(172,378)</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(96,105)</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Equity in net (losses)/earnings of affiliate companies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(1,293)</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(9,185)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(80,205)</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4,399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(202,779)</w:t>
            </w:r>
          </w:p>
        </w:tc>
        <w:tc>
          <w:tcPr>
            <w:tcW w:w="0" w:type="dxa"/>
            <w:vAlign w:val="bottom"/>
          </w:tcPr>
          <w:p>
            <w:pPr>
              <w:spacing w:after="0"/>
              <w:rPr>
                <w:sz w:val="1"/>
                <w:szCs w:val="1"/>
                <w:color w:val="auto"/>
              </w:rPr>
            </w:pPr>
          </w:p>
        </w:tc>
      </w:tr>
      <w:tr>
        <w:trPr>
          <w:trHeight w:val="223"/>
        </w:trPr>
        <w:tc>
          <w:tcPr>
            <w:tcW w:w="4720" w:type="dxa"/>
            <w:vAlign w:val="bottom"/>
          </w:tcPr>
          <w:p>
            <w:pPr>
              <w:spacing w:after="0"/>
              <w:rPr>
                <w:sz w:val="20"/>
                <w:szCs w:val="20"/>
                <w:color w:val="auto"/>
              </w:rPr>
            </w:pPr>
            <w:r>
              <w:rPr>
                <w:rFonts w:ascii="Arial" w:cs="Arial" w:eastAsia="Arial" w:hAnsi="Arial"/>
                <w:sz w:val="18"/>
                <w:szCs w:val="18"/>
                <w:b w:val="1"/>
                <w:bCs w:val="1"/>
                <w:color w:val="auto"/>
              </w:rPr>
              <w:t>Loss before taxes</w:t>
            </w:r>
          </w:p>
        </w:tc>
        <w:tc>
          <w:tcPr>
            <w:tcW w:w="1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(186,553)</w:t>
            </w:r>
          </w:p>
        </w:tc>
        <w:tc>
          <w:tcPr>
            <w:tcW w:w="38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(178,859)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(267,371)</w:t>
            </w:r>
          </w:p>
        </w:tc>
        <w:tc>
          <w:tcPr>
            <w:tcW w:w="38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(167,979)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(298,884)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(expense)/benefit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(2,052)</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(1,475)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1,108</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3,192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(1,265)</w:t>
            </w: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r>
              <w:rPr>
                <w:rFonts w:ascii="Arial" w:cs="Arial" w:eastAsia="Arial" w:hAnsi="Arial"/>
                <w:sz w:val="18"/>
                <w:szCs w:val="18"/>
                <w:b w:val="1"/>
                <w:bCs w:val="1"/>
                <w:color w:val="auto"/>
              </w:rPr>
              <w:t>Net loss from continuing operations</w:t>
            </w: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(188,605</w:t>
            </w:r>
          </w:p>
        </w:tc>
        <w:tc>
          <w:tcPr>
            <w:tcW w:w="380" w:type="dxa"/>
            <w:vAlign w:val="bottom"/>
          </w:tcPr>
          <w:p>
            <w:pPr>
              <w:jc w:val="right"/>
              <w:ind w:right="241"/>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(180,334</w:t>
            </w:r>
          </w:p>
        </w:tc>
        <w:tc>
          <w:tcPr>
            <w:tcW w:w="220" w:type="dxa"/>
            <w:vAlign w:val="bottom"/>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6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(266,263</w:t>
            </w:r>
          </w:p>
        </w:tc>
        <w:tc>
          <w:tcPr>
            <w:tcW w:w="380" w:type="dxa"/>
            <w:vAlign w:val="bottom"/>
          </w:tcPr>
          <w:p>
            <w:pPr>
              <w:jc w:val="right"/>
              <w:ind w:right="241"/>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(164,787</w:t>
            </w:r>
          </w:p>
        </w:tc>
        <w:tc>
          <w:tcPr>
            <w:tcW w:w="220" w:type="dxa"/>
            <w:vAlign w:val="bottom"/>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(300,149</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Net (loss)/income from discontinued operations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(4,118)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752</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2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1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(188,605)</w:t>
            </w:r>
          </w:p>
        </w:tc>
        <w:tc>
          <w:tcPr>
            <w:tcW w:w="38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(184,452)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(265,511)</w:t>
            </w:r>
          </w:p>
        </w:tc>
        <w:tc>
          <w:tcPr>
            <w:tcW w:w="38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(164,787)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(300,149)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Less: Net income attributable to the noncontrolling interest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(4,356)</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(7,658)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(3,207)</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(1,123)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(3,674)</w:t>
            </w:r>
          </w:p>
        </w:tc>
        <w:tc>
          <w:tcPr>
            <w:tcW w:w="0" w:type="dxa"/>
            <w:vAlign w:val="bottom"/>
          </w:tcPr>
          <w:p>
            <w:pPr>
              <w:spacing w:after="0"/>
              <w:rPr>
                <w:sz w:val="1"/>
                <w:szCs w:val="1"/>
                <w:color w:val="auto"/>
              </w:rPr>
            </w:pPr>
          </w:p>
        </w:tc>
      </w:tr>
      <w:tr>
        <w:trPr>
          <w:trHeight w:val="205"/>
        </w:trPr>
        <w:tc>
          <w:tcPr>
            <w:tcW w:w="4720" w:type="dxa"/>
            <w:vAlign w:val="bottom"/>
          </w:tcPr>
          <w:p>
            <w:pPr>
              <w:spacing w:after="0" w:line="205" w:lineRule="exact"/>
              <w:rPr>
                <w:sz w:val="20"/>
                <w:szCs w:val="20"/>
                <w:color w:val="auto"/>
              </w:rPr>
            </w:pPr>
            <w:r>
              <w:rPr>
                <w:rFonts w:ascii="Arial" w:cs="Arial" w:eastAsia="Arial" w:hAnsi="Arial"/>
                <w:sz w:val="18"/>
                <w:szCs w:val="18"/>
                <w:b w:val="1"/>
                <w:bCs w:val="1"/>
                <w:color w:val="auto"/>
              </w:rPr>
              <w:t>Net loss attributable to Navios Holdings common</w:t>
            </w: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20" w:type="dxa"/>
            <w:vAlign w:val="bottom"/>
          </w:tcPr>
          <w:p>
            <w:pPr>
              <w:ind w:left="180"/>
              <w:spacing w:after="0"/>
              <w:rPr>
                <w:sz w:val="20"/>
                <w:szCs w:val="20"/>
                <w:color w:val="auto"/>
              </w:rPr>
            </w:pPr>
            <w:r>
              <w:rPr>
                <w:rFonts w:ascii="Arial" w:cs="Arial" w:eastAsia="Arial" w:hAnsi="Arial"/>
                <w:sz w:val="18"/>
                <w:szCs w:val="18"/>
                <w:b w:val="1"/>
                <w:bCs w:val="1"/>
                <w:color w:val="auto"/>
              </w:rPr>
              <w:t>stockholders</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tcPr>
          <w:p>
            <w:pPr>
              <w:jc w:val="right"/>
              <w:ind w:right="241"/>
              <w:spacing w:after="0"/>
              <w:rPr>
                <w:sz w:val="20"/>
                <w:szCs w:val="20"/>
                <w:color w:val="auto"/>
              </w:rPr>
            </w:pPr>
            <w:r>
              <w:rPr>
                <w:rFonts w:ascii="Arial" w:cs="Arial" w:eastAsia="Arial" w:hAnsi="Arial"/>
                <w:sz w:val="18"/>
                <w:szCs w:val="18"/>
                <w:b w:val="1"/>
                <w:bCs w:val="1"/>
                <w:color w:val="auto"/>
              </w:rPr>
              <w:t>(192,961)</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tcPr>
          <w:p>
            <w:pPr>
              <w:jc w:val="right"/>
              <w:ind w:right="81"/>
              <w:spacing w:after="0"/>
              <w:rPr>
                <w:sz w:val="20"/>
                <w:szCs w:val="20"/>
                <w:color w:val="auto"/>
              </w:rPr>
            </w:pPr>
            <w:r>
              <w:rPr>
                <w:rFonts w:ascii="Arial" w:cs="Arial" w:eastAsia="Arial" w:hAnsi="Arial"/>
                <w:sz w:val="18"/>
                <w:szCs w:val="18"/>
                <w:b w:val="1"/>
                <w:bCs w:val="1"/>
                <w:color w:val="auto"/>
              </w:rPr>
              <w:t>(192,110)</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tcPr>
          <w:p>
            <w:pPr>
              <w:jc w:val="right"/>
              <w:ind w:right="241"/>
              <w:spacing w:after="0"/>
              <w:rPr>
                <w:sz w:val="20"/>
                <w:szCs w:val="20"/>
                <w:color w:val="auto"/>
              </w:rPr>
            </w:pPr>
            <w:r>
              <w:rPr>
                <w:rFonts w:ascii="Arial" w:cs="Arial" w:eastAsia="Arial" w:hAnsi="Arial"/>
                <w:sz w:val="18"/>
                <w:szCs w:val="18"/>
                <w:b w:val="1"/>
                <w:bCs w:val="1"/>
                <w:color w:val="auto"/>
              </w:rPr>
              <w:t>(268,718)</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tcPr>
          <w:p>
            <w:pPr>
              <w:jc w:val="right"/>
              <w:ind w:right="81"/>
              <w:spacing w:after="0"/>
              <w:rPr>
                <w:sz w:val="20"/>
                <w:szCs w:val="20"/>
                <w:color w:val="auto"/>
              </w:rPr>
            </w:pPr>
            <w:r>
              <w:rPr>
                <w:rFonts w:ascii="Arial" w:cs="Arial" w:eastAsia="Arial" w:hAnsi="Arial"/>
                <w:sz w:val="18"/>
                <w:szCs w:val="18"/>
                <w:b w:val="1"/>
                <w:bCs w:val="1"/>
                <w:color w:val="auto"/>
              </w:rPr>
              <w:t>(165,910)</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(303,823)</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720" w:type="dxa"/>
            <w:vAlign w:val="bottom"/>
            <w:shd w:val="clear" w:color="auto" w:fill="CCEEFF"/>
          </w:tcPr>
          <w:p>
            <w:pPr>
              <w:spacing w:after="0" w:line="192" w:lineRule="exact"/>
              <w:rPr>
                <w:sz w:val="20"/>
                <w:szCs w:val="20"/>
                <w:color w:val="auto"/>
              </w:rPr>
            </w:pPr>
            <w:r>
              <w:rPr>
                <w:rFonts w:ascii="Arial" w:cs="Arial" w:eastAsia="Arial" w:hAnsi="Arial"/>
                <w:sz w:val="18"/>
                <w:szCs w:val="18"/>
                <w:b w:val="1"/>
                <w:bCs w:val="1"/>
                <w:color w:val="auto"/>
                <w:w w:val="91"/>
              </w:rPr>
              <w:t>Loss attributable to Navios Holdings common stockholders,</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basic and diluted from continuing operations</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b w:val="1"/>
                <w:bCs w:val="1"/>
                <w:color w:val="auto"/>
              </w:rPr>
              <w:t>(197,939)</w:t>
            </w: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(149,490)</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b w:val="1"/>
                <w:bCs w:val="1"/>
                <w:color w:val="auto"/>
              </w:rPr>
              <w:t>(279,711)</w:t>
            </w: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(175,298)</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(273,105)</w:t>
            </w:r>
          </w:p>
        </w:tc>
        <w:tc>
          <w:tcPr>
            <w:tcW w:w="0" w:type="dxa"/>
            <w:vAlign w:val="bottom"/>
          </w:tcPr>
          <w:p>
            <w:pPr>
              <w:spacing w:after="0"/>
              <w:rPr>
                <w:sz w:val="1"/>
                <w:szCs w:val="1"/>
                <w:color w:val="auto"/>
              </w:rPr>
            </w:pPr>
          </w:p>
        </w:tc>
      </w:tr>
      <w:tr>
        <w:trPr>
          <w:trHeight w:val="205"/>
        </w:trPr>
        <w:tc>
          <w:tcPr>
            <w:tcW w:w="4720" w:type="dxa"/>
            <w:vAlign w:val="bottom"/>
          </w:tcPr>
          <w:p>
            <w:pPr>
              <w:spacing w:after="0" w:line="205" w:lineRule="exact"/>
              <w:rPr>
                <w:sz w:val="20"/>
                <w:szCs w:val="20"/>
                <w:color w:val="auto"/>
              </w:rPr>
            </w:pPr>
            <w:r>
              <w:rPr>
                <w:rFonts w:ascii="Arial" w:cs="Arial" w:eastAsia="Arial" w:hAnsi="Arial"/>
                <w:sz w:val="18"/>
                <w:szCs w:val="18"/>
                <w:b w:val="1"/>
                <w:bCs w:val="1"/>
                <w:color w:val="auto"/>
                <w:w w:val="99"/>
              </w:rPr>
              <w:t>(Loss)/Income attributable to Navios Holdings common</w:t>
            </w: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180"/>
              <w:spacing w:after="0"/>
              <w:rPr>
                <w:sz w:val="20"/>
                <w:szCs w:val="20"/>
                <w:color w:val="auto"/>
              </w:rPr>
            </w:pPr>
            <w:r>
              <w:rPr>
                <w:rFonts w:ascii="Arial" w:cs="Arial" w:eastAsia="Arial" w:hAnsi="Arial"/>
                <w:sz w:val="18"/>
                <w:szCs w:val="18"/>
                <w:b w:val="1"/>
                <w:bCs w:val="1"/>
                <w:color w:val="auto"/>
              </w:rPr>
              <w:t>stockholders, basic and diluted from discontinued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720" w:type="dxa"/>
            <w:vAlign w:val="bottom"/>
          </w:tcPr>
          <w:p>
            <w:pPr>
              <w:ind w:left="180"/>
              <w:spacing w:after="0"/>
              <w:rPr>
                <w:sz w:val="20"/>
                <w:szCs w:val="20"/>
                <w:color w:val="auto"/>
              </w:rPr>
            </w:pPr>
            <w:r>
              <w:rPr>
                <w:rFonts w:ascii="Arial" w:cs="Arial" w:eastAsia="Arial" w:hAnsi="Arial"/>
                <w:sz w:val="18"/>
                <w:szCs w:val="18"/>
                <w:b w:val="1"/>
                <w:bCs w:val="1"/>
                <w:color w:val="auto"/>
              </w:rPr>
              <w:t>operations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401"/>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0"/>
                <w:szCs w:val="20"/>
                <w:color w:val="auto"/>
              </w:rPr>
            </w:pPr>
          </w:p>
        </w:tc>
        <w:tc>
          <w:tcPr>
            <w:tcW w:w="1040" w:type="dxa"/>
            <w:vAlign w:val="bottom"/>
            <w:gridSpan w:val="2"/>
          </w:tcPr>
          <w:p>
            <w:pPr>
              <w:jc w:val="right"/>
              <w:ind w:right="81"/>
              <w:spacing w:after="0"/>
              <w:rPr>
                <w:sz w:val="20"/>
                <w:szCs w:val="20"/>
                <w:color w:val="auto"/>
              </w:rPr>
            </w:pPr>
            <w:r>
              <w:rPr>
                <w:rFonts w:ascii="Arial" w:cs="Arial" w:eastAsia="Arial" w:hAnsi="Arial"/>
                <w:sz w:val="18"/>
                <w:szCs w:val="18"/>
                <w:b w:val="1"/>
                <w:bCs w:val="1"/>
                <w:color w:val="auto"/>
              </w:rPr>
              <w:t>(4,118)</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2"/>
          </w:tcPr>
          <w:p>
            <w:pPr>
              <w:jc w:val="right"/>
              <w:ind w:right="301"/>
              <w:spacing w:after="0"/>
              <w:rPr>
                <w:sz w:val="20"/>
                <w:szCs w:val="20"/>
                <w:color w:val="auto"/>
              </w:rPr>
            </w:pPr>
            <w:r>
              <w:rPr>
                <w:rFonts w:ascii="Arial" w:cs="Arial" w:eastAsia="Arial" w:hAnsi="Arial"/>
                <w:sz w:val="18"/>
                <w:szCs w:val="18"/>
                <w:b w:val="1"/>
                <w:bCs w:val="1"/>
                <w:color w:val="auto"/>
              </w:rPr>
              <w:t>752</w:t>
            </w:r>
          </w:p>
        </w:tc>
        <w:tc>
          <w:tcPr>
            <w:tcW w:w="80" w:type="dxa"/>
            <w:vAlign w:val="bottom"/>
          </w:tcPr>
          <w:p>
            <w:pPr>
              <w:spacing w:after="0"/>
              <w:rPr>
                <w:sz w:val="20"/>
                <w:szCs w:val="20"/>
                <w:color w:val="auto"/>
              </w:rPr>
            </w:pPr>
          </w:p>
        </w:tc>
        <w:tc>
          <w:tcPr>
            <w:tcW w:w="1040" w:type="dxa"/>
            <w:vAlign w:val="bottom"/>
            <w:gridSpan w:val="2"/>
          </w:tcPr>
          <w:p>
            <w:pPr>
              <w:jc w:val="right"/>
              <w:ind w:right="221"/>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21"/>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98"/>
        </w:trPr>
        <w:tc>
          <w:tcPr>
            <w:tcW w:w="47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1"/>
              </w:rPr>
              <w:t>Loss attributable to Navios Holdings common stockholders,</w:t>
            </w:r>
          </w:p>
        </w:tc>
        <w:tc>
          <w:tcPr>
            <w:tcW w:w="1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basic and diluted</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b w:val="1"/>
                <w:bCs w:val="1"/>
                <w:color w:val="auto"/>
              </w:rPr>
              <w:t>(197,939)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(153,608)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b w:val="1"/>
                <w:bCs w:val="1"/>
                <w:color w:val="auto"/>
              </w:rPr>
              <w:t>(278,959)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(175,298)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(273,105)</w:t>
            </w: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Arial" w:cs="Arial" w:eastAsia="Arial" w:hAnsi="Arial"/>
                <w:sz w:val="18"/>
                <w:szCs w:val="18"/>
                <w:b w:val="1"/>
                <w:bCs w:val="1"/>
                <w:color w:val="auto"/>
              </w:rPr>
              <w:t>Basic and diluted loss per share attributable to Navios</w:t>
            </w: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7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180"/>
              <w:spacing w:after="0"/>
              <w:rPr>
                <w:sz w:val="20"/>
                <w:szCs w:val="20"/>
                <w:color w:val="auto"/>
              </w:rPr>
            </w:pPr>
            <w:r>
              <w:rPr>
                <w:rFonts w:ascii="Arial" w:cs="Arial" w:eastAsia="Arial" w:hAnsi="Arial"/>
                <w:sz w:val="18"/>
                <w:szCs w:val="18"/>
                <w:b w:val="1"/>
                <w:bCs w:val="1"/>
                <w:color w:val="auto"/>
              </w:rPr>
              <w:t>Holdings common stockholders from continuing</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20" w:type="dxa"/>
            <w:vAlign w:val="bottom"/>
          </w:tcPr>
          <w:p>
            <w:pPr>
              <w:ind w:left="180"/>
              <w:spacing w:after="0"/>
              <w:rPr>
                <w:sz w:val="20"/>
                <w:szCs w:val="20"/>
                <w:color w:val="auto"/>
              </w:rPr>
            </w:pPr>
            <w:r>
              <w:rPr>
                <w:rFonts w:ascii="Arial" w:cs="Arial" w:eastAsia="Arial" w:hAnsi="Arial"/>
                <w:sz w:val="18"/>
                <w:szCs w:val="18"/>
                <w:b w:val="1"/>
                <w:bCs w:val="1"/>
                <w:color w:val="auto"/>
              </w:rPr>
              <w:t>operations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241"/>
              <w:spacing w:after="0"/>
              <w:rPr>
                <w:sz w:val="20"/>
                <w:szCs w:val="20"/>
                <w:color w:val="auto"/>
              </w:rPr>
            </w:pPr>
            <w:r>
              <w:rPr>
                <w:rFonts w:ascii="Arial" w:cs="Arial" w:eastAsia="Arial" w:hAnsi="Arial"/>
                <w:sz w:val="18"/>
                <w:szCs w:val="18"/>
                <w:b w:val="1"/>
                <w:bCs w:val="1"/>
                <w:color w:val="auto"/>
              </w:rPr>
              <w:t>(15.35)</w:t>
            </w:r>
          </w:p>
        </w:tc>
        <w:tc>
          <w:tcPr>
            <w:tcW w:w="80" w:type="dxa"/>
            <w:vAlign w:val="bottom"/>
          </w:tcPr>
          <w:p>
            <w:pPr>
              <w:spacing w:after="0"/>
              <w:rPr>
                <w:sz w:val="20"/>
                <w:szCs w:val="20"/>
                <w:color w:val="auto"/>
              </w:rPr>
            </w:pPr>
          </w:p>
        </w:tc>
        <w:tc>
          <w:tcPr>
            <w:tcW w:w="1040" w:type="dxa"/>
            <w:vAlign w:val="bottom"/>
            <w:gridSpan w:val="2"/>
          </w:tcPr>
          <w:p>
            <w:pPr>
              <w:jc w:val="right"/>
              <w:ind w:right="81"/>
              <w:spacing w:after="0"/>
              <w:rPr>
                <w:sz w:val="20"/>
                <w:szCs w:val="20"/>
                <w:color w:val="auto"/>
              </w:rPr>
            </w:pPr>
            <w:r>
              <w:rPr>
                <w:rFonts w:ascii="Arial" w:cs="Arial" w:eastAsia="Arial" w:hAnsi="Arial"/>
                <w:sz w:val="18"/>
                <w:szCs w:val="18"/>
                <w:b w:val="1"/>
                <w:bCs w:val="1"/>
                <w:color w:val="auto"/>
              </w:rPr>
              <w:t>(12.10)</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2"/>
          </w:tcPr>
          <w:p>
            <w:pPr>
              <w:jc w:val="right"/>
              <w:ind w:right="241"/>
              <w:spacing w:after="0"/>
              <w:rPr>
                <w:sz w:val="20"/>
                <w:szCs w:val="20"/>
                <w:color w:val="auto"/>
              </w:rPr>
            </w:pPr>
            <w:r>
              <w:rPr>
                <w:rFonts w:ascii="Arial" w:cs="Arial" w:eastAsia="Arial" w:hAnsi="Arial"/>
                <w:sz w:val="18"/>
                <w:szCs w:val="18"/>
                <w:b w:val="1"/>
                <w:bCs w:val="1"/>
                <w:color w:val="auto"/>
              </w:rPr>
              <w:t>(23.39)</w:t>
            </w:r>
          </w:p>
        </w:tc>
        <w:tc>
          <w:tcPr>
            <w:tcW w:w="80" w:type="dxa"/>
            <w:vAlign w:val="bottom"/>
          </w:tcPr>
          <w:p>
            <w:pPr>
              <w:spacing w:after="0"/>
              <w:rPr>
                <w:sz w:val="20"/>
                <w:szCs w:val="20"/>
                <w:color w:val="auto"/>
              </w:rPr>
            </w:pPr>
          </w:p>
        </w:tc>
        <w:tc>
          <w:tcPr>
            <w:tcW w:w="1040" w:type="dxa"/>
            <w:vAlign w:val="bottom"/>
            <w:gridSpan w:val="2"/>
          </w:tcPr>
          <w:p>
            <w:pPr>
              <w:jc w:val="right"/>
              <w:ind w:right="81"/>
              <w:spacing w:after="0"/>
              <w:rPr>
                <w:sz w:val="20"/>
                <w:szCs w:val="20"/>
                <w:color w:val="auto"/>
              </w:rPr>
            </w:pPr>
            <w:r>
              <w:rPr>
                <w:rFonts w:ascii="Arial" w:cs="Arial" w:eastAsia="Arial" w:hAnsi="Arial"/>
                <w:sz w:val="18"/>
                <w:szCs w:val="18"/>
                <w:b w:val="1"/>
                <w:bCs w:val="1"/>
                <w:color w:val="auto"/>
              </w:rPr>
              <w:t>(15.02)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(25.44)</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720" w:type="dxa"/>
            <w:vAlign w:val="bottom"/>
            <w:shd w:val="clear" w:color="auto" w:fill="CCEEFF"/>
          </w:tcPr>
          <w:p>
            <w:pPr>
              <w:spacing w:after="0" w:line="192" w:lineRule="exact"/>
              <w:rPr>
                <w:sz w:val="20"/>
                <w:szCs w:val="20"/>
                <w:color w:val="auto"/>
              </w:rPr>
            </w:pPr>
            <w:r>
              <w:rPr>
                <w:rFonts w:ascii="Arial" w:cs="Arial" w:eastAsia="Arial" w:hAnsi="Arial"/>
                <w:sz w:val="18"/>
                <w:szCs w:val="18"/>
                <w:b w:val="1"/>
                <w:bCs w:val="1"/>
                <w:color w:val="auto"/>
                <w:w w:val="95"/>
              </w:rPr>
              <w:t>Basic and diluted (loss)/earnings per share attributable to</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Navios Holdings common stockholders from</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discontinued operations</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401"/>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(0.33)</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b w:val="1"/>
                <w:bCs w:val="1"/>
                <w:color w:val="auto"/>
              </w:rPr>
              <w:t>0.06</w:t>
            </w: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Arial" w:cs="Arial" w:eastAsia="Arial" w:hAnsi="Arial"/>
                <w:sz w:val="18"/>
                <w:szCs w:val="18"/>
                <w:b w:val="1"/>
                <w:bCs w:val="1"/>
                <w:color w:val="auto"/>
              </w:rPr>
              <w:t>Basic and diluted loss per share attributable to Navios</w:t>
            </w: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7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720" w:type="dxa"/>
            <w:vAlign w:val="bottom"/>
          </w:tcPr>
          <w:p>
            <w:pPr>
              <w:ind w:left="180"/>
              <w:spacing w:after="0"/>
              <w:rPr>
                <w:sz w:val="20"/>
                <w:szCs w:val="20"/>
                <w:color w:val="auto"/>
              </w:rPr>
            </w:pPr>
            <w:r>
              <w:rPr>
                <w:rFonts w:ascii="Arial" w:cs="Arial" w:eastAsia="Arial" w:hAnsi="Arial"/>
                <w:sz w:val="18"/>
                <w:szCs w:val="18"/>
                <w:b w:val="1"/>
                <w:bCs w:val="1"/>
                <w:color w:val="auto"/>
              </w:rPr>
              <w:t>Holdings common stockholders</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tcPr>
          <w:p>
            <w:pPr>
              <w:jc w:val="right"/>
              <w:ind w:right="241"/>
              <w:spacing w:after="0"/>
              <w:rPr>
                <w:sz w:val="20"/>
                <w:szCs w:val="20"/>
                <w:color w:val="auto"/>
              </w:rPr>
            </w:pPr>
            <w:r>
              <w:rPr>
                <w:rFonts w:ascii="Arial" w:cs="Arial" w:eastAsia="Arial" w:hAnsi="Arial"/>
                <w:sz w:val="18"/>
                <w:szCs w:val="18"/>
                <w:b w:val="1"/>
                <w:bCs w:val="1"/>
                <w:color w:val="auto"/>
              </w:rPr>
              <w:t>(15.35)</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tcPr>
          <w:p>
            <w:pPr>
              <w:jc w:val="right"/>
              <w:ind w:right="81"/>
              <w:spacing w:after="0"/>
              <w:rPr>
                <w:sz w:val="20"/>
                <w:szCs w:val="20"/>
                <w:color w:val="auto"/>
              </w:rPr>
            </w:pPr>
            <w:r>
              <w:rPr>
                <w:rFonts w:ascii="Arial" w:cs="Arial" w:eastAsia="Arial" w:hAnsi="Arial"/>
                <w:sz w:val="18"/>
                <w:szCs w:val="18"/>
                <w:b w:val="1"/>
                <w:bCs w:val="1"/>
                <w:color w:val="auto"/>
              </w:rPr>
              <w:t>(12.43)</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tcPr>
          <w:p>
            <w:pPr>
              <w:jc w:val="right"/>
              <w:ind w:right="241"/>
              <w:spacing w:after="0"/>
              <w:rPr>
                <w:sz w:val="20"/>
                <w:szCs w:val="20"/>
                <w:color w:val="auto"/>
              </w:rPr>
            </w:pPr>
            <w:r>
              <w:rPr>
                <w:rFonts w:ascii="Arial" w:cs="Arial" w:eastAsia="Arial" w:hAnsi="Arial"/>
                <w:sz w:val="18"/>
                <w:szCs w:val="18"/>
                <w:b w:val="1"/>
                <w:bCs w:val="1"/>
                <w:color w:val="auto"/>
              </w:rPr>
              <w:t>(23.33)</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tcPr>
          <w:p>
            <w:pPr>
              <w:jc w:val="right"/>
              <w:ind w:right="81"/>
              <w:spacing w:after="0"/>
              <w:rPr>
                <w:sz w:val="20"/>
                <w:szCs w:val="20"/>
                <w:color w:val="auto"/>
              </w:rPr>
            </w:pPr>
            <w:r>
              <w:rPr>
                <w:rFonts w:ascii="Arial" w:cs="Arial" w:eastAsia="Arial" w:hAnsi="Arial"/>
                <w:sz w:val="18"/>
                <w:szCs w:val="18"/>
                <w:b w:val="1"/>
                <w:bCs w:val="1"/>
                <w:color w:val="auto"/>
              </w:rPr>
              <w:t>(15.02)</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(25.44)</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shares, basic and diluted</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b w:val="1"/>
                <w:bCs w:val="1"/>
                <w:color w:val="auto"/>
                <w:w w:val="88"/>
              </w:rPr>
              <w:t>12,896,568</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b w:val="1"/>
                <w:bCs w:val="1"/>
                <w:color w:val="auto"/>
                <w:w w:val="88"/>
              </w:rPr>
              <w:t>12,356,024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b w:val="1"/>
                <w:bCs w:val="1"/>
                <w:color w:val="auto"/>
                <w:w w:val="88"/>
              </w:rPr>
              <w:t>11,958,959</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b w:val="1"/>
                <w:bCs w:val="1"/>
                <w:color w:val="auto"/>
                <w:w w:val="88"/>
              </w:rPr>
              <w:t>11,667,346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w w:val="86"/>
              </w:rPr>
              <w:t>10,736,678</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140"/>
          </w:cols>
          <w:pgMar w:left="320" w:top="459" w:right="439" w:bottom="0" w:gutter="0" w:footer="0" w:header="0"/>
        </w:sectPr>
      </w:pPr>
    </w:p>
    <w:bookmarkStart w:id="5" w:name="page6"/>
    <w:bookmarkEnd w:id="5"/>
    <w:p>
      <w:pPr>
        <w:jc w:val="center"/>
        <w:ind w:right="19"/>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9019"/>
          </w:cols>
          <w:pgMar w:left="1440" w:top="125" w:right="1440"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0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Year Ended</w:t>
            </w:r>
          </w:p>
        </w:tc>
        <w:tc>
          <w:tcPr>
            <w:tcW w:w="160" w:type="dxa"/>
            <w:vAlign w:val="bottom"/>
          </w:tcPr>
          <w:p>
            <w:pPr>
              <w:spacing w:after="0"/>
              <w:rPr>
                <w:sz w:val="14"/>
                <w:szCs w:val="14"/>
                <w:color w:val="auto"/>
              </w:rPr>
            </w:pPr>
          </w:p>
        </w:tc>
        <w:tc>
          <w:tcPr>
            <w:tcW w:w="118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 Ended</w:t>
            </w:r>
          </w:p>
        </w:tc>
        <w:tc>
          <w:tcPr>
            <w:tcW w:w="10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Year Ended</w:t>
            </w:r>
          </w:p>
        </w:tc>
        <w:tc>
          <w:tcPr>
            <w:tcW w:w="160" w:type="dxa"/>
            <w:vAlign w:val="bottom"/>
          </w:tcPr>
          <w:p>
            <w:pPr>
              <w:spacing w:after="0"/>
              <w:rPr>
                <w:sz w:val="14"/>
                <w:szCs w:val="14"/>
                <w:color w:val="auto"/>
              </w:rPr>
            </w:pPr>
          </w:p>
        </w:tc>
        <w:tc>
          <w:tcPr>
            <w:tcW w:w="11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3"/>
              </w:rPr>
              <w:t>Year Ended</w:t>
            </w:r>
          </w:p>
        </w:tc>
        <w:tc>
          <w:tcPr>
            <w:tcW w:w="90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 Ended</w:t>
            </w:r>
          </w:p>
        </w:tc>
      </w:tr>
      <w:tr>
        <w:trPr>
          <w:trHeight w:val="148"/>
        </w:trPr>
        <w:tc>
          <w:tcPr>
            <w:tcW w:w="536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December 31,</w:t>
            </w:r>
          </w:p>
        </w:tc>
      </w:tr>
      <w:tr>
        <w:trPr>
          <w:trHeight w:val="171"/>
        </w:trPr>
        <w:tc>
          <w:tcPr>
            <w:tcW w:w="53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4"/>
                <w:szCs w:val="14"/>
                <w:color w:val="auto"/>
              </w:rPr>
            </w:pPr>
          </w:p>
        </w:tc>
      </w:tr>
      <w:tr>
        <w:trPr>
          <w:trHeight w:val="196"/>
        </w:trPr>
        <w:tc>
          <w:tcPr>
            <w:tcW w:w="53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Sheet Data (at period end)</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Current assets, including cash and restricted cash</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194,857</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168,001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298,710</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256,076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273,140</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1,971,325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2,142,855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2,682,496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2,629,981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2,752,895</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Total long-term debt, net including current portion</w:t>
            </w: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1,584,429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1,563,247</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1,816,007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1,682,488</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1,651,095</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Navios Holdings’ stockholders’ (deficit)/equity</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(141,558)</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43,850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251,933</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516,098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678,287</w:t>
            </w:r>
          </w:p>
        </w:tc>
      </w:tr>
    </w:tbl>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060" w:type="dxa"/>
            <w:vAlign w:val="bottom"/>
            <w:gridSpan w:val="2"/>
          </w:tcPr>
          <w:p>
            <w:pPr>
              <w:jc w:val="right"/>
              <w:ind w:right="194"/>
              <w:spacing w:after="0"/>
              <w:rPr>
                <w:sz w:val="20"/>
                <w:szCs w:val="20"/>
                <w:color w:val="auto"/>
              </w:rPr>
            </w:pPr>
            <w:r>
              <w:rPr>
                <w:rFonts w:ascii="Arial" w:cs="Arial" w:eastAsia="Arial" w:hAnsi="Arial"/>
                <w:sz w:val="14"/>
                <w:szCs w:val="14"/>
                <w:b w:val="1"/>
                <w:bCs w:val="1"/>
                <w:color w:val="auto"/>
                <w:w w:val="98"/>
              </w:rPr>
              <w:t>Year Ended</w:t>
            </w:r>
          </w:p>
        </w:tc>
        <w:tc>
          <w:tcPr>
            <w:tcW w:w="122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Year Ended</w:t>
            </w: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1360" w:type="dxa"/>
            <w:vAlign w:val="bottom"/>
            <w:gridSpan w:val="2"/>
          </w:tcPr>
          <w:p>
            <w:pPr>
              <w:jc w:val="right"/>
              <w:ind w:right="332"/>
              <w:spacing w:after="0"/>
              <w:rPr>
                <w:sz w:val="20"/>
                <w:szCs w:val="20"/>
                <w:color w:val="auto"/>
              </w:rPr>
            </w:pPr>
            <w:r>
              <w:rPr>
                <w:rFonts w:ascii="Arial" w:cs="Arial" w:eastAsia="Arial" w:hAnsi="Arial"/>
                <w:sz w:val="14"/>
                <w:szCs w:val="14"/>
                <w:b w:val="1"/>
                <w:bCs w:val="1"/>
                <w:color w:val="auto"/>
              </w:rPr>
              <w:t>Year Ended</w:t>
            </w:r>
          </w:p>
        </w:tc>
        <w:tc>
          <w:tcPr>
            <w:tcW w:w="9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Year Ended</w:t>
            </w:r>
          </w:p>
        </w:tc>
      </w:tr>
      <w:tr>
        <w:trPr>
          <w:trHeight w:val="148"/>
        </w:trPr>
        <w:tc>
          <w:tcPr>
            <w:tcW w:w="5200" w:type="dxa"/>
            <w:vAlign w:val="bottom"/>
          </w:tcPr>
          <w:p>
            <w:pPr>
              <w:spacing w:after="0"/>
              <w:rPr>
                <w:sz w:val="12"/>
                <w:szCs w:val="12"/>
                <w:color w:val="auto"/>
              </w:rPr>
            </w:pPr>
          </w:p>
        </w:tc>
        <w:tc>
          <w:tcPr>
            <w:tcW w:w="10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22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December 31,</w:t>
            </w:r>
          </w:p>
        </w:tc>
        <w:tc>
          <w:tcPr>
            <w:tcW w:w="12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36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December 31,</w:t>
            </w: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r>
      <w:tr>
        <w:trPr>
          <w:trHeight w:val="171"/>
        </w:trPr>
        <w:tc>
          <w:tcPr>
            <w:tcW w:w="5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12"/>
              <w:spacing w:after="0"/>
              <w:rPr>
                <w:sz w:val="20"/>
                <w:szCs w:val="20"/>
                <w:color w:val="auto"/>
              </w:rPr>
            </w:pPr>
            <w:r>
              <w:rPr>
                <w:rFonts w:ascii="Arial" w:cs="Arial" w:eastAsia="Arial" w:hAnsi="Arial"/>
                <w:sz w:val="14"/>
                <w:szCs w:val="14"/>
                <w:b w:val="1"/>
                <w:bCs w:val="1"/>
                <w:color w:val="auto"/>
                <w:w w:val="89"/>
              </w:rPr>
              <w:t>2018</w:t>
            </w:r>
          </w:p>
        </w:tc>
        <w:tc>
          <w:tcPr>
            <w:tcW w:w="3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r>
      <w:tr>
        <w:trPr>
          <w:trHeight w:val="142"/>
        </w:trPr>
        <w:tc>
          <w:tcPr>
            <w:tcW w:w="5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80" w:type="dxa"/>
            <w:vAlign w:val="bottom"/>
            <w:gridSpan w:val="7"/>
          </w:tcPr>
          <w:p>
            <w:pPr>
              <w:jc w:val="center"/>
              <w:ind w:left="574"/>
              <w:spacing w:after="0" w:line="142" w:lineRule="exact"/>
              <w:rPr>
                <w:sz w:val="20"/>
                <w:szCs w:val="20"/>
                <w:color w:val="auto"/>
              </w:rPr>
            </w:pPr>
            <w:r>
              <w:rPr>
                <w:rFonts w:ascii="Arial" w:cs="Arial" w:eastAsia="Arial" w:hAnsi="Arial"/>
                <w:sz w:val="14"/>
                <w:szCs w:val="14"/>
                <w:b w:val="1"/>
                <w:bCs w:val="1"/>
                <w:color w:val="auto"/>
                <w:w w:val="91"/>
              </w:rPr>
              <w:t>(Expressed in thousands of U.S. dollars — except per share data)</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Financial Data</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4"/>
              <w:spacing w:after="0"/>
              <w:rPr>
                <w:sz w:val="20"/>
                <w:szCs w:val="20"/>
                <w:color w:val="auto"/>
              </w:rPr>
            </w:pPr>
            <w:r>
              <w:rPr>
                <w:rFonts w:ascii="Arial" w:cs="Arial" w:eastAsia="Arial" w:hAnsi="Arial"/>
                <w:sz w:val="18"/>
                <w:szCs w:val="18"/>
                <w:color w:val="auto"/>
              </w:rPr>
              <w:t>25,211</w:t>
            </w: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96,112</w:t>
            </w:r>
          </w:p>
        </w:tc>
        <w:tc>
          <w:tcPr>
            <w:tcW w:w="34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55,637</w:t>
            </w:r>
          </w:p>
        </w:tc>
        <w:tc>
          <w:tcPr>
            <w:tcW w:w="340" w:type="dxa"/>
            <w:vAlign w:val="bottom"/>
          </w:tcPr>
          <w:p>
            <w:pPr>
              <w:ind w:lef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92"/>
              <w:spacing w:after="0"/>
              <w:rPr>
                <w:sz w:val="20"/>
                <w:szCs w:val="20"/>
                <w:color w:val="auto"/>
              </w:rPr>
            </w:pPr>
            <w:r>
              <w:rPr>
                <w:rFonts w:ascii="Arial" w:cs="Arial" w:eastAsia="Arial" w:hAnsi="Arial"/>
                <w:sz w:val="18"/>
                <w:szCs w:val="18"/>
                <w:color w:val="auto"/>
              </w:rPr>
              <w:t>48,117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39,826</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592</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(56,467)</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27,863</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(42,365)</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(150,565)</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Net cash provided by/ (used in) financing activities</w:t>
            </w:r>
          </w:p>
        </w:tc>
        <w:tc>
          <w:tcPr>
            <w:tcW w:w="180" w:type="dxa"/>
            <w:vAlign w:val="bottom"/>
          </w:tcPr>
          <w:p>
            <w:pPr>
              <w:spacing w:after="0"/>
              <w:rPr>
                <w:sz w:val="18"/>
                <w:szCs w:val="18"/>
                <w:color w:val="auto"/>
              </w:rPr>
            </w:pPr>
          </w:p>
        </w:tc>
        <w:tc>
          <w:tcPr>
            <w:tcW w:w="880" w:type="dxa"/>
            <w:vAlign w:val="bottom"/>
          </w:tcPr>
          <w:p>
            <w:pPr>
              <w:jc w:val="right"/>
              <w:ind w:right="134"/>
              <w:spacing w:after="0"/>
              <w:rPr>
                <w:sz w:val="20"/>
                <w:szCs w:val="20"/>
                <w:color w:val="auto"/>
              </w:rPr>
            </w:pPr>
            <w:r>
              <w:rPr>
                <w:rFonts w:ascii="Arial" w:cs="Arial" w:eastAsia="Arial" w:hAnsi="Arial"/>
                <w:sz w:val="18"/>
                <w:szCs w:val="18"/>
                <w:color w:val="auto"/>
              </w:rPr>
              <w:t>6,654</w:t>
            </w:r>
          </w:p>
        </w:tc>
        <w:tc>
          <w:tcPr>
            <w:tcW w:w="300" w:type="dxa"/>
            <w:vAlign w:val="bottom"/>
          </w:tcPr>
          <w:p>
            <w:pPr>
              <w:spacing w:after="0"/>
              <w:rPr>
                <w:sz w:val="18"/>
                <w:szCs w:val="18"/>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w w:val="95"/>
              </w:rPr>
              <w:t>(111,692)</w:t>
            </w:r>
          </w:p>
        </w:tc>
        <w:tc>
          <w:tcPr>
            <w:tcW w:w="340" w:type="dxa"/>
            <w:vAlign w:val="bottom"/>
          </w:tcPr>
          <w:p>
            <w:pPr>
              <w:spacing w:after="0"/>
              <w:rPr>
                <w:sz w:val="18"/>
                <w:szCs w:val="18"/>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(66,916)</w:t>
            </w:r>
          </w:p>
        </w:tc>
        <w:tc>
          <w:tcPr>
            <w:tcW w:w="340" w:type="dxa"/>
            <w:vAlign w:val="bottom"/>
          </w:tcPr>
          <w:p>
            <w:pPr>
              <w:spacing w:after="0"/>
              <w:rPr>
                <w:sz w:val="18"/>
                <w:szCs w:val="18"/>
                <w:color w:val="auto"/>
              </w:rPr>
            </w:pPr>
          </w:p>
        </w:tc>
        <w:tc>
          <w:tcPr>
            <w:tcW w:w="1020" w:type="dxa"/>
            <w:vAlign w:val="bottom"/>
          </w:tcPr>
          <w:p>
            <w:pPr>
              <w:jc w:val="right"/>
              <w:ind w:right="232"/>
              <w:spacing w:after="0"/>
              <w:rPr>
                <w:sz w:val="20"/>
                <w:szCs w:val="20"/>
                <w:color w:val="auto"/>
              </w:rPr>
            </w:pPr>
            <w:r>
              <w:rPr>
                <w:rFonts w:ascii="Arial" w:cs="Arial" w:eastAsia="Arial" w:hAnsi="Arial"/>
                <w:sz w:val="18"/>
                <w:szCs w:val="18"/>
                <w:color w:val="auto"/>
              </w:rPr>
              <w:t>(12,940)</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75,225</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Book value per common share</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(8.91)</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3.28</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19.62</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42.87</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57.91</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Cash dividends per preferred share</w:t>
            </w:r>
          </w:p>
        </w:tc>
        <w:tc>
          <w:tcPr>
            <w:tcW w:w="180" w:type="dxa"/>
            <w:vAlign w:val="bottom"/>
          </w:tcPr>
          <w:p>
            <w:pPr>
              <w:spacing w:after="0"/>
              <w:rPr>
                <w:sz w:val="18"/>
                <w:szCs w:val="18"/>
                <w:color w:val="auto"/>
              </w:rPr>
            </w:pPr>
          </w:p>
        </w:tc>
        <w:tc>
          <w:tcPr>
            <w:tcW w:w="880" w:type="dxa"/>
            <w:vAlign w:val="bottom"/>
          </w:tcPr>
          <w:p>
            <w:pPr>
              <w:jc w:val="right"/>
              <w:ind w:right="21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8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20" w:type="dxa"/>
            <w:vAlign w:val="bottom"/>
          </w:tcPr>
          <w:p>
            <w:pPr>
              <w:jc w:val="right"/>
              <w:ind w:right="37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74.4</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Cash paid for preferred stock dividend declared</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3,681</w:t>
            </w: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15"/>
                <w:szCs w:val="15"/>
                <w:color w:val="auto"/>
              </w:rPr>
              <w:t>(1)</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4"/>
              <w:spacing w:after="0"/>
              <w:rPr>
                <w:sz w:val="20"/>
                <w:szCs w:val="20"/>
                <w:color w:val="auto"/>
              </w:rPr>
            </w:pPr>
            <w:r>
              <w:rPr>
                <w:rFonts w:ascii="Arial" w:cs="Arial" w:eastAsia="Arial" w:hAnsi="Arial"/>
                <w:sz w:val="18"/>
                <w:szCs w:val="18"/>
                <w:color w:val="auto"/>
              </w:rPr>
              <w:t>27,931</w:t>
            </w: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61,881</w:t>
            </w:r>
          </w:p>
        </w:tc>
        <w:tc>
          <w:tcPr>
            <w:tcW w:w="34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(18,231)</w:t>
            </w:r>
          </w:p>
        </w:tc>
        <w:tc>
          <w:tcPr>
            <w:tcW w:w="340" w:type="dxa"/>
            <w:vAlign w:val="bottom"/>
          </w:tcPr>
          <w:p>
            <w:pPr>
              <w:ind w:lef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92"/>
              <w:spacing w:after="0"/>
              <w:rPr>
                <w:sz w:val="20"/>
                <w:szCs w:val="20"/>
                <w:color w:val="auto"/>
              </w:rPr>
            </w:pPr>
            <w:r>
              <w:rPr>
                <w:rFonts w:ascii="Arial" w:cs="Arial" w:eastAsia="Arial" w:hAnsi="Arial"/>
                <w:sz w:val="18"/>
                <w:szCs w:val="18"/>
                <w:color w:val="auto"/>
              </w:rPr>
              <w:t>68,813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(62,827)</w:t>
            </w:r>
          </w:p>
        </w:tc>
      </w:tr>
    </w:tbl>
    <w:p>
      <w:pPr>
        <w:spacing w:after="0" w:line="214" w:lineRule="exact"/>
        <w:rPr>
          <w:sz w:val="20"/>
          <w:szCs w:val="20"/>
          <w:color w:val="auto"/>
        </w:rPr>
      </w:pPr>
    </w:p>
    <w:p>
      <w:pPr>
        <w:ind w:left="540" w:hanging="424"/>
        <w:spacing w:after="0" w:line="284" w:lineRule="auto"/>
        <w:tabs>
          <w:tab w:leader="none" w:pos="540" w:val="left"/>
        </w:tabs>
        <w:numPr>
          <w:ilvl w:val="0"/>
          <w:numId w:val="7"/>
        </w:numPr>
        <w:rPr>
          <w:rFonts w:ascii="Arial" w:cs="Arial" w:eastAsia="Arial" w:hAnsi="Arial"/>
          <w:sz w:val="16"/>
          <w:szCs w:val="16"/>
          <w:color w:val="auto"/>
        </w:rPr>
      </w:pPr>
      <w:r>
        <w:rPr>
          <w:rFonts w:ascii="Arial" w:cs="Arial" w:eastAsia="Arial" w:hAnsi="Arial"/>
          <w:sz w:val="16"/>
          <w:szCs w:val="16"/>
          <w:color w:val="auto"/>
        </w:rPr>
        <w:t>EBITDA represents net (loss)/income attributable to Navios Holdings’ common stockholders before interest and finance costs, before depreciation and amortization and before income taxes. Adjusted EBITDA represents EBITDA before stock-based compensation. We use Adjusted EBITDA as liquidity measure and reconcile Adjusted EBITDA to net cash provided by operating activities, the most comparable U.S. GAAP liquidity measure. Adjusted EBITDA is calculated as follows: net cash provided by operating activities adding back, when applicable and as the case may be, the effect of (i) net increase/(decrease) in operating assets; (ii) net (increase)/decrease in operating liabilities; (iii) net interest cost; (iv) deferred financing costs and gains/(losses) on bond and debt extinguishment, net; (v) allowance for credit losses; (vi) earnings/(losses) in affiliate companies and joint ventures, net of dividends received; (vii) payments for drydock and special survey costs; (viii) noncontrolling interest;</w:t>
      </w:r>
    </w:p>
    <w:p>
      <w:pPr>
        <w:spacing w:after="0" w:line="2" w:lineRule="exact"/>
        <w:rPr>
          <w:rFonts w:ascii="Arial" w:cs="Arial" w:eastAsia="Arial" w:hAnsi="Arial"/>
          <w:sz w:val="16"/>
          <w:szCs w:val="16"/>
          <w:color w:val="auto"/>
        </w:rPr>
      </w:pPr>
    </w:p>
    <w:p>
      <w:pPr>
        <w:ind w:left="540" w:right="60"/>
        <w:spacing w:after="0" w:line="252" w:lineRule="auto"/>
        <w:rPr>
          <w:rFonts w:ascii="Arial" w:cs="Arial" w:eastAsia="Arial" w:hAnsi="Arial"/>
          <w:sz w:val="16"/>
          <w:szCs w:val="16"/>
          <w:color w:val="auto"/>
        </w:rPr>
      </w:pPr>
      <w:r>
        <w:rPr>
          <w:rFonts w:ascii="Arial" w:cs="Arial" w:eastAsia="Arial" w:hAnsi="Arial"/>
          <w:sz w:val="18"/>
          <w:szCs w:val="18"/>
          <w:color w:val="auto"/>
        </w:rPr>
        <w:t>(ix) gain/(loss) on sale of assets/subsidiaries/businesses, loss on loss of control and bargain gain; (x) unrealized (loss)/gain on derivatives; (xi) loss on sale and reclassification to earnings of available-for-sale securities; and (xii) impairment losses. Navios Holdings believes that Adjusted EBITDA is a basis upon which liquidity can be assessed and represents useful information to investors regarding Navios Holdings’ ability to service and/or incur indebtedness, pay capital expenditures and meet working capital requirements. Navios Holdings also believes that Adjusted EBITDA is used (i) by prospective and current lessors as well as potential lenders to evaluate potential transactions; (ii) to evaluate and price potential acquisition candidates; and (iii) by securities analysts, investors and other interested parties in the evaluation of companies in our industry.</w:t>
      </w:r>
    </w:p>
    <w:p>
      <w:pPr>
        <w:spacing w:after="0" w:line="192"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Adjusted EBITDA has limitations as an analytical tool, and therefore, should not be considered in isolation or as a substitute for the analysis of Navios Holdings’ results as reported under U.S. GAAP. Some of these limitations are: (i) Adjusted EBITDA does not reflect changes in, or cash requirements for, working capital needs; (ii) Adjusted EBITDA does not reflect the amounts necessary to service interest or principal payments on our debt and other financing arrangements; and (iii) although depreciation and amortization are non-cash charges, the assets being depreciated and amortized may have to be replaced in the future.</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0"/>
          </w:cols>
          <w:pgMar w:left="32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Adjusted EBITDA does not reflect any cash requirements for such capital expenditures. Because of these limitations, among others, Adjusted EBITDA should not be considered as a principal indicator of Navios Holdings’ performance. Furthermore, our calculation of Adjusted EBITDA may not be comparable to that reported by other companies due to differences in methods of calculation.</w:t>
      </w:r>
    </w:p>
    <w:p>
      <w:pPr>
        <w:spacing w:after="0" w:line="184"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The following table reconciles net cash provided by operating activities, as reflected in the consolidated statements of cash flows, to Adjusted EBITDA:</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Adjusted EBITDA Reconciliation from Cash from Operations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220" w:type="dxa"/>
            <w:vAlign w:val="bottom"/>
            <w:gridSpan w:val="3"/>
          </w:tcPr>
          <w:p>
            <w:pPr>
              <w:jc w:val="right"/>
              <w:ind w:right="368"/>
              <w:spacing w:after="0"/>
              <w:rPr>
                <w:sz w:val="20"/>
                <w:szCs w:val="20"/>
                <w:color w:val="auto"/>
              </w:rPr>
            </w:pPr>
            <w:r>
              <w:rPr>
                <w:rFonts w:ascii="Arial" w:cs="Arial" w:eastAsia="Arial" w:hAnsi="Arial"/>
                <w:sz w:val="14"/>
                <w:szCs w:val="14"/>
                <w:b w:val="1"/>
                <w:bCs w:val="1"/>
                <w:color w:val="auto"/>
                <w:w w:val="98"/>
              </w:rPr>
              <w:t>Year Ended</w:t>
            </w:r>
          </w:p>
        </w:tc>
        <w:tc>
          <w:tcPr>
            <w:tcW w:w="122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8"/>
              </w:rPr>
              <w:t>Year Ended</w:t>
            </w:r>
          </w:p>
        </w:tc>
        <w:tc>
          <w:tcPr>
            <w:tcW w:w="12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3"/>
              </w:rPr>
              <w:t>Year Ended</w:t>
            </w:r>
          </w:p>
        </w:tc>
        <w:tc>
          <w:tcPr>
            <w:tcW w:w="120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8"/>
              </w:rPr>
              <w:t>Year Ended</w:t>
            </w:r>
          </w:p>
        </w:tc>
        <w:tc>
          <w:tcPr>
            <w:tcW w:w="9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8"/>
              </w:rPr>
              <w:t>Year Ended</w:t>
            </w:r>
          </w:p>
        </w:tc>
      </w:tr>
      <w:tr>
        <w:trPr>
          <w:trHeight w:val="148"/>
        </w:trPr>
        <w:tc>
          <w:tcPr>
            <w:tcW w:w="5200" w:type="dxa"/>
            <w:vAlign w:val="bottom"/>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22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r>
      <w:tr>
        <w:trPr>
          <w:trHeight w:val="171"/>
        </w:trPr>
        <w:tc>
          <w:tcPr>
            <w:tcW w:w="5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51"/>
              <w:spacing w:after="0"/>
              <w:rPr>
                <w:sz w:val="20"/>
                <w:szCs w:val="20"/>
                <w:color w:val="auto"/>
              </w:rPr>
            </w:pPr>
            <w:r>
              <w:rPr>
                <w:rFonts w:ascii="Arial" w:cs="Arial" w:eastAsia="Arial" w:hAnsi="Arial"/>
                <w:sz w:val="14"/>
                <w:szCs w:val="14"/>
                <w:b w:val="1"/>
                <w:bCs w:val="1"/>
                <w:color w:val="auto"/>
                <w:w w:val="89"/>
              </w:rPr>
              <w:t>2018</w:t>
            </w: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r>
      <w:tr>
        <w:trPr>
          <w:trHeight w:val="142"/>
        </w:trPr>
        <w:tc>
          <w:tcPr>
            <w:tcW w:w="5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20" w:type="dxa"/>
            <w:vAlign w:val="bottom"/>
            <w:gridSpan w:val="10"/>
          </w:tcPr>
          <w:p>
            <w:pPr>
              <w:jc w:val="center"/>
              <w:spacing w:after="0" w:line="142" w:lineRule="exact"/>
              <w:rPr>
                <w:sz w:val="20"/>
                <w:szCs w:val="20"/>
                <w:color w:val="auto"/>
              </w:rPr>
            </w:pPr>
            <w:r>
              <w:rPr>
                <w:rFonts w:ascii="Arial" w:cs="Arial" w:eastAsia="Arial" w:hAnsi="Arial"/>
                <w:sz w:val="14"/>
                <w:szCs w:val="14"/>
                <w:b w:val="1"/>
                <w:bCs w:val="1"/>
                <w:color w:val="auto"/>
                <w:w w:val="91"/>
              </w:rPr>
              <w:t>(Expressed in thousands of U.S. dollars — except per share data)</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25,211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96,112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55,637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48,117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39,826</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Net (decrease)/increase in operating assets</w:t>
            </w:r>
          </w:p>
        </w:tc>
        <w:tc>
          <w:tcPr>
            <w:tcW w:w="180" w:type="dxa"/>
            <w:vAlign w:val="bottom"/>
          </w:tcPr>
          <w:p>
            <w:pPr>
              <w:spacing w:after="0"/>
              <w:rPr>
                <w:sz w:val="18"/>
                <w:szCs w:val="18"/>
                <w:color w:val="auto"/>
              </w:rPr>
            </w:pPr>
          </w:p>
        </w:tc>
        <w:tc>
          <w:tcPr>
            <w:tcW w:w="1040" w:type="dxa"/>
            <w:vAlign w:val="bottom"/>
            <w:gridSpan w:val="2"/>
          </w:tcPr>
          <w:p>
            <w:pPr>
              <w:jc w:val="right"/>
              <w:ind w:right="248"/>
              <w:spacing w:after="0"/>
              <w:rPr>
                <w:sz w:val="20"/>
                <w:szCs w:val="20"/>
                <w:color w:val="auto"/>
              </w:rPr>
            </w:pPr>
            <w:r>
              <w:rPr>
                <w:rFonts w:ascii="Arial" w:cs="Arial" w:eastAsia="Arial" w:hAnsi="Arial"/>
                <w:sz w:val="18"/>
                <w:szCs w:val="18"/>
                <w:color w:val="auto"/>
              </w:rPr>
              <w:t>(6,757)</w:t>
            </w:r>
          </w:p>
        </w:tc>
        <w:tc>
          <w:tcPr>
            <w:tcW w:w="1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(6,249)</w:t>
            </w:r>
          </w:p>
        </w:tc>
        <w:tc>
          <w:tcPr>
            <w:tcW w:w="14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25,632</w:t>
            </w:r>
          </w:p>
        </w:tc>
        <w:tc>
          <w:tcPr>
            <w:tcW w:w="16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(22,385)</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17,693</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operating liabilities</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(41,348)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6,812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(6,662)</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(20,814)</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(38,928)</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Payments for drydock and special survey costs</w:t>
            </w:r>
          </w:p>
        </w:tc>
        <w:tc>
          <w:tcPr>
            <w:tcW w:w="180" w:type="dxa"/>
            <w:vAlign w:val="bottom"/>
          </w:tcPr>
          <w:p>
            <w:pPr>
              <w:spacing w:after="0"/>
              <w:rPr>
                <w:sz w:val="18"/>
                <w:szCs w:val="18"/>
                <w:color w:val="auto"/>
              </w:rPr>
            </w:pPr>
          </w:p>
        </w:tc>
        <w:tc>
          <w:tcPr>
            <w:tcW w:w="1040" w:type="dxa"/>
            <w:vAlign w:val="bottom"/>
            <w:gridSpan w:val="2"/>
          </w:tcPr>
          <w:p>
            <w:pPr>
              <w:jc w:val="right"/>
              <w:ind w:right="308"/>
              <w:spacing w:after="0"/>
              <w:rPr>
                <w:sz w:val="20"/>
                <w:szCs w:val="20"/>
                <w:color w:val="auto"/>
              </w:rPr>
            </w:pPr>
            <w:r>
              <w:rPr>
                <w:rFonts w:ascii="Arial" w:cs="Arial" w:eastAsia="Arial" w:hAnsi="Arial"/>
                <w:sz w:val="18"/>
                <w:szCs w:val="18"/>
                <w:color w:val="auto"/>
              </w:rPr>
              <w:t>17,362</w:t>
            </w:r>
          </w:p>
        </w:tc>
        <w:tc>
          <w:tcPr>
            <w:tcW w:w="14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23,106</w:t>
            </w:r>
          </w:p>
        </w:tc>
        <w:tc>
          <w:tcPr>
            <w:tcW w:w="14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7,755</w:t>
            </w:r>
          </w:p>
        </w:tc>
        <w:tc>
          <w:tcPr>
            <w:tcW w:w="16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10,824</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11,096</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Net interest cost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w w:val="98"/>
              </w:rPr>
              <w:t>128,439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125,094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122,492</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108,389</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103,039</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Allowance for credit losses</w:t>
            </w:r>
          </w:p>
        </w:tc>
        <w:tc>
          <w:tcPr>
            <w:tcW w:w="180" w:type="dxa"/>
            <w:vAlign w:val="bottom"/>
          </w:tcPr>
          <w:p>
            <w:pPr>
              <w:spacing w:after="0"/>
              <w:rPr>
                <w:sz w:val="18"/>
                <w:szCs w:val="18"/>
                <w:color w:val="auto"/>
              </w:rPr>
            </w:pPr>
          </w:p>
        </w:tc>
        <w:tc>
          <w:tcPr>
            <w:tcW w:w="1040" w:type="dxa"/>
            <w:vAlign w:val="bottom"/>
            <w:gridSpan w:val="2"/>
          </w:tcPr>
          <w:p>
            <w:pPr>
              <w:jc w:val="right"/>
              <w:ind w:right="248"/>
              <w:spacing w:after="0"/>
              <w:rPr>
                <w:sz w:val="20"/>
                <w:szCs w:val="20"/>
                <w:color w:val="auto"/>
              </w:rPr>
            </w:pPr>
            <w:r>
              <w:rPr>
                <w:rFonts w:ascii="Arial" w:cs="Arial" w:eastAsia="Arial" w:hAnsi="Arial"/>
                <w:sz w:val="18"/>
                <w:szCs w:val="18"/>
                <w:color w:val="auto"/>
              </w:rPr>
              <w:t>(541)</w:t>
            </w:r>
          </w:p>
        </w:tc>
        <w:tc>
          <w:tcPr>
            <w:tcW w:w="1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(999)</w:t>
            </w:r>
          </w:p>
        </w:tc>
        <w:tc>
          <w:tcPr>
            <w:tcW w:w="1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(575)</w:t>
            </w:r>
          </w:p>
        </w:tc>
        <w:tc>
          <w:tcPr>
            <w:tcW w:w="16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(269)</w:t>
            </w: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(1,304)</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Impairment losses</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(88,367)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(156,106)</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(200,657)</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(50,565)</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Gain on sale of assets</w:t>
            </w:r>
          </w:p>
        </w:tc>
        <w:tc>
          <w:tcPr>
            <w:tcW w:w="180" w:type="dxa"/>
            <w:vAlign w:val="bottom"/>
          </w:tcPr>
          <w:p>
            <w:pPr>
              <w:spacing w:after="0"/>
              <w:rPr>
                <w:sz w:val="18"/>
                <w:szCs w:val="18"/>
                <w:color w:val="auto"/>
              </w:rPr>
            </w:pPr>
          </w:p>
        </w:tc>
        <w:tc>
          <w:tcPr>
            <w:tcW w:w="1040" w:type="dxa"/>
            <w:vAlign w:val="bottom"/>
            <w:gridSpan w:val="2"/>
          </w:tcPr>
          <w:p>
            <w:pPr>
              <w:jc w:val="right"/>
              <w:ind w:right="38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894</w:t>
            </w:r>
          </w:p>
        </w:tc>
        <w:tc>
          <w:tcPr>
            <w:tcW w:w="16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1,064</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business</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9,802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Gain on bond and debt extinguishment, net</w:t>
            </w:r>
          </w:p>
        </w:tc>
        <w:tc>
          <w:tcPr>
            <w:tcW w:w="180" w:type="dxa"/>
            <w:vAlign w:val="bottom"/>
          </w:tcPr>
          <w:p>
            <w:pPr>
              <w:spacing w:after="0"/>
              <w:rPr>
                <w:sz w:val="18"/>
                <w:szCs w:val="18"/>
                <w:color w:val="auto"/>
              </w:rPr>
            </w:pPr>
          </w:p>
        </w:tc>
        <w:tc>
          <w:tcPr>
            <w:tcW w:w="1040" w:type="dxa"/>
            <w:vAlign w:val="bottom"/>
            <w:gridSpan w:val="2"/>
          </w:tcPr>
          <w:p>
            <w:pPr>
              <w:jc w:val="right"/>
              <w:ind w:right="308"/>
              <w:spacing w:after="0"/>
              <w:rPr>
                <w:sz w:val="20"/>
                <w:szCs w:val="20"/>
                <w:color w:val="auto"/>
              </w:rPr>
            </w:pPr>
            <w:r>
              <w:rPr>
                <w:rFonts w:ascii="Arial" w:cs="Arial" w:eastAsia="Arial" w:hAnsi="Arial"/>
                <w:sz w:val="18"/>
                <w:szCs w:val="18"/>
                <w:color w:val="auto"/>
              </w:rPr>
              <w:t>7,047</w:t>
            </w:r>
          </w:p>
        </w:tc>
        <w:tc>
          <w:tcPr>
            <w:tcW w:w="14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47,430</w:t>
            </w:r>
          </w:p>
        </w:tc>
        <w:tc>
          <w:tcPr>
            <w:tcW w:w="14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6,464</w:t>
            </w:r>
          </w:p>
        </w:tc>
        <w:tc>
          <w:tcPr>
            <w:tcW w:w="16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185</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29,187</w:t>
            </w:r>
          </w:p>
        </w:tc>
      </w:tr>
      <w:tr>
        <w:trPr>
          <w:trHeight w:val="202"/>
        </w:trPr>
        <w:tc>
          <w:tcPr>
            <w:tcW w:w="5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Earnings/(losses) in affiliate companies and joint ventures, net of</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dividends received</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17,309</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(13,722)</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(84,317)</w:t>
            </w: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(4,610)</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(219,417)</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Impairment loss on investment in affiliate companies</w:t>
            </w:r>
          </w:p>
        </w:tc>
        <w:tc>
          <w:tcPr>
            <w:tcW w:w="180" w:type="dxa"/>
            <w:vAlign w:val="bottom"/>
          </w:tcPr>
          <w:p>
            <w:pPr>
              <w:spacing w:after="0"/>
              <w:rPr>
                <w:sz w:val="18"/>
                <w:szCs w:val="18"/>
                <w:color w:val="auto"/>
              </w:rPr>
            </w:pPr>
          </w:p>
        </w:tc>
        <w:tc>
          <w:tcPr>
            <w:tcW w:w="1040" w:type="dxa"/>
            <w:vAlign w:val="bottom"/>
            <w:gridSpan w:val="2"/>
          </w:tcPr>
          <w:p>
            <w:pPr>
              <w:jc w:val="right"/>
              <w:ind w:right="248"/>
              <w:spacing w:after="0"/>
              <w:rPr>
                <w:sz w:val="20"/>
                <w:szCs w:val="20"/>
                <w:color w:val="auto"/>
              </w:rPr>
            </w:pPr>
            <w:r>
              <w:rPr>
                <w:rFonts w:ascii="Arial" w:cs="Arial" w:eastAsia="Arial" w:hAnsi="Arial"/>
                <w:sz w:val="18"/>
                <w:szCs w:val="18"/>
                <w:color w:val="auto"/>
              </w:rPr>
              <w:t>(20,018)</w:t>
            </w:r>
          </w:p>
        </w:tc>
        <w:tc>
          <w:tcPr>
            <w:tcW w:w="14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Impairment of loan receivable from affiliate company</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(6,050)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(Loss on loss of control)/Bargain gain upon obtaining control</w:t>
            </w:r>
          </w:p>
        </w:tc>
        <w:tc>
          <w:tcPr>
            <w:tcW w:w="180" w:type="dxa"/>
            <w:vAlign w:val="bottom"/>
          </w:tcPr>
          <w:p>
            <w:pPr>
              <w:spacing w:after="0"/>
              <w:rPr>
                <w:sz w:val="18"/>
                <w:szCs w:val="18"/>
                <w:color w:val="auto"/>
              </w:rPr>
            </w:pPr>
          </w:p>
        </w:tc>
        <w:tc>
          <w:tcPr>
            <w:tcW w:w="1040" w:type="dxa"/>
            <w:vAlign w:val="bottom"/>
            <w:gridSpan w:val="2"/>
          </w:tcPr>
          <w:p>
            <w:pPr>
              <w:jc w:val="right"/>
              <w:ind w:right="38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(61,741)</w:t>
            </w:r>
          </w:p>
        </w:tc>
        <w:tc>
          <w:tcPr>
            <w:tcW w:w="14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58,313</w:t>
            </w:r>
          </w:p>
        </w:tc>
        <w:tc>
          <w:tcPr>
            <w:tcW w:w="16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to earnings of available-for-sale securities</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(345)</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180" w:type="dxa"/>
            <w:vAlign w:val="bottom"/>
          </w:tcPr>
          <w:p>
            <w:pPr>
              <w:spacing w:after="0"/>
              <w:rPr>
                <w:sz w:val="18"/>
                <w:szCs w:val="18"/>
                <w:color w:val="auto"/>
              </w:rPr>
            </w:pPr>
          </w:p>
        </w:tc>
        <w:tc>
          <w:tcPr>
            <w:tcW w:w="1040" w:type="dxa"/>
            <w:vAlign w:val="bottom"/>
            <w:gridSpan w:val="2"/>
          </w:tcPr>
          <w:p>
            <w:pPr>
              <w:jc w:val="right"/>
              <w:ind w:right="248"/>
              <w:spacing w:after="0"/>
              <w:rPr>
                <w:sz w:val="20"/>
                <w:szCs w:val="20"/>
                <w:color w:val="auto"/>
              </w:rPr>
            </w:pPr>
            <w:r>
              <w:rPr>
                <w:rFonts w:ascii="Arial" w:cs="Arial" w:eastAsia="Arial" w:hAnsi="Arial"/>
                <w:sz w:val="18"/>
                <w:szCs w:val="18"/>
                <w:color w:val="auto"/>
              </w:rPr>
              <w:t>(4,356)</w:t>
            </w:r>
          </w:p>
        </w:tc>
        <w:tc>
          <w:tcPr>
            <w:tcW w:w="1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(7,658)</w:t>
            </w:r>
          </w:p>
        </w:tc>
        <w:tc>
          <w:tcPr>
            <w:tcW w:w="1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(3,207)</w:t>
            </w:r>
          </w:p>
        </w:tc>
        <w:tc>
          <w:tcPr>
            <w:tcW w:w="16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(1,123)</w:t>
            </w: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(3,674)</w:t>
            </w:r>
          </w:p>
        </w:tc>
      </w:tr>
      <w:tr>
        <w:trPr>
          <w:trHeight w:val="27"/>
        </w:trPr>
        <w:tc>
          <w:tcPr>
            <w:tcW w:w="5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b w:val="1"/>
                <w:bCs w:val="1"/>
                <w:color w:val="auto"/>
              </w:rPr>
              <w:t>27,931</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61,881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(18,231)</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68,813</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(62,827)</w:t>
            </w:r>
          </w:p>
        </w:tc>
      </w:tr>
      <w:tr>
        <w:trPr>
          <w:trHeight w:val="20"/>
        </w:trPr>
        <w:tc>
          <w:tcPr>
            <w:tcW w:w="5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 Capitalization and Indebtedness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 Reasons for the Offer and Use of Proceeds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 Risk Factors</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Our Indebtedness</w:t>
      </w:r>
    </w:p>
    <w:p>
      <w:pPr>
        <w:spacing w:after="0" w:line="135" w:lineRule="exact"/>
        <w:rPr>
          <w:sz w:val="20"/>
          <w:szCs w:val="20"/>
          <w:color w:val="auto"/>
        </w:rPr>
      </w:pPr>
    </w:p>
    <w:p>
      <w:pPr>
        <w:ind w:left="540" w:right="80" w:hanging="316"/>
        <w:spacing w:after="0" w:line="277"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Our 2022 Notes and 2022 Senior Secured Notes maturities and our working capital deficit raise substantial doubt about our ability to continue as a going concern.</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0"/>
          </w:cols>
          <w:pgMar w:left="32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80" w:hanging="316"/>
        <w:spacing w:after="0" w:line="308" w:lineRule="auto"/>
        <w:tabs>
          <w:tab w:leader="none" w:pos="54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We have substantial debt and may incur substantial additional debt, including secured debt, which could adversely affect our financial health and our ability to obtain financing in the future, react to changes in our business and make payments under the notes.</w:t>
      </w:r>
    </w:p>
    <w:p>
      <w:pPr>
        <w:spacing w:after="0" w:line="51" w:lineRule="exact"/>
        <w:rPr>
          <w:rFonts w:ascii="Arial" w:cs="Arial" w:eastAsia="Arial" w:hAnsi="Arial"/>
          <w:sz w:val="17"/>
          <w:szCs w:val="17"/>
          <w:color w:val="auto"/>
        </w:rPr>
      </w:pPr>
    </w:p>
    <w:p>
      <w:pPr>
        <w:ind w:left="540" w:hanging="316"/>
        <w:spacing w:after="0" w:line="277"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The agreements and instruments governing our debt, other than the 2024 Notes, contain restrictions and limitations that could significantly impact our ability to operate our business.</w:t>
      </w:r>
    </w:p>
    <w:p>
      <w:pPr>
        <w:spacing w:after="0" w:line="75" w:lineRule="exact"/>
        <w:rPr>
          <w:rFonts w:ascii="Arial" w:cs="Arial" w:eastAsia="Arial" w:hAnsi="Arial"/>
          <w:sz w:val="18"/>
          <w:szCs w:val="18"/>
          <w:color w:val="auto"/>
        </w:rPr>
      </w:pPr>
    </w:p>
    <w:p>
      <w:pPr>
        <w:jc w:val="both"/>
        <w:ind w:left="540" w:right="500" w:hanging="316"/>
        <w:spacing w:after="0" w:line="263"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Our ability to generate the significant amount of cash needed to pay interest and principal and otherwise service our debt and our ability to refinance all or a portion of our indebtedness or obtain additional financing depend on multiple factors, many of which may be beyond our control.</w:t>
      </w:r>
    </w:p>
    <w:p>
      <w:pPr>
        <w:spacing w:after="0" w:line="89" w:lineRule="exact"/>
        <w:rPr>
          <w:rFonts w:ascii="Arial" w:cs="Arial" w:eastAsia="Arial" w:hAnsi="Arial"/>
          <w:sz w:val="18"/>
          <w:szCs w:val="18"/>
          <w:color w:val="auto"/>
        </w:rPr>
      </w:pPr>
    </w:p>
    <w:p>
      <w:pPr>
        <w:ind w:left="540" w:right="40" w:hanging="316"/>
        <w:spacing w:after="0" w:line="277"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We may be unable to raise funds necessary to finance the change of control repurchase offer required by the indentures governing our outstanding notes, other than the 2024 Notes, and our secured credit facilities.</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The international nature of our operations may make the outcome of any bankruptcy proceedings difficult to predict.</w:t>
      </w:r>
    </w:p>
    <w:p>
      <w:pPr>
        <w:spacing w:after="0" w:line="130" w:lineRule="exact"/>
        <w:rPr>
          <w:rFonts w:ascii="Arial" w:cs="Arial" w:eastAsia="Arial" w:hAnsi="Arial"/>
          <w:sz w:val="18"/>
          <w:szCs w:val="18"/>
          <w:color w:val="auto"/>
        </w:rPr>
      </w:pPr>
    </w:p>
    <w:p>
      <w:pPr>
        <w:ind w:left="540" w:right="700" w:hanging="316"/>
        <w:spacing w:after="0" w:line="277"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The market value of our vessels may fluctuate significantly, which could cause us to breach covenants in our credit facilities and result in foreclosure on our mortgaged vessels.</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We are exposed to volatility in LIBOR, which can affect our profitability, earnings and cash flow.</w:t>
      </w:r>
    </w:p>
    <w:p>
      <w:pPr>
        <w:spacing w:after="0" w:line="130" w:lineRule="exact"/>
        <w:rPr>
          <w:rFonts w:ascii="Arial" w:cs="Arial" w:eastAsia="Arial" w:hAnsi="Arial"/>
          <w:sz w:val="18"/>
          <w:szCs w:val="18"/>
          <w:color w:val="auto"/>
        </w:rPr>
      </w:pPr>
    </w:p>
    <w:p>
      <w:pPr>
        <w:ind w:left="540" w:right="480" w:hanging="316"/>
        <w:spacing w:after="0" w:line="277"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Changes in the method of determining LIBOR, or the replacement of LIBOR with an alternative reference rate, may adversely affect interest expense related to outstanding debt.</w:t>
      </w:r>
    </w:p>
    <w:p>
      <w:pPr>
        <w:spacing w:after="0" w:line="75" w:lineRule="exact"/>
        <w:rPr>
          <w:rFonts w:ascii="Arial" w:cs="Arial" w:eastAsia="Arial" w:hAnsi="Arial"/>
          <w:sz w:val="18"/>
          <w:szCs w:val="18"/>
          <w:color w:val="auto"/>
        </w:rPr>
      </w:pPr>
    </w:p>
    <w:p>
      <w:pPr>
        <w:ind w:left="540" w:right="700" w:hanging="316"/>
        <w:spacing w:after="0" w:line="277"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We may require additional financing to acquire vessels or business or to exercise vessel purchase options, and such financing may not be available.</w:t>
      </w:r>
    </w:p>
    <w:p>
      <w:pPr>
        <w:spacing w:after="0" w:line="75" w:lineRule="exact"/>
        <w:rPr>
          <w:rFonts w:ascii="Arial" w:cs="Arial" w:eastAsia="Arial" w:hAnsi="Arial"/>
          <w:sz w:val="18"/>
          <w:szCs w:val="18"/>
          <w:color w:val="auto"/>
        </w:rPr>
      </w:pPr>
    </w:p>
    <w:p>
      <w:pPr>
        <w:ind w:left="540" w:right="800" w:hanging="316"/>
        <w:spacing w:after="0" w:line="277"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We currently have substantial equity investments in three companies, two of which are not consolidated in our financial results, and our investment in such companies is subject to the risks related to their respective businesses.</w:t>
      </w:r>
    </w:p>
    <w:p>
      <w:pPr>
        <w:spacing w:after="0" w:line="75" w:lineRule="exact"/>
        <w:rPr>
          <w:rFonts w:ascii="Arial" w:cs="Arial" w:eastAsia="Arial" w:hAnsi="Arial"/>
          <w:sz w:val="18"/>
          <w:szCs w:val="18"/>
          <w:color w:val="auto"/>
        </w:rPr>
      </w:pPr>
    </w:p>
    <w:p>
      <w:pPr>
        <w:ind w:left="540" w:right="460" w:hanging="316"/>
        <w:spacing w:after="0" w:line="277"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Our Chairman and Chief Executive Officer holds approximately 24.5% of our common stock. Her failure to own a significant amount of our common stock or to be our Chief Executive Officer would constitute a default under our secured credit facilities.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Associated with the Shipping Industry and Our Operations</w:t>
      </w:r>
    </w:p>
    <w:p>
      <w:pPr>
        <w:spacing w:after="0" w:line="135" w:lineRule="exact"/>
        <w:rPr>
          <w:sz w:val="20"/>
          <w:szCs w:val="20"/>
          <w:color w:val="auto"/>
        </w:rPr>
      </w:pPr>
    </w:p>
    <w:p>
      <w:pPr>
        <w:ind w:left="540" w:right="140" w:hanging="316"/>
        <w:spacing w:after="0" w:line="263"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The cyclical nature of the shipping industry may lead to decreases in charter rates and lower vessel values, which could adversely affect our and our affiliate companies’ results of operations and financial condition. In particular, charter rates in the dry cargo market were at/ or near historical lows in the first half of 2020 and certain of our vessels may operate below operating cost.</w:t>
      </w:r>
    </w:p>
    <w:p>
      <w:pPr>
        <w:spacing w:after="0" w:line="89" w:lineRule="exact"/>
        <w:rPr>
          <w:rFonts w:ascii="Arial" w:cs="Arial" w:eastAsia="Arial" w:hAnsi="Arial"/>
          <w:sz w:val="18"/>
          <w:szCs w:val="18"/>
          <w:color w:val="auto"/>
        </w:rPr>
      </w:pPr>
    </w:p>
    <w:p>
      <w:pPr>
        <w:ind w:left="540" w:right="80" w:hanging="316"/>
        <w:spacing w:after="0" w:line="277"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The oversupply of drybulk vessel capacity may prolong or further depress low charter rates when they occur, which has and may continue to limit our ability to operate our drybulk vessels profitably.</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Our growth depends on continued growth in demand for dry bulk commodities and the shipping of dry bulk cargoes.</w:t>
      </w:r>
    </w:p>
    <w:p>
      <w:pPr>
        <w:spacing w:after="0" w:line="130" w:lineRule="exact"/>
        <w:rPr>
          <w:rFonts w:ascii="Arial" w:cs="Arial" w:eastAsia="Arial" w:hAnsi="Arial"/>
          <w:sz w:val="18"/>
          <w:szCs w:val="18"/>
          <w:color w:val="auto"/>
        </w:rPr>
      </w:pPr>
    </w:p>
    <w:p>
      <w:pPr>
        <w:ind w:left="540" w:right="400" w:hanging="316"/>
        <w:spacing w:after="0" w:line="277"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Economic conditions throughout the world, global pandemics, renewed terrorist activity, refugee crisis, trade wars and protectionist policies, could have a material adverse effect on our business, financial condition and results of operations.</w:t>
      </w:r>
    </w:p>
    <w:p>
      <w:pPr>
        <w:spacing w:after="0" w:line="75" w:lineRule="exact"/>
        <w:rPr>
          <w:rFonts w:ascii="Arial" w:cs="Arial" w:eastAsia="Arial" w:hAnsi="Arial"/>
          <w:sz w:val="18"/>
          <w:szCs w:val="18"/>
          <w:color w:val="auto"/>
        </w:rPr>
      </w:pPr>
    </w:p>
    <w:p>
      <w:pPr>
        <w:ind w:left="540" w:right="220" w:hanging="316"/>
        <w:spacing w:after="0" w:line="259"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Disruptions in global financial markets from terrorist attacks, regional armed conflicts, general political unrest, the emergence of a pandemic crisis and the resulting governmental action could have a material adverse impact our results of operations, financial condition and cash flows, and our ability to obtain financing required to acquire vessels or refinance our indebtedness. Furthermore, such a disruption could cause the market price of our shares to decline.</w:t>
      </w:r>
    </w:p>
    <w:p>
      <w:pPr>
        <w:spacing w:after="0" w:line="92" w:lineRule="exact"/>
        <w:rPr>
          <w:rFonts w:ascii="Arial" w:cs="Arial" w:eastAsia="Arial" w:hAnsi="Arial"/>
          <w:sz w:val="18"/>
          <w:szCs w:val="18"/>
          <w:color w:val="auto"/>
        </w:rPr>
      </w:pPr>
    </w:p>
    <w:p>
      <w:pPr>
        <w:ind w:left="540" w:right="180" w:hanging="316"/>
        <w:spacing w:after="0" w:line="308" w:lineRule="auto"/>
        <w:tabs>
          <w:tab w:leader="none" w:pos="54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An increase in trade protectionism and the unraveling of multilateral trade agreements could have a material adverse impact on our charterers’ business and, in turn, could cause a material adverse impact on our results of operations, financial condition and cash flows.</w:t>
      </w:r>
    </w:p>
    <w:p>
      <w:pPr>
        <w:spacing w:after="0" w:line="51" w:lineRule="exact"/>
        <w:rPr>
          <w:rFonts w:ascii="Arial" w:cs="Arial" w:eastAsia="Arial" w:hAnsi="Arial"/>
          <w:sz w:val="17"/>
          <w:szCs w:val="17"/>
          <w:color w:val="auto"/>
        </w:rPr>
      </w:pPr>
    </w:p>
    <w:p>
      <w:pPr>
        <w:ind w:left="540" w:right="700" w:hanging="316"/>
        <w:spacing w:after="0" w:line="342" w:lineRule="auto"/>
        <w:tabs>
          <w:tab w:leader="none" w:pos="54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A decrease in the level of China’s imports of raw materials or a decrease in trade globally could have a material adverse impact on our charterers’ business and, in turn, could cause a material adverse impact on our results of operations, financial condition and cash flows.</w:t>
      </w:r>
    </w:p>
    <w:p>
      <w:pPr>
        <w:spacing w:after="0" w:line="29" w:lineRule="exact"/>
        <w:rPr>
          <w:rFonts w:ascii="Arial" w:cs="Arial" w:eastAsia="Arial" w:hAnsi="Arial"/>
          <w:sz w:val="16"/>
          <w:szCs w:val="16"/>
          <w:color w:val="auto"/>
        </w:rPr>
      </w:pPr>
    </w:p>
    <w:p>
      <w:pPr>
        <w:ind w:left="540" w:right="140" w:hanging="316"/>
        <w:spacing w:after="0" w:line="342" w:lineRule="auto"/>
        <w:tabs>
          <w:tab w:leader="none" w:pos="54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We conduct a substantial amount of business in China. The legal system in China has inherent uncertainties that could limit the legal protections available to us and could have a material adverse impact on our business, results of operations, financial condition and cash flows.</w:t>
      </w:r>
    </w:p>
    <w:p>
      <w:pPr>
        <w:spacing w:after="0" w:line="29" w:lineRule="exact"/>
        <w:rPr>
          <w:rFonts w:ascii="Arial" w:cs="Arial" w:eastAsia="Arial" w:hAnsi="Arial"/>
          <w:sz w:val="16"/>
          <w:szCs w:val="16"/>
          <w:color w:val="auto"/>
        </w:rPr>
      </w:pPr>
    </w:p>
    <w:p>
      <w:pPr>
        <w:jc w:val="both"/>
        <w:ind w:left="540" w:right="120" w:hanging="316"/>
        <w:spacing w:after="0" w:line="263"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When our contracts expire, we may not be able to successfully replace them. Our growth and our capacity to replace them depends on our ability to expand relationships with existing customers and obtain new customers, for which we will face substantial competition from new entrants and established companies with significant resources.</w:t>
      </w:r>
    </w:p>
    <w:p>
      <w:pPr>
        <w:spacing w:after="0" w:line="89" w:lineRule="exact"/>
        <w:rPr>
          <w:rFonts w:ascii="Arial" w:cs="Arial" w:eastAsia="Arial" w:hAnsi="Arial"/>
          <w:sz w:val="18"/>
          <w:szCs w:val="18"/>
          <w:color w:val="auto"/>
        </w:rPr>
      </w:pPr>
    </w:p>
    <w:p>
      <w:pPr>
        <w:ind w:left="540" w:hanging="316"/>
        <w:spacing w:after="0"/>
        <w:tabs>
          <w:tab w:leader="none" w:pos="54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We may employ vessels on the spot market and thus expose ourselves to risk of losses based on short-term decreases in shipping rates.</w:t>
      </w:r>
    </w:p>
    <w:p>
      <w:pPr>
        <w:spacing w:after="0" w:line="142" w:lineRule="exact"/>
        <w:rPr>
          <w:rFonts w:ascii="Arial" w:cs="Arial" w:eastAsia="Arial" w:hAnsi="Arial"/>
          <w:sz w:val="17"/>
          <w:szCs w:val="17"/>
          <w:color w:val="auto"/>
        </w:rPr>
      </w:pPr>
    </w:p>
    <w:p>
      <w:pPr>
        <w:ind w:left="540" w:right="80" w:hanging="316"/>
        <w:spacing w:after="0" w:line="277"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We depend upon significant customers for part of our revenues. The loss of one or more of these customers or a decline in the financial capability of our customers could materially adversely affect our financial performance.</w:t>
      </w:r>
    </w:p>
    <w:p>
      <w:pPr>
        <w:spacing w:after="0" w:line="75" w:lineRule="exact"/>
        <w:rPr>
          <w:rFonts w:ascii="Arial" w:cs="Arial" w:eastAsia="Arial" w:hAnsi="Arial"/>
          <w:sz w:val="18"/>
          <w:szCs w:val="18"/>
          <w:color w:val="auto"/>
        </w:rPr>
      </w:pPr>
    </w:p>
    <w:p>
      <w:pPr>
        <w:ind w:left="540" w:right="760" w:hanging="316"/>
        <w:spacing w:after="0" w:line="277"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We are subject to certain credit risks with respect to our counterparties on contracts, and the failure of such counterparties to meet their obligations could cause us to suffer losses on such contracts and thereby decrease revenues.</w:t>
      </w:r>
    </w:p>
    <w:p>
      <w:pPr>
        <w:spacing w:after="0" w:line="75" w:lineRule="exact"/>
        <w:rPr>
          <w:rFonts w:ascii="Arial" w:cs="Arial" w:eastAsia="Arial" w:hAnsi="Arial"/>
          <w:sz w:val="18"/>
          <w:szCs w:val="18"/>
          <w:color w:val="auto"/>
        </w:rPr>
      </w:pPr>
    </w:p>
    <w:p>
      <w:pPr>
        <w:ind w:left="540" w:right="240" w:hanging="316"/>
        <w:spacing w:after="0" w:line="277"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Trading and complementary hedging activities in freight and tonnage subject us to trading risks, and we may suffer trading losses, which could adversely affect our financial condition and results of operations.</w:t>
      </w:r>
    </w:p>
    <w:p>
      <w:pPr>
        <w:sectPr>
          <w:pgSz w:w="11900" w:h="16838" w:orient="portrait"/>
          <w:cols w:equalWidth="0" w:num="1">
            <w:col w:w="11120"/>
          </w:cols>
          <w:pgMar w:left="320" w:top="459" w:right="459" w:bottom="1081" w:gutter="0" w:footer="0" w:header="0"/>
        </w:sectPr>
      </w:pP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120"/>
          </w:cols>
          <w:pgMar w:left="320" w:top="459" w:right="459" w:bottom="1081"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40" w:hanging="316"/>
        <w:spacing w:after="0" w:line="277"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We are subject to certain operating risks, including vessel breakdowns or accidents, that could result in a loss of revenue from the affected vessels which in turn could have a material adverse effect on our results of operations or financial condition.</w:t>
      </w:r>
    </w:p>
    <w:p>
      <w:pPr>
        <w:spacing w:after="0" w:line="75" w:lineRule="exact"/>
        <w:rPr>
          <w:rFonts w:ascii="Arial" w:cs="Arial" w:eastAsia="Arial" w:hAnsi="Arial"/>
          <w:sz w:val="18"/>
          <w:szCs w:val="18"/>
          <w:color w:val="auto"/>
        </w:rPr>
      </w:pPr>
    </w:p>
    <w:p>
      <w:pPr>
        <w:ind w:left="540" w:right="60" w:hanging="316"/>
        <w:spacing w:after="0" w:line="259"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The operation of ocean-going vessels entails the possibility of marine disasters including damage or destruction of the vessel due to accident, the loss of a vessel due to piracy or terrorism, damage or destruction of cargo and similar events that may cause a loss of revenue from affected vessels and damage our business reputation, which may in turn lead to loss of business, which could adversely affect our expenses, net income, cash flow and the price of our common stock.</w:t>
      </w:r>
    </w:p>
    <w:p>
      <w:pPr>
        <w:spacing w:after="0" w:line="92" w:lineRule="exact"/>
        <w:rPr>
          <w:rFonts w:ascii="Arial" w:cs="Arial" w:eastAsia="Arial" w:hAnsi="Arial"/>
          <w:sz w:val="18"/>
          <w:szCs w:val="18"/>
          <w:color w:val="auto"/>
        </w:rPr>
      </w:pPr>
    </w:p>
    <w:p>
      <w:pPr>
        <w:ind w:left="540" w:right="80" w:hanging="316"/>
        <w:spacing w:after="0" w:line="311" w:lineRule="auto"/>
        <w:tabs>
          <w:tab w:leader="none" w:pos="54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We are subject to various laws, regulations, and international conventions, particularly environmental and safety laws, that could require significant expenditures both to maintain compliance with such laws and to pay for any uninsured environmental liabilities, including any resulting from a spill or other environmental incident, which could affect our expenses, net income, cash flow and the price of our common stock.</w:t>
      </w:r>
    </w:p>
    <w:p>
      <w:pPr>
        <w:spacing w:after="0" w:line="54" w:lineRule="exact"/>
        <w:rPr>
          <w:rFonts w:ascii="Arial" w:cs="Arial" w:eastAsia="Arial" w:hAnsi="Arial"/>
          <w:sz w:val="16"/>
          <w:szCs w:val="16"/>
          <w:color w:val="auto"/>
        </w:rPr>
      </w:pPr>
    </w:p>
    <w:p>
      <w:pPr>
        <w:ind w:left="540" w:hanging="316"/>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Climate change and government laws and regulations related to climate change could negatively impact our financial condition.</w:t>
      </w:r>
    </w:p>
    <w:p>
      <w:pPr>
        <w:spacing w:after="0" w:line="130" w:lineRule="exact"/>
        <w:rPr>
          <w:rFonts w:ascii="Arial" w:cs="Arial" w:eastAsia="Arial" w:hAnsi="Arial"/>
          <w:sz w:val="18"/>
          <w:szCs w:val="18"/>
          <w:color w:val="auto"/>
        </w:rPr>
      </w:pPr>
    </w:p>
    <w:p>
      <w:pPr>
        <w:ind w:left="540" w:right="240" w:hanging="316"/>
        <w:spacing w:after="0" w:line="277"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We are subject to vessel security regulations and will incur costs to comply with recently adopted regulations and we may be subject to costs to comply with similar regulations that may be adopted in the future in response to terrorism.</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Acts of piracy on ocean-going vessels could adversely affect our business.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Our financial and operating performance may be adversely affected by the ongoing COVID-19 pandemic outbreak.</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Governments could requisition our vessels during a period of war or emergency, resulting in a loss of earnings.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The smuggling of drugs or other contraband onto our vessels may lead to governmental claims against us.</w:t>
      </w:r>
    </w:p>
    <w:p>
      <w:pPr>
        <w:spacing w:after="0" w:line="130" w:lineRule="exact"/>
        <w:rPr>
          <w:rFonts w:ascii="Arial" w:cs="Arial" w:eastAsia="Arial" w:hAnsi="Arial"/>
          <w:sz w:val="18"/>
          <w:szCs w:val="18"/>
          <w:color w:val="auto"/>
        </w:rPr>
      </w:pPr>
    </w:p>
    <w:p>
      <w:pPr>
        <w:ind w:left="540" w:right="760" w:hanging="316"/>
        <w:spacing w:after="0" w:line="342" w:lineRule="auto"/>
        <w:tabs>
          <w:tab w:leader="none" w:pos="54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A failure to pass inspection by classification societies could result in one or more vessels being unemployable unless and until they pass inspection, resulting in a loss of revenues from such vessels for that period and a corresponding decrease in operating cash flows.</w:t>
      </w:r>
    </w:p>
    <w:p>
      <w:pPr>
        <w:spacing w:after="0" w:line="29" w:lineRule="exact"/>
        <w:rPr>
          <w:rFonts w:ascii="Arial" w:cs="Arial" w:eastAsia="Arial" w:hAnsi="Arial"/>
          <w:sz w:val="16"/>
          <w:szCs w:val="16"/>
          <w:color w:val="auto"/>
        </w:rPr>
      </w:pPr>
    </w:p>
    <w:p>
      <w:pPr>
        <w:ind w:left="540" w:hanging="316"/>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Increased inspection procedures and tighter import and export controls could increase costs and disrupt our business.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We may not have adequate insurance to compensate us if we lose our vessels or to compensate third parties.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We may be subject to litigation that, if not resolved in our favor or not sufficiently insured against, could have a material adverse effect on us.</w:t>
      </w:r>
    </w:p>
    <w:p>
      <w:pPr>
        <w:spacing w:after="0" w:line="153" w:lineRule="exact"/>
        <w:rPr>
          <w:rFonts w:ascii="Arial" w:cs="Arial" w:eastAsia="Arial" w:hAnsi="Arial"/>
          <w:sz w:val="16"/>
          <w:szCs w:val="16"/>
          <w:color w:val="auto"/>
        </w:rPr>
      </w:pPr>
    </w:p>
    <w:p>
      <w:pPr>
        <w:ind w:left="540" w:hanging="316"/>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Maritime claimants could arrest or attach one or more of our vessels, which could interrupt our cash flow.</w:t>
      </w:r>
    </w:p>
    <w:p>
      <w:pPr>
        <w:spacing w:after="0" w:line="130" w:lineRule="exact"/>
        <w:rPr>
          <w:rFonts w:ascii="Arial" w:cs="Arial" w:eastAsia="Arial" w:hAnsi="Arial"/>
          <w:sz w:val="18"/>
          <w:szCs w:val="18"/>
          <w:color w:val="auto"/>
        </w:rPr>
      </w:pPr>
    </w:p>
    <w:p>
      <w:pPr>
        <w:ind w:left="540" w:right="220" w:hanging="316"/>
        <w:spacing w:after="0" w:line="277"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The risks and costs associated with vessels increase as the vessels age or the aging of our vessels may result in increased operating costs in the future, which could adversely affect our earnings.</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Technological innovation could reduce our charter hire income and the value of our vessels.</w:t>
      </w:r>
    </w:p>
    <w:p>
      <w:pPr>
        <w:spacing w:after="0" w:line="130" w:lineRule="exact"/>
        <w:rPr>
          <w:rFonts w:ascii="Arial" w:cs="Arial" w:eastAsia="Arial" w:hAnsi="Arial"/>
          <w:sz w:val="18"/>
          <w:szCs w:val="18"/>
          <w:color w:val="auto"/>
        </w:rPr>
      </w:pPr>
    </w:p>
    <w:p>
      <w:pPr>
        <w:ind w:left="540" w:right="80" w:hanging="316"/>
        <w:spacing w:after="0" w:line="259"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A number of owners have ordered so-called “eco-type” vessel designs or have retrofitted scrubbers to remove sulphur from exhaust gases, which may offer substantial bunker savings as compared to older designs or vessels without exhaust gas scrubbers. Increased demand for and supply of “eco-type” or scrubber retrofitted vessels could reduce demand for our vessels that are not classified as such and expose us to lower vessel utilization and/or decreased charter rates.</w:t>
      </w:r>
    </w:p>
    <w:p>
      <w:pPr>
        <w:spacing w:after="0" w:line="92" w:lineRule="exact"/>
        <w:rPr>
          <w:rFonts w:ascii="Arial" w:cs="Arial" w:eastAsia="Arial" w:hAnsi="Arial"/>
          <w:sz w:val="18"/>
          <w:szCs w:val="18"/>
          <w:color w:val="auto"/>
        </w:rPr>
      </w:pPr>
    </w:p>
    <w:p>
      <w:pPr>
        <w:ind w:left="540" w:hanging="316"/>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Fuel price fluctuations may have an adverse effect on our profits.</w:t>
      </w:r>
    </w:p>
    <w:p>
      <w:pPr>
        <w:spacing w:after="0" w:line="130" w:lineRule="exact"/>
        <w:rPr>
          <w:rFonts w:ascii="Arial" w:cs="Arial" w:eastAsia="Arial" w:hAnsi="Arial"/>
          <w:sz w:val="18"/>
          <w:szCs w:val="18"/>
          <w:color w:val="auto"/>
        </w:rPr>
      </w:pPr>
    </w:p>
    <w:p>
      <w:pPr>
        <w:ind w:left="540" w:right="260" w:hanging="316"/>
        <w:spacing w:after="0" w:line="277"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If we fail to manage our growth properly, we may not be able to expand our fleet successfully, which may adversely affect our overall financial position.</w:t>
      </w:r>
    </w:p>
    <w:p>
      <w:pPr>
        <w:spacing w:after="0" w:line="75" w:lineRule="exact"/>
        <w:rPr>
          <w:rFonts w:ascii="Arial" w:cs="Arial" w:eastAsia="Arial" w:hAnsi="Arial"/>
          <w:sz w:val="18"/>
          <w:szCs w:val="18"/>
          <w:color w:val="auto"/>
        </w:rPr>
      </w:pPr>
    </w:p>
    <w:p>
      <w:pPr>
        <w:ind w:left="540" w:right="160" w:hanging="316"/>
        <w:spacing w:after="0" w:line="277"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We may be unable to make or realize expected benefits from acquisitions, and implementing our growth strategy through acquisitions may harm our business, financial condition and operating results.</w:t>
      </w:r>
    </w:p>
    <w:p>
      <w:pPr>
        <w:spacing w:after="0" w:line="75" w:lineRule="exact"/>
        <w:rPr>
          <w:rFonts w:ascii="Arial" w:cs="Arial" w:eastAsia="Arial" w:hAnsi="Arial"/>
          <w:sz w:val="18"/>
          <w:szCs w:val="18"/>
          <w:color w:val="auto"/>
        </w:rPr>
      </w:pPr>
    </w:p>
    <w:p>
      <w:pPr>
        <w:ind w:left="540" w:right="340" w:hanging="316"/>
        <w:spacing w:after="0" w:line="308" w:lineRule="auto"/>
        <w:tabs>
          <w:tab w:leader="none" w:pos="54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Delays in deliveries of secondhand vessels, our decision to cancel an order for purchase of a vessel or our inability to otherwise complete the acquisitions of additional vessels for our fleet, could harm our business, financial condition and results of operations.</w:t>
      </w:r>
    </w:p>
    <w:p>
      <w:pPr>
        <w:spacing w:after="0" w:line="51" w:lineRule="exact"/>
        <w:rPr>
          <w:rFonts w:ascii="Arial" w:cs="Arial" w:eastAsia="Arial" w:hAnsi="Arial"/>
          <w:sz w:val="17"/>
          <w:szCs w:val="17"/>
          <w:color w:val="auto"/>
        </w:rPr>
      </w:pPr>
    </w:p>
    <w:p>
      <w:pPr>
        <w:ind w:left="540" w:right="220" w:hanging="316"/>
        <w:spacing w:after="0" w:line="277"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If we purchase any newbuilding vessels, delays, cancellations or non-completion of deliveries of newbuilding vessels could harm our operating results.</w:t>
      </w:r>
    </w:p>
    <w:p>
      <w:pPr>
        <w:spacing w:after="0" w:line="75" w:lineRule="exact"/>
        <w:rPr>
          <w:rFonts w:ascii="Arial" w:cs="Arial" w:eastAsia="Arial" w:hAnsi="Arial"/>
          <w:sz w:val="18"/>
          <w:szCs w:val="18"/>
          <w:color w:val="auto"/>
        </w:rPr>
      </w:pPr>
    </w:p>
    <w:p>
      <w:pPr>
        <w:ind w:left="540" w:right="200" w:hanging="316"/>
        <w:spacing w:after="0" w:line="259"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If we expand the size of our fleet in the future, we generally will be required to make significant installment payments for acquisitions of vessels even prior to their delivery and generation of revenue. Depending on whether we finance our expenditures through cash from operations or by issuing debt or equity securities, our ability to make cash distributions, to the extent we are making distributions, may be diminished or our financial leverage could increase or our stockholders could be diluted.</w:t>
      </w:r>
    </w:p>
    <w:p>
      <w:pPr>
        <w:spacing w:after="0" w:line="92" w:lineRule="exact"/>
        <w:rPr>
          <w:rFonts w:ascii="Arial" w:cs="Arial" w:eastAsia="Arial" w:hAnsi="Arial"/>
          <w:sz w:val="18"/>
          <w:szCs w:val="18"/>
          <w:color w:val="auto"/>
        </w:rPr>
      </w:pPr>
    </w:p>
    <w:p>
      <w:pPr>
        <w:ind w:left="540" w:right="220" w:hanging="316"/>
        <w:spacing w:after="0" w:line="277"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The market values of our vessels, may fluctuate significantly. If vessel value are low at a time when we are attempting to dispose of a vessel, we could incur a loss</w:t>
      </w:r>
    </w:p>
    <w:p>
      <w:pPr>
        <w:spacing w:after="0" w:line="75" w:lineRule="exact"/>
        <w:rPr>
          <w:rFonts w:ascii="Arial" w:cs="Arial" w:eastAsia="Arial" w:hAnsi="Arial"/>
          <w:sz w:val="18"/>
          <w:szCs w:val="18"/>
          <w:color w:val="auto"/>
        </w:rPr>
      </w:pPr>
    </w:p>
    <w:p>
      <w:pPr>
        <w:ind w:left="540" w:hanging="316"/>
        <w:spacing w:after="0" w:line="342" w:lineRule="auto"/>
        <w:tabs>
          <w:tab w:leader="none" w:pos="54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Although we have long-standing relationships with certain Japanese shipowners that provide us access to competitive contracts and financing, we cannot assure you that we will always be able to maintain such relationships or that such contracts will continue to be available in the future.</w:t>
      </w:r>
    </w:p>
    <w:p>
      <w:pPr>
        <w:spacing w:after="0" w:line="29" w:lineRule="exact"/>
        <w:rPr>
          <w:rFonts w:ascii="Arial" w:cs="Arial" w:eastAsia="Arial" w:hAnsi="Arial"/>
          <w:sz w:val="16"/>
          <w:szCs w:val="16"/>
          <w:color w:val="auto"/>
        </w:rPr>
      </w:pPr>
    </w:p>
    <w:p>
      <w:pPr>
        <w:ind w:left="540" w:hanging="316"/>
        <w:spacing w:after="0" w:line="277"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Our vessels may be subject to unbudgeted periods of off-hire, which could materially adversely affect our business, financial condition and results of operations.</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Vessels may suffer damage and we may face unexpected drydocking costs, which could affect our cash flow and financial condition.</w:t>
      </w:r>
    </w:p>
    <w:p>
      <w:pPr>
        <w:spacing w:after="0" w:line="130" w:lineRule="exact"/>
        <w:rPr>
          <w:rFonts w:ascii="Arial" w:cs="Arial" w:eastAsia="Arial" w:hAnsi="Arial"/>
          <w:sz w:val="18"/>
          <w:szCs w:val="18"/>
          <w:color w:val="auto"/>
        </w:rPr>
      </w:pPr>
    </w:p>
    <w:p>
      <w:pPr>
        <w:ind w:left="540" w:right="800" w:hanging="316"/>
        <w:spacing w:after="0" w:line="277"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We must make substantial capital expenditures to maintain the operating capacity of our fleet, which will reduce our cash available for distribution.</w:t>
      </w:r>
    </w:p>
    <w:p>
      <w:pPr>
        <w:spacing w:after="0" w:line="75" w:lineRule="exact"/>
        <w:rPr>
          <w:rFonts w:ascii="Arial" w:cs="Arial" w:eastAsia="Arial" w:hAnsi="Arial"/>
          <w:sz w:val="18"/>
          <w:szCs w:val="18"/>
          <w:color w:val="auto"/>
        </w:rPr>
      </w:pPr>
    </w:p>
    <w:p>
      <w:pPr>
        <w:ind w:left="540" w:right="580" w:hanging="316"/>
        <w:spacing w:after="0" w:line="277"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Our international activities increase the compliance risks associated with economic and trade sanctions imposed by the United States, the European Union and other jurisdictions/authorities.</w:t>
      </w:r>
    </w:p>
    <w:p>
      <w:pPr>
        <w:sectPr>
          <w:pgSz w:w="11900" w:h="16838" w:orient="portrait"/>
          <w:cols w:equalWidth="0" w:num="1">
            <w:col w:w="11080"/>
          </w:cols>
          <w:pgMar w:left="320" w:top="459" w:right="499" w:bottom="150" w:gutter="0" w:footer="0" w:header="0"/>
        </w:sectPr>
      </w:pP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080"/>
          </w:cols>
          <w:pgMar w:left="320" w:top="459" w:right="499" w:bottom="15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316"/>
        <w:spacing w:after="0" w:line="277"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Security breaches and disruptions to our information technology infrastructure could interfere with our operations and expose us to liability which could have a material adverse effect on our business, financial condition, cash flows and results of operations.</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Changing laws and evolving reporting requirements could have an adverse effect on our business.</w:t>
      </w:r>
    </w:p>
    <w:p>
      <w:pPr>
        <w:spacing w:after="0" w:line="130" w:lineRule="exact"/>
        <w:rPr>
          <w:rFonts w:ascii="Arial" w:cs="Arial" w:eastAsia="Arial" w:hAnsi="Arial"/>
          <w:sz w:val="18"/>
          <w:szCs w:val="18"/>
          <w:color w:val="auto"/>
        </w:rPr>
      </w:pPr>
    </w:p>
    <w:p>
      <w:pPr>
        <w:ind w:left="540" w:right="80" w:hanging="316"/>
        <w:spacing w:after="0" w:line="277"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We could be materially adversely affected by violations of the U.S. Foreign Corrupt Practices Act, the U.K. Bribery Act, and anti-corruption laws in other applicable jurisdictions.</w:t>
      </w:r>
    </w:p>
    <w:p>
      <w:pPr>
        <w:spacing w:after="0" w:line="75" w:lineRule="exact"/>
        <w:rPr>
          <w:rFonts w:ascii="Arial" w:cs="Arial" w:eastAsia="Arial" w:hAnsi="Arial"/>
          <w:sz w:val="18"/>
          <w:szCs w:val="18"/>
          <w:color w:val="auto"/>
        </w:rPr>
      </w:pPr>
    </w:p>
    <w:p>
      <w:pPr>
        <w:ind w:left="540" w:right="520" w:hanging="316"/>
        <w:spacing w:after="0" w:line="277"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Because we generate substantially all of our revenues in U.S. dollars but incur a portion of our expenses in other currencies, exchange rate fluctuations could cause us to suffer exchange rate losses, thereby increasing expenses and reducing income.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Our Organizational Structure and Other Legal Matters</w:t>
      </w:r>
    </w:p>
    <w:p>
      <w:pPr>
        <w:spacing w:after="0" w:line="135" w:lineRule="exact"/>
        <w:rPr>
          <w:sz w:val="20"/>
          <w:szCs w:val="20"/>
          <w:color w:val="auto"/>
        </w:rPr>
      </w:pPr>
    </w:p>
    <w:p>
      <w:pPr>
        <w:ind w:left="540" w:hanging="316"/>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We are dependent on the Manager for the technical, commercial, administrative and technical management of our fleet.</w:t>
      </w:r>
    </w:p>
    <w:p>
      <w:pPr>
        <w:spacing w:after="0" w:line="130" w:lineRule="exact"/>
        <w:rPr>
          <w:rFonts w:ascii="Arial" w:cs="Arial" w:eastAsia="Arial" w:hAnsi="Arial"/>
          <w:sz w:val="18"/>
          <w:szCs w:val="18"/>
          <w:color w:val="auto"/>
        </w:rPr>
      </w:pPr>
    </w:p>
    <w:p>
      <w:pPr>
        <w:ind w:left="540" w:right="260" w:hanging="316"/>
        <w:spacing w:after="0" w:line="277"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We are a holding company and we depend on the ability of our subsidiaries to distribute funds to us in order to satisfy our financial obligations and to make distributions.</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We are incorporated in the Republic of the Marshall Islands, which does not have a well-developed body of corporate law.</w:t>
      </w:r>
    </w:p>
    <w:p>
      <w:pPr>
        <w:spacing w:after="0" w:line="130" w:lineRule="exact"/>
        <w:rPr>
          <w:rFonts w:ascii="Arial" w:cs="Arial" w:eastAsia="Arial" w:hAnsi="Arial"/>
          <w:sz w:val="18"/>
          <w:szCs w:val="18"/>
          <w:color w:val="auto"/>
        </w:rPr>
      </w:pPr>
    </w:p>
    <w:p>
      <w:pPr>
        <w:ind w:left="540" w:right="580" w:hanging="316"/>
        <w:spacing w:after="0" w:line="308" w:lineRule="auto"/>
        <w:tabs>
          <w:tab w:leader="none" w:pos="54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Because we are incorporated under the laws of the Marshall Islands and our business is operated primarily from our office in the Cayman Islands, it may be difficult to serve us with legal process or enforce judgments against us, our directors or our management.</w:t>
      </w:r>
    </w:p>
    <w:p>
      <w:pPr>
        <w:spacing w:after="0" w:line="51" w:lineRule="exact"/>
        <w:rPr>
          <w:rFonts w:ascii="Arial" w:cs="Arial" w:eastAsia="Arial" w:hAnsi="Arial"/>
          <w:sz w:val="17"/>
          <w:szCs w:val="17"/>
          <w:color w:val="auto"/>
        </w:rPr>
      </w:pPr>
    </w:p>
    <w:p>
      <w:pPr>
        <w:ind w:left="540" w:hanging="316"/>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Being a foreign private issuer exempts us from certain SEC and NYSE requirements.</w:t>
      </w:r>
    </w:p>
    <w:p>
      <w:pPr>
        <w:spacing w:after="0" w:line="130" w:lineRule="exact"/>
        <w:rPr>
          <w:rFonts w:ascii="Arial" w:cs="Arial" w:eastAsia="Arial" w:hAnsi="Arial"/>
          <w:sz w:val="18"/>
          <w:szCs w:val="18"/>
          <w:color w:val="auto"/>
        </w:rPr>
      </w:pPr>
    </w:p>
    <w:p>
      <w:pPr>
        <w:ind w:left="540" w:right="220" w:hanging="316"/>
        <w:spacing w:after="0" w:line="263"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Anti-takeover provisions in our amended and restated articles of incorporation could make it difficult for our stockholders to replace or remove our current board of directors or could have the effect of discouraging, delaying or preventing a merger or acquisition, which could adversely affect the market price of our common stock.</w:t>
      </w:r>
    </w:p>
    <w:p>
      <w:pPr>
        <w:spacing w:after="0" w:line="89" w:lineRule="exact"/>
        <w:rPr>
          <w:rFonts w:ascii="Arial" w:cs="Arial" w:eastAsia="Arial" w:hAnsi="Arial"/>
          <w:sz w:val="18"/>
          <w:szCs w:val="18"/>
          <w:color w:val="auto"/>
        </w:rPr>
      </w:pPr>
    </w:p>
    <w:p>
      <w:pPr>
        <w:ind w:left="540" w:right="100" w:hanging="316"/>
        <w:spacing w:after="0" w:line="277"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The Manager may be unable to attract and retain qualified, skilled employees or crew necessary to operate our vessels and business or may have to pay increased costs for our employees and crew and other vessel operating costs.</w:t>
      </w:r>
    </w:p>
    <w:p>
      <w:pPr>
        <w:spacing w:after="0" w:line="75" w:lineRule="exact"/>
        <w:rPr>
          <w:rFonts w:ascii="Arial" w:cs="Arial" w:eastAsia="Arial" w:hAnsi="Arial"/>
          <w:sz w:val="18"/>
          <w:szCs w:val="18"/>
          <w:color w:val="auto"/>
        </w:rPr>
      </w:pPr>
    </w:p>
    <w:p>
      <w:pPr>
        <w:ind w:left="540" w:right="60" w:hanging="316"/>
        <w:spacing w:after="0" w:line="277"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Our Chairman and Chief Executive Officer holds approximately 25.4% of our common stock and will be able to exert considerable influence over our actions.</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The loss of key members of our senior management team could disrupt the management of our business.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Navios Partners and Navios Acquisition and their affiliates may compete with us.</w:t>
      </w:r>
    </w:p>
    <w:p>
      <w:pPr>
        <w:spacing w:after="0" w:line="130" w:lineRule="exact"/>
        <w:rPr>
          <w:rFonts w:ascii="Arial" w:cs="Arial" w:eastAsia="Arial" w:hAnsi="Arial"/>
          <w:sz w:val="18"/>
          <w:szCs w:val="18"/>
          <w:color w:val="auto"/>
        </w:rPr>
      </w:pPr>
    </w:p>
    <w:p>
      <w:pPr>
        <w:ind w:left="540" w:right="100" w:hanging="316"/>
        <w:spacing w:after="0" w:line="342" w:lineRule="auto"/>
        <w:tabs>
          <w:tab w:leader="none" w:pos="54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Our officers, certain of our directors and stockholders are affiliated with entities engaged in business activities similar to those conducted by us, which may compete directly with us, causing such persons to have conflicts of interest and conflicts in the allocation of their time to our business.</w:t>
      </w:r>
    </w:p>
    <w:p>
      <w:pPr>
        <w:spacing w:after="0" w:line="29" w:lineRule="exact"/>
        <w:rPr>
          <w:rFonts w:ascii="Arial" w:cs="Arial" w:eastAsia="Arial" w:hAnsi="Arial"/>
          <w:sz w:val="16"/>
          <w:szCs w:val="16"/>
          <w:color w:val="auto"/>
        </w:rPr>
      </w:pPr>
    </w:p>
    <w:p>
      <w:pPr>
        <w:ind w:left="540" w:right="240" w:hanging="316"/>
        <w:spacing w:after="0" w:line="277"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Fees and cost reimbursements, which the Manager determines for services provided to us, represent significant percentage of our revenues, are payable regardless of profitability and reduce our cash available for distributions.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Our Common Stock</w:t>
      </w:r>
    </w:p>
    <w:p>
      <w:pPr>
        <w:spacing w:after="0" w:line="135" w:lineRule="exact"/>
        <w:rPr>
          <w:sz w:val="20"/>
          <w:szCs w:val="20"/>
          <w:color w:val="auto"/>
        </w:rPr>
      </w:pPr>
    </w:p>
    <w:p>
      <w:pPr>
        <w:ind w:left="540" w:hanging="316"/>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Our stock price may be volatile, and investors in our common stock could lose all or part of their investment.</w:t>
      </w:r>
    </w:p>
    <w:p>
      <w:pPr>
        <w:spacing w:after="0" w:line="130" w:lineRule="exact"/>
        <w:rPr>
          <w:rFonts w:ascii="Arial" w:cs="Arial" w:eastAsia="Arial" w:hAnsi="Arial"/>
          <w:sz w:val="18"/>
          <w:szCs w:val="18"/>
          <w:color w:val="auto"/>
        </w:rPr>
      </w:pPr>
    </w:p>
    <w:p>
      <w:pPr>
        <w:ind w:left="540" w:right="80" w:hanging="316"/>
        <w:spacing w:after="0" w:line="277"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Issuance of our common stock, including for debt repayment purposes or otherwise, could cause the price of our common stock to fall, and would dilute your ownership interests.</w:t>
      </w:r>
    </w:p>
    <w:p>
      <w:pPr>
        <w:spacing w:after="0" w:line="75" w:lineRule="exact"/>
        <w:rPr>
          <w:rFonts w:ascii="Arial" w:cs="Arial" w:eastAsia="Arial" w:hAnsi="Arial"/>
          <w:sz w:val="18"/>
          <w:szCs w:val="18"/>
          <w:color w:val="auto"/>
        </w:rPr>
      </w:pPr>
    </w:p>
    <w:p>
      <w:pPr>
        <w:ind w:left="540" w:right="120" w:hanging="316"/>
        <w:spacing w:after="0" w:line="277"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The New York Stock Exchange may delist our securities from quotation on its exchange, which could limit your ability to trade our securities and subject us to additional trading restrictions.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Our Series G and Series H and the Depositary Shares</w:t>
      </w:r>
    </w:p>
    <w:p>
      <w:pPr>
        <w:spacing w:after="0" w:line="135" w:lineRule="exact"/>
        <w:rPr>
          <w:sz w:val="20"/>
          <w:szCs w:val="20"/>
          <w:color w:val="auto"/>
        </w:rPr>
      </w:pPr>
    </w:p>
    <w:p>
      <w:pPr>
        <w:ind w:left="540" w:right="60" w:hanging="316"/>
        <w:spacing w:after="0" w:line="277"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Our Series G and Series H are subordinated to our debt obligations, and a holder’s interests could be diluted by the issuance of additional shares, including additional Series G, Series H and by other transactions.</w:t>
      </w:r>
    </w:p>
    <w:p>
      <w:pPr>
        <w:spacing w:after="0" w:line="75" w:lineRule="exact"/>
        <w:rPr>
          <w:rFonts w:ascii="Arial" w:cs="Arial" w:eastAsia="Arial" w:hAnsi="Arial"/>
          <w:sz w:val="18"/>
          <w:szCs w:val="18"/>
          <w:color w:val="auto"/>
        </w:rPr>
      </w:pPr>
    </w:p>
    <w:p>
      <w:pPr>
        <w:ind w:left="540" w:right="500" w:hanging="316"/>
        <w:spacing w:after="0" w:line="308" w:lineRule="auto"/>
        <w:tabs>
          <w:tab w:leader="none" w:pos="540"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We may not have sufficient cash from our operations to enable us to pay dividends on or to redeem our Series G and H, and accordingly the Depositary Shares, as the case may be, following the payment of expenses and the establishment of any reserves.</w:t>
      </w:r>
    </w:p>
    <w:p>
      <w:pPr>
        <w:spacing w:after="0" w:line="51" w:lineRule="exact"/>
        <w:rPr>
          <w:rFonts w:ascii="Arial" w:cs="Arial" w:eastAsia="Arial" w:hAnsi="Arial"/>
          <w:sz w:val="17"/>
          <w:szCs w:val="17"/>
          <w:color w:val="auto"/>
        </w:rPr>
      </w:pPr>
    </w:p>
    <w:p>
      <w:pPr>
        <w:ind w:left="540" w:right="80" w:hanging="316"/>
        <w:spacing w:after="0" w:line="277"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Our ability to pay dividends on and to redeem our Series G and H, and therefore holders’ ability to receive payments on the Depositary Shares, is limited by the requirements of Marshall Islands law.</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The Series G and H represent perpetual equity interests.</w:t>
      </w:r>
    </w:p>
    <w:p>
      <w:pPr>
        <w:spacing w:after="0" w:line="130" w:lineRule="exact"/>
        <w:rPr>
          <w:rFonts w:ascii="Arial" w:cs="Arial" w:eastAsia="Arial" w:hAnsi="Arial"/>
          <w:sz w:val="18"/>
          <w:szCs w:val="18"/>
          <w:color w:val="auto"/>
        </w:rPr>
      </w:pPr>
    </w:p>
    <w:p>
      <w:pPr>
        <w:ind w:left="540" w:right="60" w:hanging="316"/>
        <w:spacing w:after="0" w:line="277"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Holders of Depositary Shares have extremely limited voting rights, will have even more limited rights than holders of the Series G and H and may encounter difficulties in exercising some of such rights.</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The Depositary Shares lack a well-developed trading market. Various factors may adversely affect the price of the Depositary Shares.</w:t>
      </w:r>
    </w:p>
    <w:p>
      <w:pPr>
        <w:spacing w:after="0" w:line="142" w:lineRule="exact"/>
        <w:rPr>
          <w:rFonts w:ascii="Arial" w:cs="Arial" w:eastAsia="Arial" w:hAnsi="Arial"/>
          <w:sz w:val="17"/>
          <w:szCs w:val="17"/>
          <w:color w:val="auto"/>
        </w:rPr>
      </w:pPr>
    </w:p>
    <w:p>
      <w:pPr>
        <w:ind w:left="540" w:hanging="316"/>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Depositary Shares became less liquid following the Exchange Offer.</w:t>
      </w:r>
    </w:p>
    <w:p>
      <w:pPr>
        <w:spacing w:after="0" w:line="130" w:lineRule="exact"/>
        <w:rPr>
          <w:rFonts w:ascii="Arial" w:cs="Arial" w:eastAsia="Arial" w:hAnsi="Arial"/>
          <w:sz w:val="18"/>
          <w:szCs w:val="18"/>
          <w:color w:val="auto"/>
        </w:rPr>
      </w:pPr>
    </w:p>
    <w:p>
      <w:pPr>
        <w:ind w:left="540" w:right="280" w:hanging="316"/>
        <w:spacing w:after="0" w:line="277"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The Series G and H represented by the Depositary Shares have not been rated, and ratings of any other of our securities may affect the trading price of the Depositary Shares.</w:t>
      </w:r>
    </w:p>
    <w:p>
      <w:pPr>
        <w:spacing w:after="0" w:line="75" w:lineRule="exact"/>
        <w:rPr>
          <w:rFonts w:ascii="Arial" w:cs="Arial" w:eastAsia="Arial" w:hAnsi="Arial"/>
          <w:sz w:val="18"/>
          <w:szCs w:val="18"/>
          <w:color w:val="auto"/>
        </w:rPr>
      </w:pPr>
    </w:p>
    <w:p>
      <w:pPr>
        <w:ind w:left="540" w:right="160" w:hanging="316"/>
        <w:spacing w:after="0" w:line="277"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The amount of the liquidation preference of our Series G and H is fixed and holders will have no right to receive any greater payment regardless of the circumstances.</w:t>
      </w:r>
    </w:p>
    <w:p>
      <w:pPr>
        <w:sectPr>
          <w:pgSz w:w="11900" w:h="16838" w:orient="portrait"/>
          <w:cols w:equalWidth="0" w:num="1">
            <w:col w:w="11120"/>
          </w:cols>
          <w:pgMar w:left="320" w:top="459" w:right="459" w:bottom="0" w:gutter="0" w:footer="0" w:header="0"/>
        </w:sectPr>
      </w:pP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120"/>
          </w:cols>
          <w:pgMar w:left="320" w:top="459" w:right="459" w:bottom="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380" w:hanging="316"/>
        <w:spacing w:after="0" w:line="277"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The Series G and H are only redeemable at our option and investors should not expect us to redeem either the Series G or the Series H on the dates they respectively become redeemable or on any particular date afterwards.</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Holders of Depositary Shares may be subject to additional risks related to holding Depositary Shares rather than shares.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Navios Logistics</w:t>
      </w:r>
    </w:p>
    <w:p>
      <w:pPr>
        <w:spacing w:after="0" w:line="135" w:lineRule="exact"/>
        <w:rPr>
          <w:sz w:val="20"/>
          <w:szCs w:val="20"/>
          <w:color w:val="auto"/>
        </w:rPr>
      </w:pPr>
    </w:p>
    <w:p>
      <w:pPr>
        <w:ind w:left="540" w:right="100" w:hanging="316"/>
        <w:spacing w:after="0" w:line="263"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Navios Logistics’ grain port business has seasonal components linked to the grain harvests in the region. At times throughout the year, the capacity of its grain port terminal (the “Grain Terminal”), including the loading and unloading operations, as well as the space in silos could be exceeded, which could materially and adversely affect its operations and revenues.</w:t>
      </w:r>
    </w:p>
    <w:p>
      <w:pPr>
        <w:spacing w:after="0" w:line="89" w:lineRule="exact"/>
        <w:rPr>
          <w:rFonts w:ascii="Arial" w:cs="Arial" w:eastAsia="Arial" w:hAnsi="Arial"/>
          <w:sz w:val="18"/>
          <w:szCs w:val="18"/>
          <w:color w:val="auto"/>
        </w:rPr>
      </w:pPr>
    </w:p>
    <w:p>
      <w:pPr>
        <w:ind w:left="540" w:right="140" w:hanging="316"/>
        <w:spacing w:after="0" w:line="342" w:lineRule="auto"/>
        <w:tabs>
          <w:tab w:leader="none" w:pos="54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Navios Logistics is subject to certain operating risks in its port terminals that could affect the performance of its contractual commitments which could result in a loss of revenue, and which in turn could have a material adverse effect on its results of operations or financial condition.</w:t>
      </w:r>
    </w:p>
    <w:p>
      <w:pPr>
        <w:spacing w:after="0" w:line="29" w:lineRule="exact"/>
        <w:rPr>
          <w:rFonts w:ascii="Arial" w:cs="Arial" w:eastAsia="Arial" w:hAnsi="Arial"/>
          <w:sz w:val="16"/>
          <w:szCs w:val="16"/>
          <w:color w:val="auto"/>
        </w:rPr>
      </w:pPr>
    </w:p>
    <w:p>
      <w:pPr>
        <w:ind w:left="540" w:right="80" w:hanging="316"/>
        <w:spacing w:after="0" w:line="277"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Navios Logistics derives a significant part of its revenues from a small number of customers, and the loss of one or more of these customers could materially and adversely affect its revenues.</w:t>
      </w:r>
    </w:p>
    <w:p>
      <w:pPr>
        <w:spacing w:after="0" w:line="75" w:lineRule="exact"/>
        <w:rPr>
          <w:rFonts w:ascii="Arial" w:cs="Arial" w:eastAsia="Arial" w:hAnsi="Arial"/>
          <w:sz w:val="18"/>
          <w:szCs w:val="18"/>
          <w:color w:val="auto"/>
        </w:rPr>
      </w:pPr>
    </w:p>
    <w:p>
      <w:pPr>
        <w:ind w:left="540" w:right="120" w:hanging="316"/>
        <w:spacing w:after="0" w:line="308" w:lineRule="auto"/>
        <w:tabs>
          <w:tab w:leader="none" w:pos="540"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Vale’s payments represent a significant portion of Navios Logistics’ revenue and if Vale were unable or unwilling to fulfill their obligations under the in-force agreements with Navios Logistics, it could significantly reduce Navios Logistics’ revenues and cash flow.</w:t>
      </w:r>
    </w:p>
    <w:p>
      <w:pPr>
        <w:spacing w:after="0" w:line="51" w:lineRule="exact"/>
        <w:rPr>
          <w:rFonts w:ascii="Arial" w:cs="Arial" w:eastAsia="Arial" w:hAnsi="Arial"/>
          <w:sz w:val="17"/>
          <w:szCs w:val="17"/>
          <w:color w:val="auto"/>
        </w:rPr>
      </w:pPr>
    </w:p>
    <w:p>
      <w:pPr>
        <w:ind w:left="540" w:right="400" w:hanging="316"/>
        <w:spacing w:after="0" w:line="263"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Navios Logistics’ business can be affected by adverse weather conditions, public health concerns, effects of climate change and other factors beyond its control, that can affect production of the goods it transports and stores as well as the navigability of the river system on which it operates.</w:t>
      </w:r>
    </w:p>
    <w:p>
      <w:pPr>
        <w:spacing w:after="0" w:line="89" w:lineRule="exact"/>
        <w:rPr>
          <w:rFonts w:ascii="Arial" w:cs="Arial" w:eastAsia="Arial" w:hAnsi="Arial"/>
          <w:sz w:val="18"/>
          <w:szCs w:val="18"/>
          <w:color w:val="auto"/>
        </w:rPr>
      </w:pPr>
    </w:p>
    <w:p>
      <w:pPr>
        <w:ind w:left="540" w:right="420" w:hanging="316"/>
        <w:spacing w:after="0" w:line="277"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Navios Logistics may be unable to obtain financing for its growth or to fund its future capital expenditures, which could materially adversely affect its results of operations and financial condition.</w:t>
      </w:r>
    </w:p>
    <w:p>
      <w:pPr>
        <w:spacing w:after="0" w:line="75" w:lineRule="exact"/>
        <w:rPr>
          <w:rFonts w:ascii="Arial" w:cs="Arial" w:eastAsia="Arial" w:hAnsi="Arial"/>
          <w:sz w:val="18"/>
          <w:szCs w:val="18"/>
          <w:color w:val="auto"/>
        </w:rPr>
      </w:pPr>
    </w:p>
    <w:p>
      <w:pPr>
        <w:ind w:left="540" w:right="320" w:hanging="316"/>
        <w:spacing w:after="0" w:line="311" w:lineRule="auto"/>
        <w:tabs>
          <w:tab w:leader="none" w:pos="54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Navios Logistics’ failure to receive required approvals for or timely complete construction and commence full operation or secure satisfactory commercial contracts of the planned Port Murtinho and Nueva Palmira Free Zone port terminal facilities could negatively affect Navios Logistics’ business operations, and Navios Logistics may experience difficulty managing its growth as they expanding its business.</w:t>
      </w:r>
    </w:p>
    <w:p>
      <w:pPr>
        <w:spacing w:after="0" w:line="54" w:lineRule="exact"/>
        <w:rPr>
          <w:rFonts w:ascii="Arial" w:cs="Arial" w:eastAsia="Arial" w:hAnsi="Arial"/>
          <w:sz w:val="16"/>
          <w:szCs w:val="16"/>
          <w:color w:val="auto"/>
        </w:rPr>
      </w:pPr>
    </w:p>
    <w:p>
      <w:pPr>
        <w:ind w:left="540" w:hanging="316"/>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The risks and costs associated with ports as well as vessels increase as the operational port equipment and vessels age.</w:t>
      </w:r>
    </w:p>
    <w:p>
      <w:pPr>
        <w:spacing w:after="0" w:line="130" w:lineRule="exact"/>
        <w:rPr>
          <w:rFonts w:ascii="Arial" w:cs="Arial" w:eastAsia="Arial" w:hAnsi="Arial"/>
          <w:sz w:val="18"/>
          <w:szCs w:val="18"/>
          <w:color w:val="auto"/>
        </w:rPr>
      </w:pPr>
    </w:p>
    <w:p>
      <w:pPr>
        <w:ind w:left="540" w:right="60" w:hanging="316"/>
        <w:spacing w:after="0" w:line="342" w:lineRule="auto"/>
        <w:tabs>
          <w:tab w:leader="none" w:pos="54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Spare parts or other key equipment needed for the operation of Navios Logistics’ ports and fleet may not be available off the shelf and it may face substantial delays, which could result in loss of revenues while waiting for those spare parts to be produced and delivered to Navios Logistics.</w:t>
      </w:r>
    </w:p>
    <w:p>
      <w:pPr>
        <w:spacing w:after="0" w:line="29" w:lineRule="exact"/>
        <w:rPr>
          <w:rFonts w:ascii="Arial" w:cs="Arial" w:eastAsia="Arial" w:hAnsi="Arial"/>
          <w:sz w:val="16"/>
          <w:szCs w:val="16"/>
          <w:color w:val="auto"/>
        </w:rPr>
      </w:pPr>
    </w:p>
    <w:p>
      <w:pPr>
        <w:ind w:left="540" w:right="260" w:hanging="316"/>
        <w:spacing w:after="0" w:line="286" w:lineRule="auto"/>
        <w:tabs>
          <w:tab w:leader="none" w:pos="540"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As Navios Logistics expands its business, it may have difficulty managing its growth, including the need to improve its operations and financial systems, staff and crew or to receive required approvals to implement its expansion projects. If Navios Logistics cannot improve these systems, recruit suitable employees or obtain required approvals, it may not be able to effectively control its operations.</w:t>
      </w:r>
    </w:p>
    <w:p>
      <w:pPr>
        <w:spacing w:after="0" w:line="70" w:lineRule="exact"/>
        <w:rPr>
          <w:rFonts w:ascii="Arial" w:cs="Arial" w:eastAsia="Arial" w:hAnsi="Arial"/>
          <w:sz w:val="17"/>
          <w:szCs w:val="17"/>
          <w:color w:val="auto"/>
        </w:rPr>
      </w:pPr>
    </w:p>
    <w:p>
      <w:pPr>
        <w:ind w:left="540" w:hanging="316"/>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Rising crew costs, fuel prices and other cost increases may adversely affect Navios Logistics’ profits.</w:t>
      </w:r>
    </w:p>
    <w:p>
      <w:pPr>
        <w:spacing w:after="0" w:line="130" w:lineRule="exact"/>
        <w:rPr>
          <w:rFonts w:ascii="Arial" w:cs="Arial" w:eastAsia="Arial" w:hAnsi="Arial"/>
          <w:sz w:val="18"/>
          <w:szCs w:val="18"/>
          <w:color w:val="auto"/>
        </w:rPr>
      </w:pPr>
    </w:p>
    <w:p>
      <w:pPr>
        <w:ind w:left="540" w:right="420" w:hanging="316"/>
        <w:spacing w:after="0" w:line="277"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Navios Logistics’ industry is highly competitive, and it may not be able to compete successfully for services with new companies with greater resources.</w:t>
      </w:r>
    </w:p>
    <w:p>
      <w:pPr>
        <w:spacing w:after="0" w:line="75" w:lineRule="exact"/>
        <w:rPr>
          <w:rFonts w:ascii="Arial" w:cs="Arial" w:eastAsia="Arial" w:hAnsi="Arial"/>
          <w:sz w:val="18"/>
          <w:szCs w:val="18"/>
          <w:color w:val="auto"/>
        </w:rPr>
      </w:pPr>
    </w:p>
    <w:p>
      <w:pPr>
        <w:ind w:left="540" w:right="140" w:hanging="316"/>
        <w:spacing w:after="0" w:line="277"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If Navios Logistics fails to fulfill the oil majors’ vetting processes, it could materially and adversely affect the employment of its tanker vessels in the spot and period markets, and consequently its results of operations.</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Navios Logistics may employ its fleet on the spot market and thus expose itself to risk of losses based on short-term decreases in shipping rates.</w:t>
      </w:r>
    </w:p>
    <w:p>
      <w:pPr>
        <w:spacing w:after="0" w:line="153" w:lineRule="exact"/>
        <w:rPr>
          <w:rFonts w:ascii="Arial" w:cs="Arial" w:eastAsia="Arial" w:hAnsi="Arial"/>
          <w:sz w:val="16"/>
          <w:szCs w:val="16"/>
          <w:color w:val="auto"/>
        </w:rPr>
      </w:pPr>
    </w:p>
    <w:p>
      <w:pPr>
        <w:ind w:left="540" w:right="380" w:hanging="316"/>
        <w:spacing w:after="0" w:line="308" w:lineRule="auto"/>
        <w:tabs>
          <w:tab w:leader="none" w:pos="540"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Certain of Navios Logistics’ directors, officers, and principal stockholders are affiliated with entities engaged in business activities similar to those conducted by Navios Logistics which may compete directly with it, causing such persons to have conflicts of interest.</w:t>
      </w:r>
    </w:p>
    <w:p>
      <w:pPr>
        <w:spacing w:after="0" w:line="51" w:lineRule="exact"/>
        <w:rPr>
          <w:rFonts w:ascii="Arial" w:cs="Arial" w:eastAsia="Arial" w:hAnsi="Arial"/>
          <w:sz w:val="17"/>
          <w:szCs w:val="17"/>
          <w:color w:val="auto"/>
        </w:rPr>
      </w:pPr>
    </w:p>
    <w:p>
      <w:pPr>
        <w:ind w:left="540" w:right="300" w:hanging="316"/>
        <w:spacing w:after="0" w:line="263"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Navios Logistics’ success depends upon its management team and other employees, and if it is unable to attract and retain key management personnel and other employees or its management team fails to provide the capabilities that Navios Logistics requires, its results of operations may be negatively impacted.</w:t>
      </w:r>
    </w:p>
    <w:p>
      <w:pPr>
        <w:spacing w:after="0" w:line="291"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Risks Relating to Argentina</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1"/>
          <w:numId w:val="17"/>
        </w:numPr>
        <w:rPr>
          <w:rFonts w:ascii="Arial" w:cs="Arial" w:eastAsia="Arial" w:hAnsi="Arial"/>
          <w:sz w:val="18"/>
          <w:szCs w:val="18"/>
          <w:color w:val="auto"/>
        </w:rPr>
      </w:pPr>
      <w:r>
        <w:rPr>
          <w:rFonts w:ascii="Arial" w:cs="Arial" w:eastAsia="Arial" w:hAnsi="Arial"/>
          <w:sz w:val="18"/>
          <w:szCs w:val="18"/>
          <w:i w:val="1"/>
          <w:iCs w:val="1"/>
          <w:color w:val="auto"/>
        </w:rPr>
        <w:t>The economic conditions of Argentina may affect the financial condition and results of operations of its Argentine subsidiary.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1"/>
          <w:numId w:val="17"/>
        </w:numPr>
        <w:rPr>
          <w:rFonts w:ascii="Arial" w:cs="Arial" w:eastAsia="Arial" w:hAnsi="Arial"/>
          <w:sz w:val="18"/>
          <w:szCs w:val="18"/>
          <w:color w:val="auto"/>
        </w:rPr>
      </w:pPr>
      <w:r>
        <w:rPr>
          <w:rFonts w:ascii="Arial" w:cs="Arial" w:eastAsia="Arial" w:hAnsi="Arial"/>
          <w:sz w:val="18"/>
          <w:szCs w:val="18"/>
          <w:i w:val="1"/>
          <w:iCs w:val="1"/>
          <w:color w:val="auto"/>
        </w:rPr>
        <w:t>The impact of political developments in Argentina remains uncertain and could adversely affect the Argentine economy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1"/>
          <w:numId w:val="17"/>
        </w:numPr>
        <w:rPr>
          <w:rFonts w:ascii="Arial" w:cs="Arial" w:eastAsia="Arial" w:hAnsi="Arial"/>
          <w:sz w:val="18"/>
          <w:szCs w:val="18"/>
          <w:color w:val="auto"/>
        </w:rPr>
      </w:pPr>
      <w:r>
        <w:rPr>
          <w:rFonts w:ascii="Arial" w:cs="Arial" w:eastAsia="Arial" w:hAnsi="Arial"/>
          <w:sz w:val="18"/>
          <w:szCs w:val="18"/>
          <w:i w:val="1"/>
          <w:iCs w:val="1"/>
          <w:color w:val="auto"/>
        </w:rPr>
        <w:t>Continuing inflation may have material adverse effects on the Argentine economy.</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1"/>
          <w:numId w:val="17"/>
        </w:numPr>
        <w:rPr>
          <w:rFonts w:ascii="Arial" w:cs="Arial" w:eastAsia="Arial" w:hAnsi="Arial"/>
          <w:sz w:val="18"/>
          <w:szCs w:val="18"/>
          <w:color w:val="auto"/>
        </w:rPr>
      </w:pPr>
      <w:r>
        <w:rPr>
          <w:rFonts w:ascii="Arial" w:cs="Arial" w:eastAsia="Arial" w:hAnsi="Arial"/>
          <w:sz w:val="18"/>
          <w:szCs w:val="18"/>
          <w:i w:val="1"/>
          <w:iCs w:val="1"/>
          <w:color w:val="auto"/>
        </w:rPr>
        <w:t>Fluctuations in the value of the Argentine peso could adversely affect the Argentine economy, and consequently Navios Logistics’ results of operations in Argentina or the financial condition of Navios Logistics’ Argentine subsidiary.</w:t>
      </w:r>
    </w:p>
    <w:p>
      <w:pPr>
        <w:spacing w:after="0" w:line="75" w:lineRule="exact"/>
        <w:rPr>
          <w:rFonts w:ascii="Arial" w:cs="Arial" w:eastAsia="Arial" w:hAnsi="Arial"/>
          <w:sz w:val="18"/>
          <w:szCs w:val="18"/>
          <w:color w:val="auto"/>
        </w:rPr>
      </w:pPr>
    </w:p>
    <w:p>
      <w:pPr>
        <w:ind w:left="1080" w:right="120" w:hanging="424"/>
        <w:spacing w:after="0" w:line="277" w:lineRule="auto"/>
        <w:tabs>
          <w:tab w:leader="none" w:pos="1080" w:val="left"/>
        </w:tabs>
        <w:numPr>
          <w:ilvl w:val="1"/>
          <w:numId w:val="17"/>
        </w:numPr>
        <w:rPr>
          <w:rFonts w:ascii="Arial" w:cs="Arial" w:eastAsia="Arial" w:hAnsi="Arial"/>
          <w:sz w:val="18"/>
          <w:szCs w:val="18"/>
          <w:color w:val="auto"/>
        </w:rPr>
      </w:pPr>
      <w:r>
        <w:rPr>
          <w:rFonts w:ascii="Arial" w:cs="Arial" w:eastAsia="Arial" w:hAnsi="Arial"/>
          <w:sz w:val="18"/>
          <w:szCs w:val="18"/>
          <w:i w:val="1"/>
          <w:iCs w:val="1"/>
          <w:color w:val="auto"/>
        </w:rPr>
        <w:t>The current and future foreign exchange policy of Argentina may affect the ability of our Argentine subsidiary to make money remittances outside of Argentina.</w:t>
      </w:r>
    </w:p>
    <w:p>
      <w:pPr>
        <w:spacing w:after="0" w:line="75" w:lineRule="exact"/>
        <w:rPr>
          <w:rFonts w:ascii="Arial" w:cs="Arial" w:eastAsia="Arial" w:hAnsi="Arial"/>
          <w:sz w:val="18"/>
          <w:szCs w:val="18"/>
          <w:color w:val="auto"/>
        </w:rPr>
      </w:pPr>
    </w:p>
    <w:p>
      <w:pPr>
        <w:ind w:left="1080" w:right="320" w:hanging="424"/>
        <w:spacing w:after="0" w:line="277" w:lineRule="auto"/>
        <w:tabs>
          <w:tab w:leader="none" w:pos="1080" w:val="left"/>
        </w:tabs>
        <w:numPr>
          <w:ilvl w:val="1"/>
          <w:numId w:val="17"/>
        </w:numPr>
        <w:rPr>
          <w:rFonts w:ascii="Arial" w:cs="Arial" w:eastAsia="Arial" w:hAnsi="Arial"/>
          <w:sz w:val="18"/>
          <w:szCs w:val="18"/>
          <w:color w:val="auto"/>
        </w:rPr>
      </w:pPr>
      <w:r>
        <w:rPr>
          <w:rFonts w:ascii="Arial" w:cs="Arial" w:eastAsia="Arial" w:hAnsi="Arial"/>
          <w:sz w:val="18"/>
          <w:szCs w:val="18"/>
          <w:i w:val="1"/>
          <w:iCs w:val="1"/>
          <w:color w:val="auto"/>
        </w:rPr>
        <w:t>The Argentine government has made certain changes to its tax rules that affected Navios Logistics’ operations in Argentina in the past, and could further increase the fiscal burden on its operations in Argentina in the future.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1"/>
          <w:numId w:val="17"/>
        </w:numPr>
        <w:rPr>
          <w:rFonts w:ascii="Arial" w:cs="Arial" w:eastAsia="Arial" w:hAnsi="Arial"/>
          <w:sz w:val="18"/>
          <w:szCs w:val="18"/>
          <w:color w:val="auto"/>
        </w:rPr>
      </w:pPr>
      <w:r>
        <w:rPr>
          <w:rFonts w:ascii="Arial" w:cs="Arial" w:eastAsia="Arial" w:hAnsi="Arial"/>
          <w:sz w:val="18"/>
          <w:szCs w:val="18"/>
          <w:i w:val="1"/>
          <w:iCs w:val="1"/>
          <w:color w:val="auto"/>
        </w:rPr>
        <w:t>The Argentine economy could be adversely affected by economic developments in other global markets.</w:t>
      </w:r>
    </w:p>
    <w:p>
      <w:pPr>
        <w:sectPr>
          <w:pgSz w:w="11900" w:h="16838" w:orient="portrait"/>
          <w:cols w:equalWidth="0" w:num="1">
            <w:col w:w="11120"/>
          </w:cols>
          <w:pgMar w:left="320" w:top="459" w:right="459" w:bottom="852" w:gutter="0" w:footer="0" w:header="0"/>
        </w:sectPr>
      </w:pP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120"/>
          </w:cols>
          <w:pgMar w:left="320" w:top="459" w:right="459" w:bottom="852"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Future policies of the Argentine government may affect the economy as well as Navios Logistics’ operations in Argentina.</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Risks Relating to Uruguayan Free Zone Regulation</w:t>
      </w:r>
    </w:p>
    <w:p>
      <w:pPr>
        <w:spacing w:after="0" w:line="131" w:lineRule="exact"/>
        <w:rPr>
          <w:sz w:val="20"/>
          <w:szCs w:val="20"/>
          <w:color w:val="auto"/>
        </w:rPr>
      </w:pPr>
    </w:p>
    <w:p>
      <w:pPr>
        <w:ind w:left="1080" w:right="16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Navios Logistics may be materially and adversely affected in case of termination, non-renewal or non-extension of the tax incentives that benefit certain of its subsidiaries in Uruguay.</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 Risks Relating to the Countries in which Navios Logistics’ Operates</w:t>
      </w:r>
    </w:p>
    <w:p>
      <w:pPr>
        <w:spacing w:after="0" w:line="131" w:lineRule="exact"/>
        <w:rPr>
          <w:sz w:val="20"/>
          <w:szCs w:val="20"/>
          <w:color w:val="auto"/>
        </w:rPr>
      </w:pPr>
    </w:p>
    <w:p>
      <w:pPr>
        <w:ind w:left="1080" w:right="8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Navios Logistics is an international company that is exposed to the risks of doing business in many different, and often less developed and emerging market countries.</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Changes in rules and regulations with respect to cabotage or their interpretation in the markets in which Navios Logistics’ operate could have a material adverse effect on its results of operations.</w:t>
      </w:r>
    </w:p>
    <w:p>
      <w:pPr>
        <w:spacing w:after="0" w:line="75" w:lineRule="exact"/>
        <w:rPr>
          <w:rFonts w:ascii="Arial" w:cs="Arial" w:eastAsia="Arial" w:hAnsi="Arial"/>
          <w:sz w:val="18"/>
          <w:szCs w:val="18"/>
          <w:color w:val="auto"/>
        </w:rPr>
      </w:pPr>
    </w:p>
    <w:p>
      <w:pPr>
        <w:jc w:val="both"/>
        <w:ind w:left="1080" w:right="360" w:hanging="424"/>
        <w:spacing w:after="0" w:line="342" w:lineRule="auto"/>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Because Navios Logistics generates the majority of its revenues in U.S. dollars but incurs a significant portion of its expenses in other currencies, exchange rate fluctuations could cause it to suffer exchange rate losses, thereby increasing expenses and reducing income.</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 Risks</w:t>
      </w:r>
    </w:p>
    <w:p>
      <w:pPr>
        <w:spacing w:after="0" w:line="135" w:lineRule="exact"/>
        <w:rPr>
          <w:sz w:val="20"/>
          <w:szCs w:val="20"/>
          <w:color w:val="auto"/>
        </w:rPr>
      </w:pPr>
    </w:p>
    <w:p>
      <w:pPr>
        <w:ind w:left="540" w:hanging="316"/>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We may earn U.S. source income that is subject to tax, thereby adversely affecting our results of operations and cash flows.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Navios Holdings may be taxed as a U.S. corporation.</w:t>
      </w:r>
    </w:p>
    <w:p>
      <w:pPr>
        <w:spacing w:after="0" w:line="130" w:lineRule="exact"/>
        <w:rPr>
          <w:rFonts w:ascii="Arial" w:cs="Arial" w:eastAsia="Arial" w:hAnsi="Arial"/>
          <w:sz w:val="18"/>
          <w:szCs w:val="18"/>
          <w:color w:val="auto"/>
        </w:rPr>
      </w:pPr>
    </w:p>
    <w:p>
      <w:pPr>
        <w:ind w:left="540" w:right="300" w:hanging="316"/>
        <w:spacing w:after="0" w:line="342" w:lineRule="auto"/>
        <w:tabs>
          <w:tab w:leader="none" w:pos="540"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A change in tax laws, treaties or regulations, or their interpretation, of any country in which we operate our business could result in a high tax rate on our worldwide earnings, which could result in a significant negative impact on our earnings and cash flows from operations.</w:t>
      </w:r>
    </w:p>
    <w:p>
      <w:pPr>
        <w:spacing w:after="0" w:line="29" w:lineRule="exact"/>
        <w:rPr>
          <w:rFonts w:ascii="Arial" w:cs="Arial" w:eastAsia="Arial" w:hAnsi="Arial"/>
          <w:sz w:val="16"/>
          <w:szCs w:val="16"/>
          <w:color w:val="auto"/>
        </w:rPr>
      </w:pPr>
    </w:p>
    <w:p>
      <w:pPr>
        <w:ind w:left="540" w:right="60" w:hanging="316"/>
        <w:spacing w:after="0" w:line="277"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U.S. tax authorities could treat us as a “passive foreign investment company,” which could have adverse U.S. federal income tax consequences to U.S. holders.</w:t>
      </w:r>
    </w:p>
    <w:p>
      <w:pPr>
        <w:spacing w:after="0" w:line="170"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You should carefully consider each of the following risks together with the other information incorporated into this Annual Report when evaluating the Company’s business and its prospects. The risks and uncertainties described below are not the only ones the Company faces. Additional risks and uncertainties not presently known to the Company or that the Company currently considers immaterial may also impair the Company’s business operations. If any of the following risks relating to our business and operations actually occur, our business, financial condition and results of operations could be materially and adversely affected and in that case, the trading price of our common stock could decline, and you could lose all or part of your investment.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Our Indebtedness</w:t>
      </w:r>
    </w:p>
    <w:p>
      <w:pPr>
        <w:spacing w:after="0" w:line="121"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Our 2022 Notes and 2022 Senior Secured Notes maturities and our working capital deficit raise substantial doubt about our ability to continue as a going concern.</w:t>
      </w:r>
    </w:p>
    <w:p>
      <w:pPr>
        <w:spacing w:after="0" w:line="62"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As of December 31, 2020, Navios Holdings’ current assets totaled $194.9 million, while current liabilities excluding operating lease liabilities, current portion totaled $511.4 million, resulting in a negative working capital position of $316.5 million, primarily related to the classification as current of our $305.0 million of the 2022 Senior Secured Notes and balloon payments. Under the terms of the 2022 Senior Secured Notes, Navios Holdings has an obligation to make a springing maturity offer in September 2021 to repurchase those notes at par unless certain conditions relating to the refinancing of our 2022 Notes are met. Although Navios Holdings is currently attempting to address these upcoming maturities and create additional liquidity to fund working capital requirements through the Qualified IPO (as defined elsewhere in this Annual Report) of Navios Logistics, sale of assets and refinancing plans, there can be no assurance it will be successful in such attempts or that any such attempts will be consummated on terms satisfactory to us, or at all. Therefore, there is substantial doubt about the Company’s ability to continue as a going concern for the 12-month period from the date of issuance of these consolidated financial statements. The consolidated financial statements included in this report were prepared assuming that Navios Holdings will continue as a going concern and, therefore, do not include any adjustments that might result from the outcome of these uncertainties.</w:t>
      </w:r>
    </w:p>
    <w:p>
      <w:pPr>
        <w:spacing w:after="0" w:line="276" w:lineRule="exact"/>
        <w:rPr>
          <w:sz w:val="20"/>
          <w:szCs w:val="20"/>
          <w:color w:val="auto"/>
        </w:rPr>
      </w:pPr>
    </w:p>
    <w:p>
      <w:pPr>
        <w:ind w:left="120" w:right="220"/>
        <w:spacing w:after="0" w:line="342" w:lineRule="auto"/>
        <w:rPr>
          <w:sz w:val="20"/>
          <w:szCs w:val="20"/>
          <w:color w:val="auto"/>
        </w:rPr>
      </w:pPr>
      <w:r>
        <w:rPr>
          <w:rFonts w:ascii="Arial" w:cs="Arial" w:eastAsia="Arial" w:hAnsi="Arial"/>
          <w:sz w:val="16"/>
          <w:szCs w:val="16"/>
          <w:b w:val="1"/>
          <w:bCs w:val="1"/>
          <w:i w:val="1"/>
          <w:iCs w:val="1"/>
          <w:color w:val="auto"/>
        </w:rPr>
        <w:t>We have substantial debt and may incur substantial additional debt, including secured debt, which could adversely affect our financial health and our ability to obtain financing in the future, react to changes in our business and make payments under the notes.</w:t>
      </w:r>
    </w:p>
    <w:p>
      <w:pPr>
        <w:spacing w:after="0" w:line="1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2020, we had $1,612.7 million in aggregate principal amount of debt outstanding.</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substantial debt could have important consequences to holders of our common stock. Because of our substantial debt:</w:t>
      </w:r>
    </w:p>
    <w:p>
      <w:pPr>
        <w:spacing w:after="0" w:line="131" w:lineRule="exact"/>
        <w:rPr>
          <w:sz w:val="20"/>
          <w:szCs w:val="20"/>
          <w:color w:val="auto"/>
        </w:rPr>
      </w:pPr>
    </w:p>
    <w:p>
      <w:pPr>
        <w:ind w:left="1080" w:right="120" w:hanging="424"/>
        <w:spacing w:after="0" w:line="342"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ability to obtain additional financing for working capital, capital expenditures, debt service requirements, vessel or other acquisitions or general corporate purposes and our ability to satisfy our obligations with respect to our debt may be impaired in the future;</w:t>
      </w:r>
    </w:p>
    <w:p>
      <w:pPr>
        <w:spacing w:after="0" w:line="29" w:lineRule="exact"/>
        <w:rPr>
          <w:rFonts w:ascii="Arial" w:cs="Arial" w:eastAsia="Arial" w:hAnsi="Arial"/>
          <w:sz w:val="16"/>
          <w:szCs w:val="16"/>
          <w:color w:val="auto"/>
        </w:rPr>
      </w:pPr>
    </w:p>
    <w:p>
      <w:pPr>
        <w:ind w:left="1080" w:right="24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new debt is added to our debt levels after the vessel acquisition, the related risks that we now face would increase and we may not be able to meet all of our debt obligations;</w:t>
      </w:r>
    </w:p>
    <w:p>
      <w:pPr>
        <w:spacing w:after="0" w:line="75" w:lineRule="exact"/>
        <w:rPr>
          <w:rFonts w:ascii="Arial" w:cs="Arial" w:eastAsia="Arial" w:hAnsi="Arial"/>
          <w:sz w:val="18"/>
          <w:szCs w:val="18"/>
          <w:color w:val="auto"/>
        </w:rPr>
      </w:pPr>
    </w:p>
    <w:p>
      <w:pPr>
        <w:ind w:left="1080" w:right="280" w:hanging="424"/>
        <w:spacing w:after="0" w:line="263"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substantial portion of our cash flow from operations must be dedicated to the payment of principal and interest on our indebtedness, thereby reducing the funds available to us for other purposes, and there can be no assurance that our operations will generate sufficient cash flow to service this indebtedness;</w:t>
      </w:r>
    </w:p>
    <w:p>
      <w:pPr>
        <w:spacing w:after="0" w:line="89"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will be exposed to the risk of increased interest rates because our borrowings under our secured credit facilities will be at variable rates of interest;</w:t>
      </w:r>
    </w:p>
    <w:p>
      <w:pPr>
        <w:spacing w:after="0" w:line="75" w:lineRule="exact"/>
        <w:rPr>
          <w:rFonts w:ascii="Arial" w:cs="Arial" w:eastAsia="Arial" w:hAnsi="Arial"/>
          <w:sz w:val="18"/>
          <w:szCs w:val="18"/>
          <w:color w:val="auto"/>
        </w:rPr>
      </w:pPr>
    </w:p>
    <w:p>
      <w:pPr>
        <w:ind w:left="1080" w:right="78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it may be more difficult for us to satisfy our obligations to our lenders, resulting in possible defaults on and acceleration of such indebtedness;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more vulnerable to general adverse economic and industry conditions;</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at a competitive disadvantage compared to our competitors with less debt or comparable debt at more favorable interest rates and, as a result, we may not be better positioned to withstand economic downturns;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refinance indebtedness may be limited or the associated costs may increase; and</w:t>
      </w:r>
    </w:p>
    <w:p>
      <w:pPr>
        <w:spacing w:after="0" w:line="130" w:lineRule="exact"/>
        <w:rPr>
          <w:rFonts w:ascii="Arial" w:cs="Arial" w:eastAsia="Arial" w:hAnsi="Arial"/>
          <w:sz w:val="18"/>
          <w:szCs w:val="18"/>
          <w:color w:val="auto"/>
        </w:rPr>
      </w:pPr>
    </w:p>
    <w:p>
      <w:pPr>
        <w:ind w:left="1080" w:right="180" w:hanging="424"/>
        <w:spacing w:after="0" w:line="263"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flexibility to adjust to changing market conditions and ability to withstand competitive pressures could be limited, or we may be prevented from carrying out capital expenditures that are necessary or important to our growth strategy and efforts to improve operating margins or our business.</w:t>
      </w:r>
    </w:p>
    <w:p>
      <w:pPr>
        <w:spacing w:after="0" w:line="184"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We and our subsidiaries may be able to incur substantial additional indebtedness in the future as the terms of the indenture governing our 11.25% Senior Secured Notes due 2022 (the “2022 Senior Secured Notes”) and the indenture governing our 7.375% First Priority Ship Mortgage Notes due 2022 (the “2022 Notes”) do not fully prohibit us or our subsidiaries from doing so. The terms of the indenture governing the 10.75% Senior Notes due 2025 (the “2025 Logistics Senior Notes”) of Navios South American Logistics Inc. (“Navios Logistics”) and the agreements governing the terms of the other indebtedness of Navios Logistics also permit Navios Logistics to incur substantial additional indebtedness in accordance with the terms of such agreements. If new debt is added to our current debt levels, the related risks that we now face would increase and we may not be able to meet all of our debt obligations.</w:t>
      </w:r>
    </w:p>
    <w:p>
      <w:pPr>
        <w:spacing w:after="0" w:line="303"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The agreements and instruments governing our debt, other than the 2024 Notes, contain restrictions and limitations that could significantly impact our ability to operate our business.</w:t>
      </w:r>
    </w:p>
    <w:p>
      <w:pPr>
        <w:spacing w:after="0" w:line="62"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Our secured credit facilities and our indentures, other than the indenture governing the 2024 Notes, impose certain operating and financial restrictions on us. These restrictions limit our ability to:</w:t>
      </w:r>
    </w:p>
    <w:p>
      <w:pPr>
        <w:spacing w:after="0" w:line="76" w:lineRule="exact"/>
        <w:rPr>
          <w:sz w:val="20"/>
          <w:szCs w:val="20"/>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incur or guarantee additional indebtedness;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create liens on our assets;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make new investments;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engage in mergers and acquisitions;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pay dividends or redeem capital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make capital expenditures;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 the flag, class or commercial and technical management of our vessels;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enter into long-term charter arrangements without the consent of the lender;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sell any of our vessels.</w:t>
      </w:r>
    </w:p>
    <w:p>
      <w:pPr>
        <w:spacing w:after="0" w:line="225"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Our ability to comply with the covenants and restrictions that are contained in our credit facilities and any other debt instruments we may enter into in the future may be affected by events beyond our control, including prevailing economic, financial and industry conditions. If market or other economic conditions deteriorate, our ability to comply with these covenants may be impaired. If we are in breach of any of the restrictions, covenants, ratios or tests in our credit facilities, especially if we trigger a cross</w:t>
      </w:r>
    </w:p>
    <w:p>
      <w:pPr>
        <w:sectPr>
          <w:pgSz w:w="11900" w:h="16838" w:orient="portrait"/>
          <w:cols w:equalWidth="0" w:num="1">
            <w:col w:w="11060"/>
          </w:cols>
          <w:pgMar w:left="320" w:top="459" w:right="519" w:bottom="1440" w:gutter="0" w:footer="0" w:header="0"/>
        </w:sectPr>
      </w:pP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060"/>
          </w:cols>
          <w:pgMar w:left="320" w:top="459" w:right="51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default currently contained in certain of our loan agreements, a significant portion of our obligations may become immediately due and payable, and our lenders’ commitment to make further loans to us may terminate. We may not have, or be able to obtain, sufficient funds to make these accelerated payments. In addition, our obligations under our credit facilities are secured by certain of our vessels, and if we are unable to repay borrowings under such credit facilities, lenders could seek to foreclose on those vessels. We anticipate that any subsequent refinancing of our current debt or any new debt will have similar restrictions.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agreements governing the terms of Navios Logistics’ indebtedness impose similar restrictions upon Navios Logistics.</w:t>
      </w:r>
    </w:p>
    <w:p>
      <w:pPr>
        <w:spacing w:after="0" w:line="225"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Therefore, we and Navios Logistics will need to seek permission from our respective lenders in order to engage in some corporate and commercial actions that believe would be in the best interest of our respective business, and a denial of permission may make it difficult for us or Navios Logistics to successfully execute our business strategy or effectively compete with companies that are not similarly restricted. The interests of our and Navios Logistics’ lenders may be different from our respective interests or those of our holders of common stock, and we cannot guarantee that we, or Navios Logistics will be able to obtain the permission of lenders when needed. This may prevent us, or Navios Logistics from taking actions that are in our, our stockholders’, or Navios Logistics’ best interests. Any future debt agreements may include similar or more restrictive restrictions.</w:t>
      </w:r>
    </w:p>
    <w:p>
      <w:pPr>
        <w:spacing w:after="0" w:line="272" w:lineRule="exact"/>
        <w:rPr>
          <w:sz w:val="20"/>
          <w:szCs w:val="20"/>
          <w:color w:val="auto"/>
        </w:rPr>
      </w:pPr>
    </w:p>
    <w:p>
      <w:pPr>
        <w:ind w:left="120" w:right="80"/>
        <w:spacing w:after="0" w:line="375" w:lineRule="auto"/>
        <w:rPr>
          <w:sz w:val="20"/>
          <w:szCs w:val="20"/>
          <w:color w:val="auto"/>
        </w:rPr>
      </w:pPr>
      <w:r>
        <w:rPr>
          <w:rFonts w:ascii="Arial" w:cs="Arial" w:eastAsia="Arial" w:hAnsi="Arial"/>
          <w:sz w:val="15"/>
          <w:szCs w:val="15"/>
          <w:b w:val="1"/>
          <w:bCs w:val="1"/>
          <w:i w:val="1"/>
          <w:iCs w:val="1"/>
          <w:color w:val="auto"/>
        </w:rPr>
        <w:t>Our ability to generate the significant amount of cash needed to pay interest and principal and otherwise service our debt and our ability to refinance all or a portion of our indebtedness or obtain additional financing depend on multiple factors, many of which may be beyond our control.</w:t>
      </w:r>
    </w:p>
    <w:p>
      <w:pPr>
        <w:spacing w:after="0" w:line="1"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Our ability and that of Navios Logistics to make scheduled payments on or to refinance our respective debt obligations will depend on our respective financial and operating performance, which, in turn, will be subject to prevailing economic and competitive conditions and to the financial and business factors, many of which may be beyond our or Navios Logistics’ control. Our ability and that of Navios Logistics to service debt under our credit facilities also will depend on market interest rates, since the interest rates applicable to our borrowings will fluctuate with the London Interbank Offered Rate (“LIBOR”), or the prime rate.</w:t>
      </w:r>
    </w:p>
    <w:p>
      <w:pPr>
        <w:spacing w:after="0" w:line="188"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principal and interest on such debt will be paid in cash. The payments under our and Navios Logistics’ debt will limit funds otherwise available for our respective working capital, capital expenditures, vessel acquisitions and other purposes. As a result of these obligations, our and Navios Logistics’ current liabilities may exceed our respective current assets. We or Navios Logistics may need to take on additional debt as we expand our respective fleets or other operations, which could increase our respective ratio of debt to equity. The need to service our respective debt may limit funds available for other purposes, and our or Navios Logistics’ inability to service debt in the future could lead to acceleration of such debt, the foreclosure on assets such as owned vessels or otherwise negatively affect us.</w:t>
      </w:r>
    </w:p>
    <w:p>
      <w:pPr>
        <w:spacing w:after="0" w:line="192"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We may not be able to refinance all or part of our maturing debt on favorable terms, or at all. If our operating income is not sufficient to service our current or future indebtedness, we will be forced to take actions such as delaying our business activities, acquisitions, investments or capital expenditures, selling assets, restructuring or refinancing our debt, or seeking additional equity capital or bankruptcy protection. We may not be able to effect any of these remedies on satisfactory terms, or at all.</w:t>
      </w:r>
    </w:p>
    <w:p>
      <w:pPr>
        <w:spacing w:after="0" w:line="295"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We may be unable to raise funds necessary to finance the change of control repurchase offer required by the indentures governing our outstanding notes, other than the 2024 Notes, and our secured credit facilities.</w:t>
      </w:r>
    </w:p>
    <w:p>
      <w:pPr>
        <w:spacing w:after="0" w:line="62" w:lineRule="exact"/>
        <w:rPr>
          <w:sz w:val="20"/>
          <w:szCs w:val="20"/>
          <w:color w:val="auto"/>
        </w:rPr>
      </w:pPr>
    </w:p>
    <w:p>
      <w:pPr>
        <w:ind w:left="120" w:right="80" w:firstLine="440"/>
        <w:spacing w:after="0" w:line="290" w:lineRule="auto"/>
        <w:rPr>
          <w:sz w:val="20"/>
          <w:szCs w:val="20"/>
          <w:color w:val="auto"/>
        </w:rPr>
      </w:pPr>
      <w:r>
        <w:rPr>
          <w:rFonts w:ascii="Arial" w:cs="Arial" w:eastAsia="Arial" w:hAnsi="Arial"/>
          <w:sz w:val="16"/>
          <w:szCs w:val="16"/>
          <w:color w:val="auto"/>
        </w:rPr>
        <w:t>The indenture governing the 2022 Senior Secured Notes, the indenture governing the 2022 Notes, the indentures governing the 2025 Logistics Senior Notes and our and Navios Logistics’ secured credit facilities contain certain change of control provisions. If we or Navios Logistics experience specified changes of control under our respective notes, we or Navios Logistics, as the case may be, will be required to make an offer to repurchase all of our respective outstanding notes (unless otherwise redeemed), other than the 2024 Notes, at a price equal to 101% of the principal amount thereof plus accrued and unpaid interest, if any, to the repurchase date. The occurrence of specified events that would constitute a change of control may constitute a default under our and Navios Logistics’ secured credit facilities. In the event of a change of control under these debt agreements, we cannot assure you that we would have sufficient assets to satisfy all of our obligations under these debt agreements, including but not limited to, repaying all indebtedness outstanding under the applicable secured credit facilities or repurchasing the applicable notes.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international nature of our operations may make the outcome of any bankruptcy proceedings difficult to predict.</w:t>
      </w:r>
    </w:p>
    <w:p>
      <w:pPr>
        <w:spacing w:after="0" w:line="11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We are incorporated under the laws of the Republic of the Marshall Islands and our subsidiaries are also incorporated under the laws of the Republic of the Marshall Islands, and certain other countries other than the United States, and we conduct operations in countries around the world. Our business will be operated primarily from our offices in the Cayman Islands. Consequently, in the event of any bankruptcy, insolvency or similar proceedings involving us or one of our subsidiaries, bankruptcy laws other than those of the United States could apply. We have limited operations in the United States. If we become a debtor under the United States bankruptcy laws, bankruptcy courts in the United States may seek to</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assert jurisdiction over all of our assets, wherever located, including property situated in other countries. There can be no assurance, however, that we would become a debtor in the United States or that a United States bankruptcy court would be entitled to, or accept, jurisdiction over such bankruptcy case or that courts in other countries that have jurisdiction over us and our operations would recognize a United States bankruptcy court’s jurisdiction if any other bankruptcy court would determine it had jurisdiction.</w:t>
      </w:r>
    </w:p>
    <w:p>
      <w:pPr>
        <w:spacing w:after="0" w:line="295" w:lineRule="exact"/>
        <w:rPr>
          <w:sz w:val="20"/>
          <w:szCs w:val="20"/>
          <w:color w:val="auto"/>
        </w:rPr>
      </w:pPr>
    </w:p>
    <w:p>
      <w:pPr>
        <w:ind w:left="120" w:right="820"/>
        <w:spacing w:after="0" w:line="277" w:lineRule="auto"/>
        <w:rPr>
          <w:sz w:val="20"/>
          <w:szCs w:val="20"/>
          <w:color w:val="auto"/>
        </w:rPr>
      </w:pPr>
      <w:r>
        <w:rPr>
          <w:rFonts w:ascii="Arial" w:cs="Arial" w:eastAsia="Arial" w:hAnsi="Arial"/>
          <w:sz w:val="18"/>
          <w:szCs w:val="18"/>
          <w:b w:val="1"/>
          <w:bCs w:val="1"/>
          <w:i w:val="1"/>
          <w:iCs w:val="1"/>
          <w:color w:val="auto"/>
        </w:rPr>
        <w:t>The market value of our vessels may fluctuate significantly, which could cause us to breach covenants in our credit facilities and result in foreclosure on our mortgaged vessels.</w:t>
      </w:r>
    </w:p>
    <w:p>
      <w:pPr>
        <w:spacing w:after="0" w:line="62"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If the market values of our owned vessels decrease, we may breach covenants contained in our secured credit facilities. If we breach such covenants and are unable to remedy any relevant breach, our lenders could accelerate our debt and foreclose on the collateral, including our vessels. Any loss of vessels would significantly decrease our ability to generate positive cash flow from operations and, therefore, service our debt. In addition, if the book value of a vessel is impaired due to unfavorable market conditions, or a vessel is sold at a price below its book value, we would incur a loss. Navios Logistics may be subject to similar ramifications under its credit facilities if the market values of its owned vessels decrease.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are exposed to volatility in LIBOR, which can affect our profitability, earnings and cash flow.</w:t>
      </w:r>
    </w:p>
    <w:p>
      <w:pPr>
        <w:spacing w:after="0" w:line="11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The loans under our credit facilities are generally advanced at a floating rate based on LIBOR, which was volatile in prior years and has been steadily increasing in recent years. LIBOR can affect the amount of interest payable on our debt, which, in turn, could have an adverse effect on our earnings and cash flow. In addition, although in recent years LIBOR has been at relatively low levels, LIBOR increased during 2016 and may continue to rise in the future as the current low interest rate environment comes to an end.</w:t>
      </w:r>
    </w:p>
    <w:p>
      <w:pPr>
        <w:spacing w:after="0" w:line="18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Our financial condition could be materially adversely affected as we have not entered into interest rate hedging arrangements to hedge our exposure to the interest rates applicable to our credit facilities and may not enter into interest rate hedging arrangements for these or any other financing arrangements we may enter into in the future, including those we may enter into to finance a portion of the amounts payable with respect to newbuildings or acquisitions.</w:t>
      </w:r>
    </w:p>
    <w:p>
      <w:pPr>
        <w:spacing w:after="0" w:line="18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We may enter into derivative contracts to hedge our overall exposure to interest rate risk. Entering into swaps and other derivatives transactions is inherently risky and presents possibilities for incurring significant expenses. The derivatives strategies that we may employ may not be successful or effective, and we could, as a result, incur substantial additional interest and breakage costs.</w:t>
      </w:r>
    </w:p>
    <w:p>
      <w:pPr>
        <w:spacing w:after="0" w:line="292"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b w:val="1"/>
          <w:bCs w:val="1"/>
          <w:i w:val="1"/>
          <w:iCs w:val="1"/>
          <w:color w:val="auto"/>
        </w:rPr>
        <w:t>Changes in the method of determining LIBOR, or the replacement of LIBOR with an alternative reference rate, may adversely affect interest expense related to outstanding debt.</w:t>
      </w:r>
    </w:p>
    <w:p>
      <w:pPr>
        <w:spacing w:after="0" w:line="62"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Our outstanding debt bears interest rates in relation to LIBOR. On July 27, 2017, the United Kingdom’s Financial Conduct Authority, which regulates LIBOR, announced that it intends to stop persuading or compelling banks to submit rates for the calculation of LIBOR to the administrator of LIBOR after 2021 (“FCA Announcement”). The FCA Announcement indicated that the continuation of LIBOR on the current basis is not guaranteed after 2021. It is unclear if at that time new methods of calculating LIBOR will be established such that it continues to exist after 2021. On November 30, 2020 the administrator of LIBOR, the ICE Benchmark Administration (“IBA”), announced that it would consult on ceasing to determine one-week and two-month U.S. dollar LIBOR with effect from the December 31, 2021 deadline but ceasing to determine the remaining U.S. dollar LIBOR tenors on June 30, 2023. This announcement coincided with an announcement by the International Swaps and Derivatives Association that the IBA announcement was not a triggering event which would set the spread to be used in its derivative contracts as part of the risk-free rate determination process.</w:t>
      </w:r>
    </w:p>
    <w:p>
      <w:pPr>
        <w:spacing w:after="0" w:line="165"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In addition, lenders have recently insisted on provisions that entitle the lenders, in their discretion, to replace published LIBOR as the base for the interest calculation with their cost-of-funds rate. Such provisions could significantly increase our lending costs, which would have an adverse effect on our profitability, earnings and cash flow.</w:t>
      </w:r>
    </w:p>
    <w:p>
      <w:pPr>
        <w:spacing w:after="0" w:line="184" w:lineRule="exact"/>
        <w:rPr>
          <w:sz w:val="20"/>
          <w:szCs w:val="20"/>
          <w:color w:val="auto"/>
        </w:rPr>
      </w:pPr>
    </w:p>
    <w:p>
      <w:pPr>
        <w:jc w:val="both"/>
        <w:ind w:left="120" w:right="300" w:firstLine="440"/>
        <w:spacing w:after="0" w:line="301" w:lineRule="auto"/>
        <w:rPr>
          <w:sz w:val="20"/>
          <w:szCs w:val="20"/>
          <w:color w:val="auto"/>
        </w:rPr>
      </w:pPr>
      <w:r>
        <w:rPr>
          <w:rFonts w:ascii="Arial" w:cs="Arial" w:eastAsia="Arial" w:hAnsi="Arial"/>
          <w:sz w:val="16"/>
          <w:szCs w:val="16"/>
          <w:color w:val="auto"/>
        </w:rPr>
        <w:t>Uncertainty surrounding a phase-out of LIBOR may adversely affect the trading market for LIBOR-based agreements, which could negatively affect our operating results and financial condition as well as on our cash flows, including cash available for distributions to our unitholders. We are continuing to evaluate the risks resulting from a termination of LIBOR and our credit facilities generally have fallback provisions in the event of the unavailability of LIBOR, but those fallback provisions and related successor benchmarks may create additional risks and uncertainties.</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i w:val="1"/>
          <w:iCs w:val="1"/>
          <w:color w:val="auto"/>
        </w:rPr>
        <w:t>We may require additional financing to acquire vessels or business or to exercise vessel purchase options, and such financing may not be available.</w:t>
      </w:r>
    </w:p>
    <w:p>
      <w:pPr>
        <w:spacing w:after="0" w:line="152" w:lineRule="exact"/>
        <w:rPr>
          <w:sz w:val="20"/>
          <w:szCs w:val="20"/>
          <w:color w:val="auto"/>
        </w:rPr>
      </w:pPr>
    </w:p>
    <w:p>
      <w:pPr>
        <w:ind w:left="120" w:right="280" w:firstLine="440"/>
        <w:spacing w:after="0" w:line="257" w:lineRule="auto"/>
        <w:rPr>
          <w:sz w:val="20"/>
          <w:szCs w:val="20"/>
          <w:color w:val="auto"/>
        </w:rPr>
      </w:pPr>
      <w:r>
        <w:rPr>
          <w:rFonts w:ascii="Arial" w:cs="Arial" w:eastAsia="Arial" w:hAnsi="Arial"/>
          <w:sz w:val="18"/>
          <w:szCs w:val="18"/>
          <w:color w:val="auto"/>
        </w:rPr>
        <w:t>In the future, we may be required to make substantial cash outlays to exercise options or to acquire vessels or business and will need additional financing to cover all or a portion of the purchase prices. We intend to cover the cost of such items with new debt collateralized by the vessels to be acquired, if applicable, but there can be no assurance that we will generate sufficient cash or that debt financing will be available. Moreover, the covenants in our secured credit facility, the indentures or other debt, may make it more difficult to obtain such financing by imposing restrictions on what we can offer as collateral.</w:t>
      </w:r>
    </w:p>
    <w:p>
      <w:pPr>
        <w:spacing w:after="0" w:line="188"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Furthermore, our ability to borrow against the ships in our existing fleet and any ships we may acquire in the future largely depends on the existence of time charter employment of the ship and on the value of the ships, which in turn depends in part on charter hire rates and the creditworthiness of our charterers. The actual or perceived credit quality of our charterers, any defaults by them, any decline in the market value of our fleet and a lack of long-term employment of our ships may materially affect our ability to obtain the additional capital resources that we will require to purchase additional vessels or may significantly increase our costs of obtaining such capital. Our inability to obtain additional financing or committing to financing on unattractive terms could have a material adverse effect on our business, results of operations and financial condition, as well as our cash flows.</w:t>
      </w:r>
    </w:p>
    <w:p>
      <w:pPr>
        <w:spacing w:after="0" w:line="303" w:lineRule="exact"/>
        <w:rPr>
          <w:sz w:val="20"/>
          <w:szCs w:val="20"/>
          <w:color w:val="auto"/>
        </w:rPr>
      </w:pPr>
    </w:p>
    <w:p>
      <w:pPr>
        <w:jc w:val="both"/>
        <w:ind w:left="120" w:right="100"/>
        <w:spacing w:after="0" w:line="277" w:lineRule="auto"/>
        <w:rPr>
          <w:sz w:val="20"/>
          <w:szCs w:val="20"/>
          <w:color w:val="auto"/>
        </w:rPr>
      </w:pPr>
      <w:r>
        <w:rPr>
          <w:rFonts w:ascii="Arial" w:cs="Arial" w:eastAsia="Arial" w:hAnsi="Arial"/>
          <w:sz w:val="18"/>
          <w:szCs w:val="18"/>
          <w:b w:val="1"/>
          <w:bCs w:val="1"/>
          <w:i w:val="1"/>
          <w:iCs w:val="1"/>
          <w:color w:val="auto"/>
        </w:rPr>
        <w:t>We currently have substantial equity investments in three companies, two of which are not consolidated in our financial results, and our investment in such companies is subject to the risks related to their respective businesses.</w:t>
      </w:r>
    </w:p>
    <w:p>
      <w:pPr>
        <w:spacing w:after="0" w:line="62"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As of December 31, 2020, we had a 63.8% ownership interest in Navios Logistics, and, as a result, Navios Logistics is a consolidated subsidiary. As such, the income and losses relating to Navios Logistics and the indebtedness and other liabilities of Navios Logistics are shown in our consolidated financial statements.</w:t>
      </w:r>
    </w:p>
    <w:p>
      <w:pPr>
        <w:spacing w:after="0" w:line="184"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As of December 31, 2020, Navios Holdings had a 3.9% ownership interest in Navios Containers and the carrying value of its investment in Navios Containers amounted to $2.8 million. On March 31, 2021, Navios Partners completed the acquisition of Navios Containers (Refer to Note 9 included elsewhere in this Annual Report).Following the Navios Partners’ Merger (as defined herein), we have substantial equity investments in two public companies that are accounted for under the equity method — Navios Acquisition and Navios Partners. As of December 31, 2020, we held 29.5% economic interest of Navios Acquisition and 17.9% ownership interest in Navios Partners. As of such date, the carrying value of our investments in these two affiliate companies amounted to $54.2 million.</w:t>
      </w:r>
    </w:p>
    <w:p>
      <w:pPr>
        <w:spacing w:after="0" w:line="192" w:lineRule="exact"/>
        <w:rPr>
          <w:sz w:val="20"/>
          <w:szCs w:val="20"/>
          <w:color w:val="auto"/>
        </w:rPr>
      </w:pPr>
    </w:p>
    <w:p>
      <w:pPr>
        <w:ind w:left="120" w:right="160" w:firstLine="440"/>
        <w:spacing w:after="0" w:line="296" w:lineRule="auto"/>
        <w:rPr>
          <w:sz w:val="20"/>
          <w:szCs w:val="20"/>
          <w:color w:val="auto"/>
        </w:rPr>
      </w:pPr>
      <w:r>
        <w:rPr>
          <w:rFonts w:ascii="Arial" w:cs="Arial" w:eastAsia="Arial" w:hAnsi="Arial"/>
          <w:sz w:val="16"/>
          <w:szCs w:val="16"/>
          <w:color w:val="auto"/>
        </w:rPr>
        <w:t>In addition to the value of our investment, we receive dividend payments relating to our investments. As a result of our investment, in fiscal year 2020, we received $5.8 million in dividends from Navios Acquisition and $1.4 million in dividends from Navios Partners. On February 21, 2020, Navios Logistics paid a dividend in the aggregate amount of $27.5 million, out of which the amount of $17.6 million was paid to Navios Holdings. On July 10, 2020, Navios Logistics declared and paid a $6.4 million dividend in cash or in Navios Holdings shares of common stock, from which Navios Holdings received 2,414,263 shares and the amount of $2.3 million was paid to Navios Logistics’ noncontrolling shareholders.</w:t>
      </w:r>
    </w:p>
    <w:p>
      <w:pPr>
        <w:spacing w:after="0" w:line="16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On October 9, 2013, Navios Holdings, Navios Acquisition and Navios Partners established Navios Europe Inc. (“Navios Europe I”) and had economic interests of 47.5%, 47.5% and 5.0%, respectively and 50%, 50% and 0%, voting interests, respectively. On November 22, 2019, an agreement was reached to liquidate Navios Europe I. As of December 31, 2019, the Company received in cash all balances relating to Navios Europe I following the liquidation of the structure. As of December 31, 2020 and subsequent to the liquidation, Navios Holdings’ portion of the Navios Term Loans I (as defined herein) relating to Navios Europe I was $0 million.</w:t>
      </w:r>
    </w:p>
    <w:p>
      <w:pPr>
        <w:spacing w:after="0" w:line="188" w:lineRule="exact"/>
        <w:rPr>
          <w:sz w:val="20"/>
          <w:szCs w:val="20"/>
          <w:color w:val="auto"/>
        </w:rPr>
      </w:pPr>
    </w:p>
    <w:p>
      <w:pPr>
        <w:jc w:val="both"/>
        <w:ind w:left="120" w:right="200" w:firstLine="440"/>
        <w:spacing w:after="0" w:line="287" w:lineRule="auto"/>
        <w:rPr>
          <w:sz w:val="20"/>
          <w:szCs w:val="20"/>
          <w:color w:val="auto"/>
        </w:rPr>
      </w:pPr>
      <w:r>
        <w:rPr>
          <w:rFonts w:ascii="Arial" w:cs="Arial" w:eastAsia="Arial" w:hAnsi="Arial"/>
          <w:sz w:val="16"/>
          <w:szCs w:val="16"/>
          <w:color w:val="auto"/>
        </w:rPr>
        <w:t>On February 18, 2015, Navios Holdings, Navios Acquisition and Navios Partners established Navios Europe (II) Inc. (“Navios Europe II”) and had economic interests of 47.5%, 47.5% and 5.0%, respectively and voting interests of 50%, 50% and 0%, respectively. As of December 31, 2020, the Company received in cash all balances relating to Navios Europe II following the liquidation of the structure and the recognition of a loss of</w:t>
      </w:r>
    </w:p>
    <w:p>
      <w:pPr>
        <w:spacing w:after="0" w:line="2" w:lineRule="exact"/>
        <w:rPr>
          <w:sz w:val="20"/>
          <w:szCs w:val="20"/>
          <w:color w:val="auto"/>
        </w:rPr>
      </w:pPr>
    </w:p>
    <w:p>
      <w:pPr>
        <w:ind w:left="120" w:right="20"/>
        <w:spacing w:after="0" w:line="302" w:lineRule="auto"/>
        <w:rPr>
          <w:sz w:val="20"/>
          <w:szCs w:val="20"/>
          <w:color w:val="auto"/>
        </w:rPr>
      </w:pPr>
      <w:r>
        <w:rPr>
          <w:rFonts w:ascii="Arial" w:cs="Arial" w:eastAsia="Arial" w:hAnsi="Arial"/>
          <w:sz w:val="16"/>
          <w:szCs w:val="16"/>
          <w:color w:val="auto"/>
        </w:rPr>
        <w:t>$6.1 million included in the accompanying consolidated statements of comprehensive (loss)/income for the year ended December 31, 2020, within the caption “Impairment of loan receivable from affiliate company” (Refer to Note 16 included elsewhere in this Annual Report). As of December 31, 2020 and subsequent to the liquidation, Navios Holdings’ portion of the Navios Term Loans II (as defined herein) relating to Navios Europe II was $0 million.</w:t>
      </w:r>
    </w:p>
    <w:p>
      <w:pPr>
        <w:spacing w:after="0" w:line="155"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Our ownership interest in Navios Logistics, Navios Containers (now merged with Navios Partners), Navios Acquisition and Navios Partners, and the reflection of such companies (or the investment relating thereto) on our balance sheets and any income generated from or related to such companies are subject to a variety of risks, including risks relating to the respective business of Navios Logistics, Navios Acquisition and Navios Partners as disclosed in their respective public filings with the SEC or management reports. The occurrence of any such risks may negatively affect our financial condition.</w:t>
      </w:r>
    </w:p>
    <w:p>
      <w:pPr>
        <w:spacing w:after="0" w:line="188"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We evaluate our investments in Navios Acquisition, Navios Partners and Navios Containers (following the loss of control over Navios Containers’ on August 30, 2019, refer to in Note 3 included elsewhere in this Annual Report) for “other-than-temporary impairment” (“OTTI”) on a quarterly basis. Consideration is given to (i) the length of time and the extent to which the fair value has been less than the carrying value, (ii) their financial condition and near term prospects, and (iii) our intent and ability to retain our investment in these companies, for a period of time sufficient to allow for any anticipated recovery in fair value. Refer to Notes 9 and 16 included elsewhere in this Annual Report.</w:t>
      </w:r>
    </w:p>
    <w:p>
      <w:pPr>
        <w:sectPr>
          <w:pgSz w:w="11900" w:h="16838" w:orient="portrait"/>
          <w:cols w:equalWidth="0" w:num="1">
            <w:col w:w="11140"/>
          </w:cols>
          <w:pgMar w:left="320" w:top="459" w:right="439" w:bottom="1440" w:gutter="0" w:footer="0" w:header="0"/>
        </w:sectPr>
      </w:pP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140"/>
          </w:cols>
          <w:pgMar w:left="320" w:top="459" w:right="4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80"/>
        <w:spacing w:after="0" w:line="308" w:lineRule="auto"/>
        <w:rPr>
          <w:sz w:val="20"/>
          <w:szCs w:val="20"/>
          <w:color w:val="auto"/>
        </w:rPr>
      </w:pPr>
      <w:r>
        <w:rPr>
          <w:rFonts w:ascii="Arial" w:cs="Arial" w:eastAsia="Arial" w:hAnsi="Arial"/>
          <w:sz w:val="17"/>
          <w:szCs w:val="17"/>
          <w:b w:val="1"/>
          <w:bCs w:val="1"/>
          <w:i w:val="1"/>
          <w:iCs w:val="1"/>
          <w:color w:val="auto"/>
        </w:rPr>
        <w:t>Our Chairman and Chief Executive Officer holds approximately 25.4% of our common stock. Her failure to own a significant amount of our common stock or to be our Chief Executive Officer would constitute a default under our secured credit facilities.</w:t>
      </w:r>
    </w:p>
    <w:p>
      <w:pPr>
        <w:spacing w:after="0" w:line="38"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Should Ms. Frangou cease to hold a minimum of 20% of our common stock, or cease to be our Chief Executive Officer we will be in default under certain of our secured credit facilities.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Associated with the Shipping Industry and Our Operations</w:t>
      </w:r>
    </w:p>
    <w:p>
      <w:pPr>
        <w:spacing w:after="0" w:line="121"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b w:val="1"/>
          <w:bCs w:val="1"/>
          <w:i w:val="1"/>
          <w:iCs w:val="1"/>
          <w:color w:val="auto"/>
        </w:rPr>
        <w:t>The cyclical nature of the shipping industry may lead to decreases in charter rates and lower vessel values, which could adversely affect our and our affiliate companies’ results of operations and financial condition. In particular, charter rates in the dry cargo market were at/ or near historical lows in the first half of 2020 and certain of our vessels may operate below operating cost.</w:t>
      </w:r>
    </w:p>
    <w:p>
      <w:pPr>
        <w:spacing w:after="0" w:line="5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shipping business, including the dry cargo market, is cyclical in varying degrees, experiencing severe fluctuations in charter rates, profitability and, consequently, vessel values. For example, during the period from January 1, 2019 to April 14, 2021, the Baltic Exchange’s Panamax time charter average (P4TC) daily rates experienced a low of $3,345 and a high of $26,184. Additionally, during the period from January 1, 2019 to April 14, 2021, the Baltic Exchange’s Capesize time charter average (BCI-5TCA) daily rates experienced a low of $1,992 and a high of $38,012 and the Baltic Dry Index (BDI) experienced a low of 393 points and a high of 2,518 points. There can be no assurance that the dry bulk charter market will not fluctuate or hit new lows. We anticipate that the future demand for our dry bulk carriers and dry bulk charter rates will be dependent upon demand for imported commodities, economic growth in the emerging markets, including the Asia Pacific region, India, Brazil and Russia. Seasonal and regional changes in demand and changes to the capacity of the world fleet will also affect dry bulk rates. Adverse economic, political, social or other developments can decrease demand and prospects for growth in the shipping industry and thereby could reduce our revenue significantly. A decline in demand for commodities transported in dry bulk carriers including disruptions due to pandemics (such as COVID-19), trade, regulatory or tariff actions or an increase in supply of dry bulk vessels could cause a further decline in charter rates, which could materially adversely affect our results of operations and financial condition.</w:t>
      </w:r>
    </w:p>
    <w:p>
      <w:pPr>
        <w:spacing w:after="0" w:line="179"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Demand for container shipments declined significantly from 2008 to 2009 in the aftermath of the global financial crisis but has increased each year from 2009 to 2019. In 2019, total container trade grew by 1.9%, led by strong volumes going between the Far East and Europe which offset the decline in trade between the U.S. and the Far East due to increased tariffs and increases in intra-regional trade helped overall trade growth. In 2020, total container trade is estimated to have declined by 1.2%, due primarily to the effects of the COVID-19 pandemic on container demand in the first half of the year. Containership supply growth was more than demand growth during 2020 as deliveries significantly outpaced scrapping but rates rose during the year due to heavy scrapping through July (over 80% of yearly total scrapping) and an increase in demand for containerships to be moved principally from China, which stimulated production to counter the effects of the COVID-19 pandemic, to the U.S. and Europe, which stimulated consumption. For example, short term (6—12 month) daily time charter rates for 4,400 TEU containerships rose from $7,013/day in June 2020 to $40,000 on April 9, 2021 as demand for consumer products and COVID-19 pandemic supplies (masks, etc.) rose dramatically in the second half of 2020. Additional orders for large and very large containerships continue to be placed during 2020, both increasing the expected future supply of larger vessels and having a spillover effect on the market segment for smaller vessels. The recent global economic slowdown due in large part to the COVID-19 pandemic and disruptions in the trade and credit markets significantly reduced demand for products shipped in containerships and has had an adverse effect on our and our affiliate companies’ results of operations and financial condition. The changes in U.S. administration and its trade policies, the ongoing trade war, tariff changes and the global COVID-19 pandemic may have a similar effect as trade readjusts to any new trade deals among bilateral trading partners or changes in the location of finished goods manufacture or decrease in consumer activity.</w:t>
      </w:r>
    </w:p>
    <w:p>
      <w:pPr>
        <w:spacing w:after="0" w:line="167"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The continuation of such containership oversupply, particularly after COVID-19 pandemic related stimulus measures are removed, or any declines in container freight rates could negatively affect the liner companies to which our affiliate companies seek to charter their containerships.</w:t>
      </w:r>
    </w:p>
    <w:p>
      <w:pPr>
        <w:spacing w:after="0" w:line="146" w:lineRule="exact"/>
        <w:rPr>
          <w:sz w:val="20"/>
          <w:szCs w:val="20"/>
          <w:color w:val="auto"/>
        </w:rPr>
      </w:pPr>
    </w:p>
    <w:p>
      <w:pPr>
        <w:ind w:left="120" w:right="120" w:firstLine="440"/>
        <w:spacing w:after="0" w:line="289" w:lineRule="auto"/>
        <w:rPr>
          <w:sz w:val="20"/>
          <w:szCs w:val="20"/>
          <w:color w:val="auto"/>
        </w:rPr>
      </w:pPr>
      <w:r>
        <w:rPr>
          <w:rFonts w:ascii="Arial" w:cs="Arial" w:eastAsia="Arial" w:hAnsi="Arial"/>
          <w:sz w:val="16"/>
          <w:szCs w:val="16"/>
          <w:color w:val="auto"/>
        </w:rPr>
        <w:t>Historically, the tanker markets have been volatile as a result of the many conditions and factors that can affect the price, supply and demand for tanker capacity. Demand for crude oil and product tankers is historically well correlated with the growth or contraction of the world economy. The past several years were marked by a major economic slowdown, which has had, and continues to have, a significant impact on world trade, including the oil trade. Global economic conditions remain unsettled with significant uncertainty with respect to both short and long-term economic growth. Energy prices sharply declined from mid-2014 to the end of March 2016 primarily as a result of increased oil production worldwide. In response to this increased production, demand for tankers to move oil and refined petroleum products increased significantly and average spot and period charter rates for product and crude tankers rose, but declined thereafter. Keys to this demand growth have been steady increases in Chinese and Indian crude oil imports since 2001 and a steady increase in U.S. oil production, which has led to a steady decline in U.S. crude oil imports since 2005. Oil products shipments have increased due to refinery closures in Europe, Japan and Australia with oil products being shipped to those</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40"/>
          </w:cols>
          <w:pgMar w:left="32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89" w:lineRule="auto"/>
        <w:rPr>
          <w:sz w:val="20"/>
          <w:szCs w:val="20"/>
          <w:color w:val="auto"/>
        </w:rPr>
      </w:pPr>
      <w:r>
        <w:rPr>
          <w:rFonts w:ascii="Arial" w:cs="Arial" w:eastAsia="Arial" w:hAnsi="Arial"/>
          <w:sz w:val="16"/>
          <w:szCs w:val="16"/>
          <w:color w:val="auto"/>
        </w:rPr>
        <w:t>regions from China, India, the Middle East and the U.S. With the increase in U.S. crude oil production, the U.S. became a net exporter of oil products since 2011 adding to the seaborne movement of oil products. The Organization of Petroleum Exporting Countries (“OPEC”) and Russia produced and shipped oil at very high levels through April 2020, after they failed to maintain production cuts in March 2020 in response to the global COVID-19 pandemic. Energy prices sharply declined and demand for tankers to move and store oil and petroleum products increased raising tanker rates particularly for VLCCs. As production cuts agreed in April began to be implemented and oil in floating storage declined, tanker rates fell through most of the second half of 2020. Should OPEC significantly reduce oil production or should there be significant declines in non-OPEC oil production, or should China or other emerging market countries suffer significant economic slowdowns or raise trade barriers or should the recovery from the COVID-19 pandemic take longer than expected, that may result in a protracted period of reduced oil shipments and a decreased demand for our affiliated tanker vessels and lower charter rates, which could have a material adverse effect on our results of operations and financial condition.</w:t>
      </w:r>
    </w:p>
    <w:p>
      <w:pPr>
        <w:spacing w:after="0" w:line="166"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The percentage of the total tanker fleet on order as a percent of the total fleet declined from 20% at the end of 2015 to 8% at the beginning of April 2021. An over-supply of tanker capacity may result in a reduction of charter hire rates. If a reduction in charter rates occurs, our affiliate companies may only be able to charter their tanker vessels at unprofitable rates or may not be able to charter these vessels at all, which could lead to a material adverse effect on our results of operations.</w:t>
      </w:r>
    </w:p>
    <w:p>
      <w:pPr>
        <w:spacing w:after="0" w:line="187"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Fluctuations in charter rates result from changes in the supply and demand for vessel capacity and changes in the supply and demand for the major commodities or semi or finished goods carried by water internationally. Because the factors affecting the supply and demand for vessels are outside of our control and are unpredictable, the nature, timing, direction and degree of changes in charter rates are also unpredictable.</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demand for dry cargo vessels, containerships and tanker capacity has generally been influenced by, among other factors:</w:t>
      </w:r>
    </w:p>
    <w:p>
      <w:pPr>
        <w:spacing w:after="0" w:line="131" w:lineRule="exact"/>
        <w:rPr>
          <w:sz w:val="20"/>
          <w:szCs w:val="20"/>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global and regional economic and political conditions;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disruptions and developments in international trade, including the effects of currency exchange rate changes;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seaborne and other transportation patterns, such as port congestion and canal closures or expansions;</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seaborne and other transportation patterns, including changes in distances over which cargo is transported due to geographic changes in where oil is produced, refined and used;</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supply and demand for drybulk products, energy resources, commodities, semi-finished and finished consumer and industrial products, and liquid cargoes, including petroleum and petroleum products;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changes in the exploration or production of energy resources, commodities, semi-finished and finished consumer and industrial products;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global production of raw materials, or products transported by containerships;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distance dry bulk cargo, containers, and liquid cargo products are to be moved by sea;</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globalization of manufacturing;</w:t>
      </w:r>
    </w:p>
    <w:p>
      <w:pPr>
        <w:spacing w:after="0" w:line="130"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supply and demand for (a) products shipped in containers, (b) products shipped in dry cargo vessels, and (c) products shipped in tanker vessels;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fuel prices for the bunker fuel used aboard ships;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the vessel is equipped with scrubbers or not;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carrier alliances, vessel sharing or container slot sharing that seek to allocate container ship capacity on routes;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weather and crop yields;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armed conflicts, wars and terrorist activities, including piracy;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natural or man-made disasters (including global pandemics);</w:t>
      </w:r>
    </w:p>
    <w:p>
      <w:pPr>
        <w:spacing w:after="0" w:line="130" w:lineRule="exact"/>
        <w:rPr>
          <w:rFonts w:ascii="Arial" w:cs="Arial" w:eastAsia="Arial" w:hAnsi="Arial"/>
          <w:sz w:val="18"/>
          <w:szCs w:val="18"/>
          <w:color w:val="auto"/>
        </w:rPr>
      </w:pPr>
    </w:p>
    <w:p>
      <w:pPr>
        <w:ind w:left="1080" w:right="260" w:hanging="424"/>
        <w:spacing w:after="0" w:line="263"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political, environmental and other regulatory developments, including but not limited to governmental macroeconomic policy changes (including the application of stimulus programs or withdrawal of same), import and export restrictions, trade wars, central bank policies and pollution conventions or protocols;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embargoes and strikes;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technical advances in ship design and construction;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waiting days in ports, and port or canal congestions in general;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competition from alternative sources of energy or governmental policies encouraging use of alternative energy supplies;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oil production and refining capacity and regional availability of petroleum refining capacity;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international sanctions, embargoes, and nationalizations;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competition from alternative sources of energy.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supply of vessel capacity has generally been influenced by, among other factors:</w:t>
      </w:r>
    </w:p>
    <w:p>
      <w:pPr>
        <w:spacing w:after="0" w:line="131" w:lineRule="exact"/>
        <w:rPr>
          <w:sz w:val="20"/>
          <w:szCs w:val="20"/>
          <w:color w:val="auto"/>
        </w:rPr>
      </w:pPr>
    </w:p>
    <w:p>
      <w:pPr>
        <w:ind w:left="1080" w:hanging="424"/>
        <w:spacing w:after="0" w:line="308" w:lineRule="auto"/>
        <w:tabs>
          <w:tab w:leader="none" w:pos="10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number of vessels that are in or out of service (including any held in quarantine or waiting for crew changes due to health related or any other restrictions), namely those that are laid-up, drydocked, awaiting or undergoing repairs or otherwise not available for hire;</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scrapping rate of older vessels;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port and canal traffic and congestion, including canal improvements that can affect employment of ships designed for older canals;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number of newbuilding deliveries;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vessel casualties;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number of shipyards and the availability of shipyard capacity;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economics of slow steaming;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number of vessels that are used for storage or as floating storage vessels;</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conversion of tankers to other uses, including conversion of vessels from transporting oil and oil products to carrying dry bulk cargo and the reverse conversion;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availability of financing or lack thereof for new vessels or for facilitating ship sale and purchase transactions;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phasing out of single-hull tankers due to legislation and environmental concerns;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price of steel, fuel and other raw materials;</w:t>
      </w:r>
    </w:p>
    <w:p>
      <w:pPr>
        <w:spacing w:after="0" w:line="130" w:lineRule="exact"/>
        <w:rPr>
          <w:rFonts w:ascii="Arial" w:cs="Arial" w:eastAsia="Arial" w:hAnsi="Arial"/>
          <w:sz w:val="18"/>
          <w:szCs w:val="18"/>
          <w:color w:val="auto"/>
        </w:rPr>
      </w:pPr>
    </w:p>
    <w:p>
      <w:pPr>
        <w:ind w:left="1080" w:right="80" w:hanging="424"/>
        <w:spacing w:after="0" w:line="259"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national or international environmental or other regulations and standards (including IMO rules requiring a reduction in the use of high sulphur fuels, the fitting of additional ballast water treatment systems and upcoming rules intended to reduce CO2 emissions) that may effectively cause reductions in the carrying capacity of vessels, early obsolescence of tonnage, or other measures that limit the profitability, operations or useful lives of vessels; and</w:t>
      </w:r>
    </w:p>
    <w:p>
      <w:pPr>
        <w:spacing w:after="0" w:line="187"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In addition to the prevailing and anticipated charter rates, factors that affect the rate of newbuilding, scrapping and laying-up include newbuilding prices, secondhand vessel values in relation to newbuilding and scrap prices, costs of bunkers and other operating costs, costs associated with classification society surveys, normal maintenance and insurance coverage costs, the efficiency and age profile of the existing drybulk fleet in the market and government and industry regulation of maritime transportation practices, particularly environmental protection laws and regulations. These and other factors influencing the supply of and demand for shipping capacity are outside of our control, and we may not be able to correctly assess the nature, timing and degree of changes in industry conditions which may affect our business, results of operations and financial condition.</w:t>
      </w:r>
    </w:p>
    <w:p>
      <w:pPr>
        <w:spacing w:after="0" w:line="272"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The oversupply of drybulk vessel capacity may prolong or further depress low charter rates when they occur, which has and may continue to limit our ability to operate our drybulk vessels profitably.</w:t>
      </w:r>
    </w:p>
    <w:p>
      <w:pPr>
        <w:spacing w:after="0" w:line="62" w:lineRule="exact"/>
        <w:rPr>
          <w:sz w:val="20"/>
          <w:szCs w:val="20"/>
          <w:color w:val="auto"/>
        </w:rPr>
      </w:pPr>
    </w:p>
    <w:p>
      <w:pPr>
        <w:ind w:left="120" w:right="280" w:firstLine="440"/>
        <w:spacing w:after="0" w:line="257" w:lineRule="auto"/>
        <w:rPr>
          <w:sz w:val="20"/>
          <w:szCs w:val="20"/>
          <w:color w:val="auto"/>
        </w:rPr>
      </w:pPr>
      <w:r>
        <w:rPr>
          <w:rFonts w:ascii="Arial" w:cs="Arial" w:eastAsia="Arial" w:hAnsi="Arial"/>
          <w:sz w:val="18"/>
          <w:szCs w:val="18"/>
          <w:color w:val="auto"/>
        </w:rPr>
        <w:t>The market supply of drybulk carriers has been increasing as a result of the delivery of numerous newbuilding orders over the last few years. Newbuildings have been delivered in significant numbers over the last few years and, as of April 1, 2021, newbuilding orders had been placed for an aggregate of about 6% of the existing global drybulk fleet, with deliveries expected during the next three years (the lowest percent on record). Due to lack of financing, many analysts expect cancellations and/or slippage of newbuilding orders. While vessel supply will continue to be affected by the delivery of new vessels and the removal of vessels from</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40"/>
          </w:cols>
          <w:pgMar w:left="32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20"/>
        <w:spacing w:after="0" w:line="263" w:lineRule="auto"/>
        <w:rPr>
          <w:sz w:val="20"/>
          <w:szCs w:val="20"/>
          <w:color w:val="auto"/>
        </w:rPr>
      </w:pPr>
      <w:r>
        <w:rPr>
          <w:rFonts w:ascii="Arial" w:cs="Arial" w:eastAsia="Arial" w:hAnsi="Arial"/>
          <w:sz w:val="18"/>
          <w:szCs w:val="18"/>
          <w:color w:val="auto"/>
        </w:rPr>
        <w:t>the global fleet, either through scrapping or accidental losses, an over-supply of drybulk carrier capacity could exacerbate decreases in charter rates or prolong the period during which low charter rates prevail which may have a material adverse effect on our business, results of operations, cash flows, financial condition and ability to pay dividends.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growth depends on continued growth in demand for dry bulk commodities and the shipping of dry bulk cargoes.</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Our growth strategy focuses on expansion in the dry bulk shipping sector. Accordingly, our growth depends on continued growth in worldwide and regional demand for dry bulk commodities and the shipping of dry bulk cargoes, which could be negatively affected by a number of factors, such as declines in prices for dry bulk commodities, or general political, regulatory and economic conditions.</w:t>
      </w:r>
    </w:p>
    <w:p>
      <w:pPr>
        <w:spacing w:after="0" w:line="184"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Reduced demand for dry bulk commodities and the shipping of dry bulk cargoes would have a material adverse effect on our future growth and could harm our business, results of operations and financial condition. In past years, China and India have had two of the world’s fastest growing economies in terms of gross domestic product and have been the main driving force behind increases in marine drybulk trade and the demand for drybulk vessels. If economic growth declines in China, Japan, India and other countries in the Asia Pacific region, we may face decreases in the drybulk shipping trade and demand. For example, prior slowdowns of the Chinese economy have adversely affected demand for Capesize bulk carriers and, as a result, spot and period rates, as well as asset values, have been at low levels. A slowdown in the economies of the United States or the European Union, or certain other Asian countries may also adversely affect economic growth in the Asia Pacific region and India. A negative change in the economic conditions (including any negative changes resulting from any pandemic) of any of these countries, may have a material adverse effect on our business, financial condition and results of operations, as well as our future prospects, by reducing demand and resultant charter rates.</w:t>
      </w:r>
    </w:p>
    <w:p>
      <w:pPr>
        <w:spacing w:after="0" w:line="274"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Economic conditions throughout the world, global pandemics, renewed terrorist activity, refugee crisis, trade wars and protectionist policies, could have a material adverse effect on our business, financial condition and results of operations.</w:t>
      </w:r>
    </w:p>
    <w:p>
      <w:pPr>
        <w:spacing w:after="0" w:line="62"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The global economy is subject to downside economic risks stemming from factors like global pandemics, fiscal fragility in advanced economies, high sovereign and private debt levels, highly accommodative macroeconomic policies, the significant fall in the price of crude oil and other commodities and persistent difficulties in access to credit and equity financing as well as political risks such as the continuing war in Syria, renewed terrorist attacks around the world and the emergence of populist and protectionist political movements in advanced economies.</w:t>
      </w:r>
    </w:p>
    <w:p>
      <w:pPr>
        <w:spacing w:after="0" w:line="171"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Concerns regarding terrorist threats from groups in Europe and the refugee crisis may advance protectionist policies and may negatively impact globalization and global economic growth, which could disrupt financial markets, and may lead to weaker consumer demand in the EU, the U.S., and other parts of the world which could have a material adverse effect on our business. The deterioration in the global economy has caused, and may continue to cause, a decrease in worldwide demand for dry cargoes.</w:t>
      </w:r>
    </w:p>
    <w:p>
      <w:pPr>
        <w:spacing w:after="0" w:line="18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recent years, China has been one of the world’s fastest growing economies in terms of gross domestic product, which has had a significant impact on shipping demand. However, if China’s growth in gross domestic product declines and other countries in the Asia Pacific region experience slower or negative economic growth in the future, this may negatively affect the fragile recovery of the economies of the U.S. and the EU, and thus, may negatively impact the shipping industry. For example, the possibility of the introduction of impediments to trade within the EU member countries in response to increasing terrorist activities, and the possibility of market reforms to float the Chinese renminbi, either of which development could weaken the Euro against the Chinese renminbi, could adversely affect consumer demand in the EU. Moreover, the revaluation of the renminbi may negatively impact the U.S.’ demand for imported goods, many of which are shipped from China. Political events such as a global trade war between the U.S. and China, or any moves by either China, the U.S. or the EU to levy additional tariffs on imported goods as part of protectionist measures or otherwise could decrease shipping demand. Such weak economic conditions or protectionist measures could have a material adverse effect on our business, results of operations and financial condition, as well as our cash flows.</w:t>
      </w:r>
    </w:p>
    <w:p>
      <w:pPr>
        <w:spacing w:after="0" w:line="293"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b w:val="1"/>
          <w:bCs w:val="1"/>
          <w:i w:val="1"/>
          <w:iCs w:val="1"/>
          <w:color w:val="auto"/>
        </w:rPr>
        <w:t>Disruptions in global financial markets from terrorist attacks, regional armed conflicts, general political unrest, the emergence of a pandemic crisis and the resulting governmental action could have a material adverse impact our results of operations, financial condition and cash flows, and our ability to obtain financing required to acquire vessels or refinance our indebtedness. Furthermore, such a disruption could cause the market price of our shares to decline.</w:t>
      </w:r>
    </w:p>
    <w:p>
      <w:pPr>
        <w:spacing w:after="0" w:line="79"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Terrorist attacks in certain parts of the world and the continuing response of the United States and other countries to these attacks, as well as the threat of future terrorist attacks, continue to cause uncertainty and volatility in the world financial markets and may affect our business, results of operations and financial condition. The continuing refugee crisis in the EU, the continuing war in Syria and the presence of terrorist organizations in the Middle East, conflicts and turmoil in Iraq, Yemen, Afghanistan and Iran, general political unrest in Ukraine, political tension, continuing concerns relating to Brexit (as defined herein), concerns regarding epidemics and pandemics, including the ongoing outbreak of the COVID-19 pandemic, and its spread throughout the world, and other</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viral outbreaks or conflicts in the Asia Pacific Region such as in the South China Sea and North Korea have led to increased volatility in global credit and equity markets. Further, as a result of the ongoing political and economic turmoil in Greece resulting from the sovereign debt crisis and the influx of refugees from Syria and other areas, the operations of our Manager located in Greece may be subjected to new regulations and potential shift in government policies that may require us to incur new or additional compliance or other administrative costs and may require the payment of new taxes or other fees. We also face the risk that strikes, work stoppages, civil unrest and violence within Greece, as well as any work, travel or other restrictions implemented due the impact of the ongoing COVID-19 pandemic may disrupt the shoreside operations of our managers located in Greece.</w:t>
      </w:r>
    </w:p>
    <w:p>
      <w:pPr>
        <w:spacing w:after="0" w:line="164" w:lineRule="exact"/>
        <w:rPr>
          <w:sz w:val="20"/>
          <w:szCs w:val="20"/>
          <w:color w:val="auto"/>
        </w:rPr>
      </w:pPr>
    </w:p>
    <w:p>
      <w:pPr>
        <w:ind w:left="120" w:right="140" w:firstLine="440"/>
        <w:spacing w:after="0" w:line="272" w:lineRule="auto"/>
        <w:rPr>
          <w:sz w:val="20"/>
          <w:szCs w:val="20"/>
          <w:color w:val="auto"/>
        </w:rPr>
      </w:pPr>
      <w:r>
        <w:rPr>
          <w:rFonts w:ascii="Arial" w:cs="Arial" w:eastAsia="Arial" w:hAnsi="Arial"/>
          <w:sz w:val="17"/>
          <w:szCs w:val="17"/>
          <w:color w:val="auto"/>
        </w:rPr>
        <w:t>In addition, global financial markets and economic conditions have been severely disrupted and volatile in recent years and remain subject to significant vulnerabilities, such as the deterioration of fiscal balances and the rapid accumulation of public debt, continued deleveraging in the banking sector and a limited supply of credit. Credit markets as well as the debt and equity capital markets were exceedingly distressed during 2008 and 2009 and have been volatile since that time. The resulting uncertainty and volatility in the global financial markets may accordingly affect our business, results of operations and financial condition. These uncertainties, as well as future hostilities or other political instability in regions where our vessels trade, could also affect trade volumes and patterns and adversely affect our operations, and otherwise have a material adverse effect on our business, results of operations and financial condition, as well as our cash flows.</w:t>
      </w:r>
    </w:p>
    <w:p>
      <w:pPr>
        <w:spacing w:after="0" w:line="17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Specifically, these issues, along with the re-pricing of credit risk and the difficulties currently experienced by financial institutions, have made, and will likely continue to make, it difficult to obtain financing. As a result of the disruptions in the credit markets and higher capital requirements, many lenders have increased margins on lending rates, enacted tighter lending standards, required more restrictive terms (including higher collateral ratios for advances, shorter maturities and smaller loan amounts), or have refused to refinance existing debt at all. Furthermore, certain banks that have historically been significant lenders to the shipping industry have reduced or ceased lending activities in the shipping industry. Additional tightening of capital requirements and the resulting policies adopted by lenders, could further reduce lending activities. We may experience difficulties obtaining financing commitments or be unable to fully draw on the capacity under our committed term loans in the future, if our lenders are unwilling to extend financing to us or unable to meet their funding obligations due to their own liquidity, capital or solvency issues. We cannot be certain that financing will be available on acceptable terms or at all. If financing is not available when needed, or is available only on unfavorable terms, we may be unable to meet our future obligations as they come due. Our failure to obtain such funds could have a material adverse effect on our business, results of operations and financial condition, as well as our cash flows. In the absence of available financing, we also may be unable to take advantage of business opportunities or respond to competitive pressures.</w:t>
      </w:r>
    </w:p>
    <w:p>
      <w:pPr>
        <w:spacing w:after="0" w:line="179"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Furthermore, our operations may be adversely affected by changing or adverse political and governmental conditions in the countries where our vessels are flagged or registered and in the regions where we otherwise engage in business. Any disruption caused by these factors may interfere with the operation of our vessels, which could harm our business, financial condition and results of operations. Our operations may also be adversely affected by expropriation of vessels, taxes, regulation, tariffs, trade embargoes, economic sanctions or a disruption of or limit to trading activities, or other adverse events or circumstances in or affecting the countries and regions where we operate or where we may operate in the future. Adverse economic, political, social or other developments can decrease demand and prospects for growth in the shipping industry and thereby could reduce revenue significantly.</w:t>
      </w:r>
    </w:p>
    <w:p>
      <w:pPr>
        <w:spacing w:after="0" w:line="303" w:lineRule="exact"/>
        <w:rPr>
          <w:sz w:val="20"/>
          <w:szCs w:val="20"/>
          <w:color w:val="auto"/>
        </w:rPr>
      </w:pPr>
    </w:p>
    <w:p>
      <w:pPr>
        <w:ind w:left="120" w:right="360"/>
        <w:spacing w:after="0" w:line="342" w:lineRule="auto"/>
        <w:rPr>
          <w:sz w:val="20"/>
          <w:szCs w:val="20"/>
          <w:color w:val="auto"/>
        </w:rPr>
      </w:pPr>
      <w:r>
        <w:rPr>
          <w:rFonts w:ascii="Arial" w:cs="Arial" w:eastAsia="Arial" w:hAnsi="Arial"/>
          <w:sz w:val="16"/>
          <w:szCs w:val="16"/>
          <w:b w:val="1"/>
          <w:bCs w:val="1"/>
          <w:i w:val="1"/>
          <w:iCs w:val="1"/>
          <w:color w:val="auto"/>
        </w:rPr>
        <w:t>An increase in trade protectionism and the unraveling of multilateral trade agreements could have a material adverse impact on our charterers’ business and, in turn, could cause a material adverse impact on our results of operations, financial condition and cash flows.</w:t>
      </w:r>
    </w:p>
    <w:p>
      <w:pPr>
        <w:spacing w:after="0" w:line="16"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Our operations expose us to the risk that increased trade protectionism will adversely affect our business. Recently, government leaders have declared that their countries may turn to trade barriers to protect or revive their domestic industries in the face of foreign imports, thereby depressing the demand for shipping. For example, on January 1, 2021, the trade deal agreed between the United Kingdom and the European Union regarding Brexit went into effect on a provisional basis. The commercial, economic and financial short and long term effects of Brexit are still unknown. In addition uncertainty has been created about the future relationship between the United States, China and other exporting countries, including with respect to trade policies, treaties, government regulations and tariffs. Protectionist developments, or the perception that they may occur, may have a material adverse effect on global economic conditions, and may significantly reduce global trade. Restrictions on imports, including in the form of tariffs, could have a major impact on global trade and demand for shipping. Specifically, increasing trade protectionism in the markets that our charterers serve may cause an increase in (i) the cost of goods exported from exporting countries, (ii) the length of time required to deliver goods from exporting countries, (iii) the costs of such delivery and (iv) the risks associated with exporting goods. These factors may result in a decrease in the quantity of goods to be shipped and the distances those goods travel. Protectionist developments, or the perception they may occur, may have a material adverse effect on global economic conditions, and may significantly reduce global trade, including trade between the United States and China. These developments would have an adverse impact on our charterers’ business, operating results and financial condition. This could, in turn, affect our charterers’ ability to make timely charter hire payments to us and impair our ability to renew charters and grow our business. This could have a material adverse effect on our business, results of operations and financial condition, as well as our cash flows.</w:t>
      </w:r>
    </w:p>
    <w:p>
      <w:pPr>
        <w:spacing w:after="0" w:line="1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342" w:lineRule="auto"/>
        <w:rPr>
          <w:sz w:val="20"/>
          <w:szCs w:val="20"/>
          <w:color w:val="auto"/>
        </w:rPr>
      </w:pPr>
      <w:r>
        <w:rPr>
          <w:rFonts w:ascii="Arial" w:cs="Arial" w:eastAsia="Arial" w:hAnsi="Arial"/>
          <w:sz w:val="16"/>
          <w:szCs w:val="16"/>
          <w:b w:val="1"/>
          <w:bCs w:val="1"/>
          <w:i w:val="1"/>
          <w:iCs w:val="1"/>
          <w:color w:val="auto"/>
        </w:rPr>
        <w:t>A decrease in the level of China’s imports of raw materials or a decrease in trade globally could have a material adverse impact on our charterers’ business and, in turn, could cause a material adverse impact on our results of operations, financial condition and cash flows.</w:t>
      </w:r>
    </w:p>
    <w:p>
      <w:pPr>
        <w:spacing w:after="0" w:line="16"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6"/>
          <w:szCs w:val="16"/>
          <w:color w:val="auto"/>
        </w:rPr>
        <w:t>China imports significant quantities of raw materials, and exports significant amounts of finished or semi-finished goods. For example, in 2020, China imported 1.146 billion tons of iron out of a total of 1.503 billion tons shipped globally accounting for about 76% of the global seaborne iron ore trade. While it accounted for about 20% of seaborne coal movements of coal in 2020 according to current estimates (238 million tons imported compared to 1.165 billion tons of seaborne coal traded globally), that is a decline from over 22% in 2013 (264 million tons imported compared to</w:t>
      </w:r>
    </w:p>
    <w:p>
      <w:pPr>
        <w:spacing w:after="0" w:line="1"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1.183 billion tons of seaborne coal traded globally). Our dry bulk vessels are deployed by our charterers on routes involving dry bulk trade in and out of emerging markets, and our charterers’ dry bulk shipping and business revenue may be derived from the shipment of goods within and to the Asia Pacific region from various overseas export markets. Any reduction in or hindrance to China-based importers could have a material adverse effect on the growth rate of China’s imports and on our charterers’ business. For instance, the government of China has implemented economic policies aimed at reducing pollution, increasing consumption of domestically produced Chinese coal, promoting the export of such coal or increasing consumption of natural gas or banning imports of coal or other commodities from certain countries to China or increasing the production of electricity from renewable resources, and raising tariffs on imported bulk cargoes from certain countries including the United States and Australia. This may have the effect of reducing the demand for imported raw materials and may, in turn, result in a decrease in demand for dry bulk shipping. Additionally, though in China there is an increasing level of autonomy and a gradual shift in emphasis to a “market economy” and enterprise reform, many of the reforms, particularly some limited price reforms that result in the prices for certain commodities being principally determined by market forces, are unprecedented or experimental and may be subject to revision, change or abolition. The level of imports to and exports from China could be adversely affected by changes to these economic reforms by the Chinese government, as well as by changes in political, economic and social conditions or other relevant policies of the Chinese government. The ongoing global trade war between the U.S. and China, the change in the U.S. administration or the removal of stimulus programs enacted to reduce the economic effect of the COVID-19 pandemic may contribute to an economic slowdown in China.</w:t>
      </w:r>
    </w:p>
    <w:p>
      <w:pPr>
        <w:spacing w:after="0" w:line="178"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Our operations expose us to the risk that increased trade protectionism from China or other nations will adversely affect our business. If the global recovery is undermined by downside risks and the recent economic downturn returns, governments may turn to trade barriers to protect their domestic industries against foreign imports, thereby depressing the demand for shipping. Specifically, increasing trade protectionism in the markets that our charterers serve may cause (i) a decrease in cargoes available to our charterers in favor of Chinese charterers and Chinese owned ships and (ii) an increase in the risks associated with importing goods to China. Any increased trade barriers or restrictions on trade, especially trade with China, would have an adverse impact on our charterers’ business, operating results and financial condition and could thereby affect their ability to make timely charter hire payments to us and to renew and increase the number of their time charters with us. This could have a material adverse effect on our business, results of operations, financial condition and our ability to pay cash distributions to our stockholders.</w:t>
      </w:r>
    </w:p>
    <w:p>
      <w:pPr>
        <w:spacing w:after="0" w:line="165"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China has enacted a tax for non-resident international transportation enterprises engaged in the provision of services of passengers or cargo, among other items, in and out of China using their own, chartered or leased vessels, including any stevedore, warehousing and other services connected with the transportation. The regulation broadens the range of international transportation companies who may find themselves liable for Chinese enterprise income tax on profits generated from international transportation services passing through Chinese ports. This tax or similar regulations by China may reduce our operating results and may also result in an increase in the cost of goods exported from China and the risks associated with exporting goods from China, as well as a decrease in the quantity of goods to be shipped from or through China, which would have an adverse impact on our charterers’ business, operating results and financial condition and could thereby affect their ability to make timely charter hire payments to us and to renew and increase the number of their time charters with us.</w:t>
      </w:r>
    </w:p>
    <w:p>
      <w:pPr>
        <w:spacing w:after="0" w:line="178"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Similarly, an extension or expansion of the current worldwide pandemic, or withdrawals or changes to economic stimulus packages by China or other nations to combat the pandemic may reduce our operating results and may also result in an increase in the cost of goods exported from China and the risks associated with exporting goods from China, as well as a decrease in the quantity of goods to be shipped from or through China or imports of commodities to China, which would have an adverse impact on our charterers’ business, operating results and financial condition and could thereby affect their ability to make timely charter hire payments to us and to renew and increase the number of their time charters with us.</w:t>
      </w:r>
    </w:p>
    <w:p>
      <w:pPr>
        <w:spacing w:after="0" w:line="269" w:lineRule="exact"/>
        <w:rPr>
          <w:sz w:val="20"/>
          <w:szCs w:val="20"/>
          <w:color w:val="auto"/>
        </w:rPr>
      </w:pPr>
    </w:p>
    <w:p>
      <w:pPr>
        <w:ind w:left="120" w:right="240"/>
        <w:spacing w:after="0" w:line="375" w:lineRule="auto"/>
        <w:rPr>
          <w:sz w:val="20"/>
          <w:szCs w:val="20"/>
          <w:color w:val="auto"/>
        </w:rPr>
      </w:pPr>
      <w:r>
        <w:rPr>
          <w:rFonts w:ascii="Arial" w:cs="Arial" w:eastAsia="Arial" w:hAnsi="Arial"/>
          <w:sz w:val="15"/>
          <w:szCs w:val="15"/>
          <w:b w:val="1"/>
          <w:bCs w:val="1"/>
          <w:i w:val="1"/>
          <w:iCs w:val="1"/>
          <w:color w:val="auto"/>
        </w:rPr>
        <w:t>We conduct a substantial amount of business in China. The legal system in China has inherent uncertainties that could limit the legal protections available to us and could have a material adverse impact on our business, results of operations, financial condition and cash flows.</w:t>
      </w:r>
    </w:p>
    <w:p>
      <w:pPr>
        <w:spacing w:after="0" w:line="1" w:lineRule="exact"/>
        <w:rPr>
          <w:sz w:val="20"/>
          <w:szCs w:val="20"/>
          <w:color w:val="auto"/>
        </w:rPr>
      </w:pPr>
    </w:p>
    <w:p>
      <w:pPr>
        <w:ind w:left="120" w:right="340" w:firstLine="440"/>
        <w:spacing w:after="0" w:line="259" w:lineRule="auto"/>
        <w:rPr>
          <w:sz w:val="20"/>
          <w:szCs w:val="20"/>
          <w:color w:val="auto"/>
        </w:rPr>
      </w:pPr>
      <w:r>
        <w:rPr>
          <w:rFonts w:ascii="Arial" w:cs="Arial" w:eastAsia="Arial" w:hAnsi="Arial"/>
          <w:sz w:val="18"/>
          <w:szCs w:val="18"/>
          <w:color w:val="auto"/>
        </w:rPr>
        <w:t>Many of our vessels regularly call to ports in China and we may enter into sale and leaseback transactions with Chinese financial institutions. Although our charters and sale and leaseback agreements are and would be governed by English law, we may have difficulties enforcing a judgment rendered by an English court (or other non-Chinese court) in China. Such charters and any additional agreements that we enter into with Chinese counterparties, may be subject to new regulations in China that may require us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color w:val="auto"/>
        </w:rPr>
        <w:t>to incur new or additional compliance or other administrative costs and pay new taxes or other fees to the Chinese government. Changes in laws and regulations, including with regards to tax matters, and their implementation by local authorities could affect our vessels chartered to Chinese customers as well as our vessels calling to Chinese ports and could have a material adverse effect on our business, results of operations and financial condition.</w:t>
      </w:r>
    </w:p>
    <w:p>
      <w:pPr>
        <w:spacing w:after="0" w:line="257"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b w:val="1"/>
          <w:bCs w:val="1"/>
          <w:i w:val="1"/>
          <w:iCs w:val="1"/>
          <w:color w:val="auto"/>
        </w:rPr>
        <w:t>When our contracts expire, we may not be able to successfully replace them. Our growth and our capacity to replace them depends on our ability to expand relationships with existing customers and obtain new customers, for which we will face substantial competition from new entrants and established companies with significant resources.</w:t>
      </w:r>
    </w:p>
    <w:p>
      <w:pPr>
        <w:spacing w:after="0" w:line="76"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Time-charter contracts provide income at pre-determined rates over short or more extended periods of time. However, the process for obtaining new time charters especially longer term time charters is highly competitive and generally involves a lengthy, intensive and continuous screening and vetting process and the submission of competitive bids. In addition to the quality, age and suitability of the vessel, longer term shipping contracts tend to be awarded based upon a variety of other factors relating to the vessel operator, including:</w:t>
      </w:r>
    </w:p>
    <w:p>
      <w:pPr>
        <w:spacing w:after="0" w:line="92" w:lineRule="exact"/>
        <w:rPr>
          <w:sz w:val="20"/>
          <w:szCs w:val="20"/>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operator’s environmental, health and safety record;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compliance with the IMO standards and regulatory industry standards;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shipping industry relationships, reputation for customer service, technical and operating expertise;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shipping experience and quality of ship operations, including cost-effectiveness;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quality, experience and technical capability of crews;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ability to finance vessels at competitive rates and overall financial stability;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relationships with shipyards and the ability to obtain suitable berths;</w:t>
      </w:r>
    </w:p>
    <w:p>
      <w:pPr>
        <w:spacing w:after="0" w:line="130" w:lineRule="exact"/>
        <w:rPr>
          <w:rFonts w:ascii="Arial" w:cs="Arial" w:eastAsia="Arial" w:hAnsi="Arial"/>
          <w:sz w:val="18"/>
          <w:szCs w:val="18"/>
          <w:color w:val="auto"/>
        </w:rPr>
      </w:pPr>
    </w:p>
    <w:p>
      <w:pPr>
        <w:ind w:left="1080" w:right="106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construction management experience, including the ability to procure on-time delivery of new vessels according to customer specifications;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willingness to accept operational risks pursuant to the charter, such as allowing termination of the charter for force majeure events; and</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competitiveness of the bid in terms of overall price.</w:t>
      </w:r>
    </w:p>
    <w:p>
      <w:pPr>
        <w:spacing w:after="0" w:line="225"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It is likely that we will face substantial competition for long-term charter business from a number of experienced companies. We may not be able to compete profitably as we expand our business into new geographic regions or provide new services. New markets may require different skills, knowledge or strategies than we use in our current markets. Many of these competitors have significantly greater financial resources than we do. It is also likely that we will face increased numbers of competitors entering into our transportation sectors. Many of these competitors have strong reputations and extensive resources and experience. Increased competition may cause greater price competition, especially for long-term charters, as well as for the acquisition of high-quality secondhand vessels and newbuilding vessels. Further, since the charter rate is generally considered to be one of the principal factors in a charterer’s decision to charter a vessel, the rates offered by our competitors can place downward pressure on rates throughout the charter market.</w:t>
      </w:r>
    </w:p>
    <w:p>
      <w:pPr>
        <w:spacing w:after="0" w:line="192" w:lineRule="exact"/>
        <w:rPr>
          <w:sz w:val="20"/>
          <w:szCs w:val="20"/>
          <w:color w:val="auto"/>
        </w:rPr>
      </w:pPr>
    </w:p>
    <w:p>
      <w:pPr>
        <w:ind w:left="120" w:right="120" w:firstLine="440"/>
        <w:spacing w:after="0" w:line="288" w:lineRule="auto"/>
        <w:rPr>
          <w:sz w:val="20"/>
          <w:szCs w:val="20"/>
          <w:color w:val="auto"/>
        </w:rPr>
      </w:pPr>
      <w:r>
        <w:rPr>
          <w:rFonts w:ascii="Arial" w:cs="Arial" w:eastAsia="Arial" w:hAnsi="Arial"/>
          <w:sz w:val="16"/>
          <w:szCs w:val="16"/>
          <w:color w:val="auto"/>
        </w:rPr>
        <w:t>As a result of these factors, we may be unable to expand our relationships with existing customers or obtain new customers for our charters on a profitable basis, if at all, therefore, when our contracts including our long-term charters expire, we cannot assure you that we will be able to replace them promptly or at all or at rates sufficient to allow us to operate our business profitably, to meet our obligations, including payment of debt service to our lenders, or to pay dividends. Our ability to renew the charter contracts on our vessels on the expiration or termination of our current charters, or, on vessels that we may acquire in the future, the charter rates payable under any replacement charter contracts, will depend upon, among other things, economic conditions in the sectors in which our vessels operate at that time, changes in the supply and demand for vessel capacity and changes in the supply and demand for the transportation of commodities. During periods of market distress when long-term charters may be renewed at rates at or below operating costs, we may not choose to charter our vessels for longer terms particularly if doing so would create an ongoing negative cash flow during the period of the charter. We may instead choose or be forced to idle our vessels or lay them up or scrap them depending on market conditions and outlook at the time those vessels become available for charter.</w:t>
      </w:r>
    </w:p>
    <w:p>
      <w:pPr>
        <w:spacing w:after="0" w:line="168" w:lineRule="exact"/>
        <w:rPr>
          <w:sz w:val="20"/>
          <w:szCs w:val="20"/>
          <w:color w:val="auto"/>
        </w:rPr>
      </w:pPr>
    </w:p>
    <w:p>
      <w:pPr>
        <w:ind w:left="120" w:right="240" w:firstLine="440"/>
        <w:spacing w:after="0" w:line="286" w:lineRule="auto"/>
        <w:rPr>
          <w:sz w:val="20"/>
          <w:szCs w:val="20"/>
          <w:color w:val="auto"/>
        </w:rPr>
      </w:pPr>
      <w:r>
        <w:rPr>
          <w:rFonts w:ascii="Arial" w:cs="Arial" w:eastAsia="Arial" w:hAnsi="Arial"/>
          <w:sz w:val="17"/>
          <w:szCs w:val="17"/>
          <w:color w:val="auto"/>
        </w:rPr>
        <w:t>However, if we are successful in employing our vessels under longer-term time charters, our vessels will not be available for trading in the spot market during an upturn in the market cycle, when spot trading may be more profitable. If we cannot successfully employ our vessels in profitable charter contracts, our results of operations and operating cash flow could be materially adversely affected.</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We may employ vessels on the spot market and thus expose ourselves to risk of losses based on short-term decreases in shipping rates.</w:t>
      </w:r>
    </w:p>
    <w:p>
      <w:pPr>
        <w:spacing w:after="0" w:line="140"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We periodically employ some of our vessels on a spot basis. The spot charter market is highly competitive and freight rates within this market are highly volatile, while longer-term charter contracts provide income at pre-determined rates over more extended periods of time. We cannot assure you that we will be successful in keeping our vessels fully employed in these short-term markets, or that future spot rates will be sufficient to enable such vessels to be operated profitably. A significant decrease in spot market rates or our inability to fully employ our vessels by taking advantage of the spot market would result in a reduction of the incremental revenue received from spot chartering and adversely affect our results of operations, including our profitability and cash flows, with the result that our ability to pay debt service and dividends could be impaired.</w:t>
      </w:r>
    </w:p>
    <w:p>
      <w:pPr>
        <w:spacing w:after="0" w:line="164"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Additionally, if spot market rates or short-term time charter rates become significantly lower than the time charter equivalent rates that some of our charterers are obligated to pay us under our existing charters, the charterers may have incentive to default under that charter or attempt to renegotiate the charter. If our charterers fail to pay their obligations, we would have to attempt to re-charter our vessels at lower charter rates, which would affect our ability to comply with our loan covenants and operate our vessels profitably. If we are not able to comply with our loan covenants and our lenders choose to accelerate our indebtedness and foreclose their liens, we could be required to sell vessels in our fleet and our ability to continue to conduct our business would be impaired.</w:t>
      </w:r>
    </w:p>
    <w:p>
      <w:pPr>
        <w:spacing w:after="0" w:line="300"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We depend upon significant customers for part of our revenues. The loss of one or more of these customers or a decline in the financial capability of our customers could materially adversely affect our financial performance.</w:t>
      </w:r>
    </w:p>
    <w:p>
      <w:pPr>
        <w:spacing w:after="0" w:line="62"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derive a significant part of our revenue from a small number of charterers. During the years ended December 31, 2020, 2019, and 2018, we derived approximately 38.0%, 44.8% and 36.7% respectively, of our gross revenues from continuing operations from four customers. For the year ended December 31, 2020, two customers accounted for 16.4% and 11.2%, respectively, of our revenue. For the year ended December 31, 2019, two customers accounted for 17.1% and 14.4%, respectively, of our revenue from continuing operations and are the same customers who accounted for 13.1% and 11.6%, respectively, of our revenue from continuing operations for the year ended December 31, 2018.</w:t>
      </w:r>
    </w:p>
    <w:p>
      <w:pPr>
        <w:spacing w:after="0" w:line="176"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We could lose a customer or the benefits of a time charter for many different reasons, including if the customer is unable or unwilling to make charter hire or other payments to us because of a deterioration in its financial condition, disagreements with us or if the charterer exercises certain termination rights or otherwise. Our customers may terminate a charter because we fail to deliver the vessel within a fixed period of time, the vessel is lost or damaged beyond repair, there are serious deficiencies in the vessel or prolonged periods of off-hire, or we default under the charter. The customer may terminate the charter because the vessel has been subject to seizure for more than a specified number of days. Charterers may also go bankrupt or fail to perform their obligations under the contracts, they may delay payments or suspend payments altogether, they may terminate the contracts prior to the agreed-upon expiration date or they may attempt to renegotiate the terms of the contracts.</w:t>
      </w:r>
    </w:p>
    <w:p>
      <w:pPr>
        <w:spacing w:after="0" w:line="166"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From time to time, we may have charters at above-market rates, such that any loss of such charter may require us to recharter the vessel at lower rates. Additionally, our charterers from time to time have sought to renegotiate their charter rates with us. We do not maintain insurance against the risk of default by our customers.</w:t>
      </w:r>
    </w:p>
    <w:p>
      <w:pPr>
        <w:spacing w:after="0" w:line="184"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The combination of any surplus of vessel capacity, the expected entry into service of new technologically advanced vessels, and the expected increase in the size of the world fleet over the next few years may make it difficult to secure substitute employment for any of our vessels if our counterparties fail to perform their obligations under the currently arranged time charters, and any new charter arrangements we are able to secure may be at lower rates. Furthermore, the surplus of capacity available at lower charter rates and lack of demand for our customers’ could negatively affect our charterers’ willingness to perform their obligations under our time charters, which in many cases provide for charter rates significantly above current market rates.</w:t>
      </w:r>
    </w:p>
    <w:p>
      <w:pPr>
        <w:spacing w:after="0" w:line="192" w:lineRule="exact"/>
        <w:rPr>
          <w:sz w:val="20"/>
          <w:szCs w:val="20"/>
          <w:color w:val="auto"/>
        </w:rPr>
      </w:pPr>
    </w:p>
    <w:p>
      <w:pPr>
        <w:ind w:left="120" w:right="160" w:firstLine="440"/>
        <w:spacing w:after="0" w:line="273" w:lineRule="auto"/>
        <w:rPr>
          <w:sz w:val="20"/>
          <w:szCs w:val="20"/>
          <w:color w:val="auto"/>
        </w:rPr>
      </w:pPr>
      <w:r>
        <w:rPr>
          <w:rFonts w:ascii="Arial" w:cs="Arial" w:eastAsia="Arial" w:hAnsi="Arial"/>
          <w:sz w:val="17"/>
          <w:szCs w:val="17"/>
          <w:color w:val="auto"/>
        </w:rPr>
        <w:t>If one or more of our customers does not perform under one or more contracts with us and we are not able to find a replacement contract, or if a customer exercises certain rights to terminate the contract, we could suffer a loss of revenues that could materially adversely affect our business, financial condition and results of operations, as we will not receive any revenues from such a vessel while it is un-chartered, but we will be required to pay expenses necessary to maintain and insure the vessel and service any indebtedness on it. Accordingly, we may have to grant concessions to our customers in the form of lower charter rates for the remaining duration of the relevant contract or part thereof, or to agree to re-charter vessels coming off contract at reduced rates compared to the contract then ended.</w:t>
      </w:r>
    </w:p>
    <w:p>
      <w:pPr>
        <w:spacing w:after="0" w:line="178" w:lineRule="exact"/>
        <w:rPr>
          <w:sz w:val="20"/>
          <w:szCs w:val="20"/>
          <w:color w:val="auto"/>
        </w:rPr>
      </w:pPr>
    </w:p>
    <w:p>
      <w:pPr>
        <w:jc w:val="both"/>
        <w:ind w:left="120" w:right="340" w:firstLine="440"/>
        <w:spacing w:after="0" w:line="311" w:lineRule="auto"/>
        <w:rPr>
          <w:sz w:val="20"/>
          <w:szCs w:val="20"/>
          <w:color w:val="auto"/>
        </w:rPr>
      </w:pPr>
      <w:r>
        <w:rPr>
          <w:rFonts w:ascii="Arial" w:cs="Arial" w:eastAsia="Arial" w:hAnsi="Arial"/>
          <w:sz w:val="16"/>
          <w:szCs w:val="16"/>
          <w:color w:val="auto"/>
        </w:rPr>
        <w:t>The failure of a customer to perform its obligations under a contract may increase our exposure to the spot market, which is subject to greater fluctuation than the time charter market. The loss of any of our charterers, time charters or vessels, or a decline in payments under our time charters, could have a material adverse effect on our business, results of operations and financial condition, as well as our cash flows.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We are subject to certain credit risks with respect to our counterparties on contracts, and the failure of such counterparties to meet their obligations could cause us to suffer losses on such contracts and thereby decrease revenues.</w:t>
      </w:r>
    </w:p>
    <w:p>
      <w:pPr>
        <w:spacing w:after="0" w:line="62" w:lineRule="exact"/>
        <w:rPr>
          <w:sz w:val="20"/>
          <w:szCs w:val="20"/>
          <w:color w:val="auto"/>
        </w:rPr>
      </w:pPr>
    </w:p>
    <w:p>
      <w:pPr>
        <w:ind w:left="120" w:right="120" w:firstLine="440"/>
        <w:spacing w:after="0" w:line="272" w:lineRule="auto"/>
        <w:rPr>
          <w:sz w:val="20"/>
          <w:szCs w:val="20"/>
          <w:color w:val="auto"/>
        </w:rPr>
      </w:pPr>
      <w:r>
        <w:rPr>
          <w:rFonts w:ascii="Arial" w:cs="Arial" w:eastAsia="Arial" w:hAnsi="Arial"/>
          <w:sz w:val="17"/>
          <w:szCs w:val="17"/>
          <w:color w:val="auto"/>
        </w:rPr>
        <w:t>We charter-out our vessels to other parties who pay us a daily rate of hire. We also enter into contracts of affreightment (“COAs”) pursuant to which we agree to carry cargoes, typically for industrial customers, who export or import dry bulk cargoes. We also enter into spot market voyage contracts, where we are paid a rate per ton to carry a specified cargo on a specified route. These contracts and arrangements subject us to counterparty credit risks at various levels. If the counterparties fail to meet their obligations, we could suffer losses on such contracts, which could materially adversely affect our financial condition and results of operations. In addition, if a charterer defaults on a time charter, we may only be able to enter into new contracts at lower rates. It is also possible that we would be unable to secure a charter at all. If we re-charter the vessel at lower rates or not at all, our financial condition and results of operations could be materially adversely affected.</w:t>
      </w:r>
    </w:p>
    <w:p>
      <w:pPr>
        <w:spacing w:after="0" w:line="285"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b w:val="1"/>
          <w:bCs w:val="1"/>
          <w:i w:val="1"/>
          <w:iCs w:val="1"/>
          <w:color w:val="auto"/>
        </w:rPr>
        <w:t>Trading and complementary hedging activities in freight and tonnage subject us to trading risks, and we may suffer trading losses, which could adversely affect our financial condition and results of operations.</w:t>
      </w:r>
    </w:p>
    <w:p>
      <w:pPr>
        <w:spacing w:after="0" w:line="62"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Due to dry bulk shipping market volatility, success in this shipping industry requires constant adjustment of the balance between chartering-out vessels for long periods of time and trading them on a spot basis. A long-term contract to charter a vessel might lock us into a profitable or unprofitable situation depending on the direction of freight rates over the term of the contract. We may seek to manage and mitigate that risk through trading and complementary hedging activities in freight and tonnage. There can be no assurance that we will be able at all times to successfully protect ourselves from volatility in the shipping market. We may not successfully mitigate our risks, leaving us exposed to unprofitable contracts, and may suffer trading losses resulting from these hedging activities.</w:t>
      </w:r>
    </w:p>
    <w:p>
      <w:pPr>
        <w:spacing w:after="0" w:line="300" w:lineRule="exact"/>
        <w:rPr>
          <w:sz w:val="20"/>
          <w:szCs w:val="20"/>
          <w:color w:val="auto"/>
        </w:rPr>
      </w:pPr>
    </w:p>
    <w:p>
      <w:pPr>
        <w:ind w:left="120" w:right="240"/>
        <w:spacing w:after="0" w:line="308" w:lineRule="auto"/>
        <w:rPr>
          <w:sz w:val="20"/>
          <w:szCs w:val="20"/>
          <w:color w:val="auto"/>
        </w:rPr>
      </w:pPr>
      <w:r>
        <w:rPr>
          <w:rFonts w:ascii="Arial" w:cs="Arial" w:eastAsia="Arial" w:hAnsi="Arial"/>
          <w:sz w:val="17"/>
          <w:szCs w:val="17"/>
          <w:b w:val="1"/>
          <w:bCs w:val="1"/>
          <w:i w:val="1"/>
          <w:iCs w:val="1"/>
          <w:color w:val="auto"/>
        </w:rPr>
        <w:t>We are subject to certain operating risks, including vessel breakdowns or accidents, that could result in a loss of revenue from the affected vessels which in turn could have a material adverse effect on our results of operations or financial condition.</w:t>
      </w:r>
    </w:p>
    <w:p>
      <w:pPr>
        <w:spacing w:after="0" w:line="38"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Our exposure to operating risks of vessel breakdown and accidents mainly arises in the context of our owned vessels or bareboat chartered-in and operated vessels, including barges, tankers and pushboats. If any of the vessels in our fleet suffers damage, it may need to be repaired at a drydocking facility. The costs of drydocking are unpredictable and can be substantial. The loss of earnings while these vessels, barges and pushboats are being repaired and repositioned, as well as the actual cost of these repairs, could decrease our revenues and earnings substantially, particularly if a number of vessels, barges and pushboats are damaged or drydocked at the same time. For the fleet which is or may be charter-in under time charters most operating risks relating to these time chartered vessels remain with their owners. If we pay hire on a charter-in vessel or barge at a lower rate than the rate of hire it receives from a sub-charterer to whom we have chartered out the vessel, a breakdown or loss of the vessel due to an operating risk suffered by the owner will, in all likelihood, result in our loss of the positive spread between the two rates of hire. Breakdowns accidents or drydocking costs involving our vessels and losses relating to chartered vessels that are not covered by insurance, would result in a loss of revenue from the affected vessels, which may materially adversely affect our financial condition and results of operations.</w:t>
      </w:r>
    </w:p>
    <w:p>
      <w:pPr>
        <w:spacing w:after="0" w:line="276"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b w:val="1"/>
          <w:bCs w:val="1"/>
          <w:i w:val="1"/>
          <w:iCs w:val="1"/>
          <w:color w:val="auto"/>
        </w:rPr>
        <w:t>The operation of ocean-going vessels entails the possibility of marine disasters including damage or destruction of the vessel due to accident, the loss of a vessel due to piracy or terrorism, damage or destruction of cargo and similar events that may cause a loss of revenue from affected vessels and damage our business reputation, which may in turn lead to loss of business, which could adversely affect our expenses, net income, cash flow and the price of our common stock.</w:t>
      </w:r>
    </w:p>
    <w:p>
      <w:pPr>
        <w:spacing w:after="0" w:line="79" w:lineRule="exact"/>
        <w:rPr>
          <w:sz w:val="20"/>
          <w:szCs w:val="20"/>
          <w:color w:val="auto"/>
        </w:rPr>
      </w:pPr>
    </w:p>
    <w:p>
      <w:pPr>
        <w:ind w:left="120" w:right="220" w:firstLine="440"/>
        <w:spacing w:after="0" w:line="271" w:lineRule="auto"/>
        <w:rPr>
          <w:sz w:val="20"/>
          <w:szCs w:val="20"/>
          <w:color w:val="auto"/>
        </w:rPr>
      </w:pPr>
      <w:r>
        <w:rPr>
          <w:rFonts w:ascii="Arial" w:cs="Arial" w:eastAsia="Arial" w:hAnsi="Arial"/>
          <w:sz w:val="17"/>
          <w:szCs w:val="17"/>
          <w:color w:val="auto"/>
        </w:rPr>
        <w:t>The operation of ocean-going vessels in international trade is inherently risky. The operation of drybulk carriers has certain unique risks. With a drybulk carrier, the cargo itself and its interaction with the vessel can be an operational risk. By their nature, certain drybulk cargoes are often heavy, dense, easily shifted, and may react badly to water exposure. In addition, drybulk carriers are often subjected to battering treatment during unloading operations with grabs, jackhammers (to pry encrusted cargoes out of the hold), and small bulldozers. This treatment may cause damage to the vessel. Vessels damaged due to harsh treatment during unloading procedures may be more susceptible to breach at sea. Hull breaches in drybulk carriers may lead to the flooding of the vessels’ holds. For example, if a drybulk carrier suffers flooding in its forward holds, the bulk cargo may become so dense and waterlogged that its pressure may buckle the vessel’s bulkheads leading to the loss of a vessel. We have procedures and policies in place to ameliorate these risks, including a robust inspection system.</w:t>
      </w:r>
    </w:p>
    <w:p>
      <w:pPr>
        <w:spacing w:after="0" w:line="178"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ownership and operation of ocean-going vessels in international trade is affected by a number of inherent risks, including mechanical failure, human error, personal injury, vessel and cargo loss or damage, business interruption due to political conditions in foreign countries, unexpected port closures, hostilities, disease and quarantine, piracy, war, terrorism, labor strikes and/or boycotts, adverse weather conditions and catastrophic marine disaster, including environmental accidents and collisions.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All of these risks could result in, death or injury to persons, loss of property or environmental damage, delays in the delivery of cargo, loss of revenues from or termination of charter contracts, governmental fines, penalties or restrictions on conducting business, litigation with our employees, customers third parties, or other liabilities, higher insurance rates, increased costs and damage to our reputation and customer relationships generally. Although we maintain hull and machinery and war risks insurance, as well as protection and indemnity insurance, which may cover certain risks of loss resulting from such occurrences, our insurance coverage may be subject to caps or not cover such losses and any of these circumstances or events could increase our costs or lower our revenues. The involvement of our vessels in an environmental disaster may harm our reputation as a safe and reliable vessel owner and operator. Any of these results could have a material adverse effect on business, results of operations and financial condition, as well as our cash flows.</w:t>
      </w:r>
    </w:p>
    <w:p>
      <w:pPr>
        <w:spacing w:after="0" w:line="192"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total loss or damage of any of our vessels or cargoes could harm our reputation as a safe and reliable vessel owner and operator. Any extended vessel off-hire, due to an accident or otherwise, or strikes, could have a materially adverse effect on our business. If we are unable to adequately maintain or safeguard our vessels, we may be unable to prevent any such damage, costs, or loss that could negatively impact our business, financial condition, results of operations, cash flows and ability to pay distributions.</w:t>
      </w:r>
    </w:p>
    <w:p>
      <w:pPr>
        <w:spacing w:after="0" w:line="295" w:lineRule="exact"/>
        <w:rPr>
          <w:sz w:val="20"/>
          <w:szCs w:val="20"/>
          <w:color w:val="auto"/>
        </w:rPr>
      </w:pPr>
    </w:p>
    <w:p>
      <w:pPr>
        <w:ind w:left="120" w:right="20"/>
        <w:spacing w:after="0" w:line="340" w:lineRule="auto"/>
        <w:rPr>
          <w:sz w:val="20"/>
          <w:szCs w:val="20"/>
          <w:color w:val="auto"/>
        </w:rPr>
      </w:pPr>
      <w:r>
        <w:rPr>
          <w:rFonts w:ascii="Arial" w:cs="Arial" w:eastAsia="Arial" w:hAnsi="Arial"/>
          <w:sz w:val="15"/>
          <w:szCs w:val="15"/>
          <w:b w:val="1"/>
          <w:bCs w:val="1"/>
          <w:i w:val="1"/>
          <w:iCs w:val="1"/>
          <w:color w:val="auto"/>
        </w:rPr>
        <w:t>We are subject to various laws, regulations, and international conventions, particularly environmental and safety laws, that could require significant expenditures both to maintain compliance with such laws and to pay for any uninsured environmental liabilities, including any resulting from a spill or other environmental incident, which could affect our expenses, net income, cash flow and the price of our common stock.</w:t>
      </w:r>
    </w:p>
    <w:p>
      <w:pPr>
        <w:spacing w:after="0" w:line="23"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Vessel owners and operators are subject to government regulation in the form of international conventions, and national, state, and local laws and regulations in the jurisdictions in which their vessels operate, in international waters, as well as in the country or countries where their vessels are registered. Such laws and regulations include those governing the management and disposal of hazardous substances and wastes, the cleanup of oil spills and other contamination, air emissions, discharges of operational and other wastes into the water, and ballast water management. In particular, ballast water management requirements will likely result in compliance costs relating to the installation of equipment on our vessels to treat ballast water before it is discharged and other additional ballast water management and reporting requirements. Investments in ballast water treatment may have a material adverse effect on our future performance, results of operations, cash flows and financial position.</w:t>
      </w:r>
    </w:p>
    <w:p>
      <w:pPr>
        <w:spacing w:after="0" w:line="177"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Port State regulation significantly affects the operation of vessels, as it commonly is more stringent than international rules and standards. This is the case particularly in the United States and, increasingly, in Europe. Non-compliances with such laws and regulations can give rise to civil or criminal liability, and/or vessel delays and detentions in the jurisdictions in which we operate.</w:t>
      </w:r>
    </w:p>
    <w:p>
      <w:pPr>
        <w:spacing w:after="0" w:line="184"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Our vessels are subject to scheduled and unscheduled inspections by regulatory and enforcement authorities, as well as private maritime industry entities. This includes inspections by Port State Control authorities, including the U.S. Coast Guard, harbor masters or equivalent entities, classification societies, flag Administrations (country in which the vessel is registered), charterers, and terminal operators. Certain of these entities require vessel owners to obtain permits, licenses, and certificates for the operation of their vessels. Failure to maintain necessary permits or approvals could require a vessel owner to incur substantial costs or temporarily suspend operation of one or more of its vessels.</w:t>
      </w:r>
    </w:p>
    <w:p>
      <w:pPr>
        <w:spacing w:after="0" w:line="176"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Heightened levels of environmental and quality concerns among insurance underwriters, regulators, and charterers continue to lead to greater inspection and safety requirements on all vessels and may accelerate the scrapping of older vessels throughout the industry. Increasing environmental concerns have created a demand for vessels that conform to stricter environmental standards. Vessel owners are required to maintain operating standards for all vessels that will emphasize operational safety, quality maintenance, continuous training of officers and crews, and compliance with U.S. and international regulations.</w:t>
      </w:r>
    </w:p>
    <w:p>
      <w:pPr>
        <w:spacing w:after="0" w:line="188"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The legal requirements and maritime industry standards to which we and our vessels are subject are set forth below, along with the risks associated therewith. We may be required to make substantial capital and other expenditures to ensure that we remain in compliance with these requirements and standards, as well as with standards imposed by our customers, including costs for ship modifications and changes in operating procedures. We also maintain insurance coverage against pollution liability risks for all of our vessels in the amount of $1.0 billion in the aggregate for any one event. The insured risks include penalties and fines, as well as civil liabilities and expenses resulting from accidental pollution. However, this insurance coverage is subject to exclusions, deductibles, and other terms and conditions. And, claims relating to pollution incidents for knowing violations of U.S. environmental laws or the International Convention for the Prevention of Pollution from Ships may be considered by our protection and indemnity associations on a discretionary basis only. If any liabilities or expenses fall within an exclusion from coverage, or if damages from a catastrophic incident exceed the aggregate liability of $1.0 billion for any one event, our cash flow, profitability and financial position would be adversely impacted.</w:t>
      </w:r>
    </w:p>
    <w:p>
      <w:pPr>
        <w:spacing w:after="0" w:line="166"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Because international conventions, laws, regulations, and other requirements are often revised, we cannot predict the ultimate cost of compliance or the impact on the fair market price or useful life of our vessels. Nor can we assure that our vessels will be able to attain and maintain certifications of compliance with various regulatory requirements.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Comparably, governmental regulation of the shipping industry, particularly in the areas of safety and environmental requirements, can be expected to become stricter in the future. We believe that the heightened environmental, quality, and security concerns of insurance underwriters, regulators, and charterers will lead to additional requirements, including enhanced risk assessment and security requirements, greater inspection and safety requirements, and heightened due diligence obligations. We also may be required to take certain of our vessels out of service for extended periods of time to address changing legal requirements, which would result in lost revenue. In the future, market conditions may not justify these expenditures or enable us to operate our vessels, particularly older vessels, profitably during the remainder of their economic lives. This could lead to significant asset write-downs.</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Specific examples of expected changes that could have a significant, and potentially material, impact on our business include:</w:t>
      </w:r>
    </w:p>
    <w:p>
      <w:pPr>
        <w:spacing w:after="0" w:line="131" w:lineRule="exact"/>
        <w:rPr>
          <w:sz w:val="20"/>
          <w:szCs w:val="20"/>
          <w:color w:val="auto"/>
        </w:rPr>
      </w:pPr>
    </w:p>
    <w:p>
      <w:pPr>
        <w:ind w:left="1080" w:right="240" w:hanging="424"/>
        <w:spacing w:after="0" w:line="311"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Limitations on sulfur oxide and nitrogen oxide emissions from ships could cause increased demand and higher prices for low sulfur fuel due to supply constraints, as well as significant cost increases due to the implementations of measures such as fuel switching, vessel modifications such as adding distillate fuel storage capacity, or installation of exhaust gas cleaning systems or scrubbers;</w:t>
      </w:r>
    </w:p>
    <w:p>
      <w:pPr>
        <w:spacing w:after="0" w:line="54" w:lineRule="exact"/>
        <w:rPr>
          <w:rFonts w:ascii="Arial" w:cs="Arial" w:eastAsia="Arial" w:hAnsi="Arial"/>
          <w:sz w:val="16"/>
          <w:szCs w:val="16"/>
          <w:color w:val="auto"/>
        </w:rPr>
      </w:pPr>
    </w:p>
    <w:p>
      <w:pPr>
        <w:ind w:left="1080" w:right="20" w:hanging="424"/>
        <w:spacing w:after="0" w:line="263"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Environmental requirements can affect the resale value or useful lives of our vessels, require a reduction in cargo capacity, vessel modifications or operational changes or restrictions, lead to decreased availability of, or more costly insurance coverage for, environmental matters or result in the denial of access to certain jurisdictional waters or ports.</w:t>
      </w:r>
    </w:p>
    <w:p>
      <w:pPr>
        <w:spacing w:after="0" w:line="89" w:lineRule="exact"/>
        <w:rPr>
          <w:rFonts w:ascii="Arial" w:cs="Arial" w:eastAsia="Arial" w:hAnsi="Arial"/>
          <w:sz w:val="18"/>
          <w:szCs w:val="18"/>
          <w:color w:val="auto"/>
        </w:rPr>
      </w:pPr>
    </w:p>
    <w:p>
      <w:pPr>
        <w:ind w:left="1080" w:right="480" w:hanging="424"/>
        <w:spacing w:after="0" w:line="286" w:lineRule="auto"/>
        <w:tabs>
          <w:tab w:leader="none" w:pos="10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Under local and national laws, as well as international treaties and conventions, we could incur material liabilities, including cleanup obligations and claims for natural resource damages, personal injury and/or property damages in the event that there is a release of petroleum or other hazardous materials from our vessels or otherwise in connection with our operations.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Climate change and government laws and regulations related to climate change could negatively impact our financial condition.</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We are and will be, directly and indirectly, subject to the effects of climate change and may, directly or indirectly, be affected by local and national laws, as well as international treaties and conventions, and implementing regulations related to climate change. Any passage of climate control treaties, legislation, or other regulatory initiatives by the IMO, the European Union, the United States or other countries where we operate that restrict emissions of greenhouse gases (“GHGs”) could require us to make significant financial expenditures that we cannot predict with certainty at this time. This could include, for example, the adoption of regulatory frameworks to reduce GHG emissions, such as carbon dioxide, methane and nitrogen oxides. The climate change efforts undertaken to date are detailed below.</w:t>
      </w:r>
    </w:p>
    <w:p>
      <w:pPr>
        <w:spacing w:after="0" w:line="192"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cannot predict with any degree of certainty what effect, if any, possible climate change and legal requirements relating to climate change will have on our operations. However, we believe that climate change, including the possible increases in severe weather events, and legal requirements relating to climate change may affect, directly or indirectly, (i) the cost of the vessels we may acquire in the future, (ii) our ability to continue to operate as we have in the past, (iii) the cost of operating our vessels, and (iv) insurance premiums and deductibles, and the availability of insurance coverage. As a result, our financial condition could be materially impacted by climate change and related legal requirements.</w:t>
      </w:r>
    </w:p>
    <w:p>
      <w:pPr>
        <w:spacing w:after="0" w:line="284"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b w:val="1"/>
          <w:bCs w:val="1"/>
          <w:i w:val="1"/>
          <w:iCs w:val="1"/>
          <w:color w:val="auto"/>
        </w:rPr>
        <w:t>We are subject to vessel security regulations and will incur costs to comply with recently adopted regulations and we may be subject to costs to comply with similar regulations that may be adopted in the future in response to terrorism.</w:t>
      </w:r>
    </w:p>
    <w:p>
      <w:pPr>
        <w:spacing w:after="0" w:line="62"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are subject to local and national laws, including in the United States, as well as international treaties and conventions, intended to enhance and ensure vessel security. These laws are detailed below. Navios has and will continue to implement the various security measures addressed by all applicable laws and will take measures for our vessels or vessels that we charter to attain compliance with all applicable security requirements within the prescribed time periods. Although management does not believe that these additional requirements will have a material financial impact on our operations, there can be no assurance that there will not be an interruption in operations to bring vessels into compliance with the applicable requirements and any such interruption could cause a decrease in charter revenues. Furthermore, additional security measures could be required in the future that could have significant financial impact on us.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Acts of piracy on ocean-going vessels could adversely affect our business.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Acts of piracy have historically affected ocean-going vessels trading in certain regions of the world, such as the South China Sea and the Gulf of Aden off the coast of Somalia. Piracy continues to occur in the Gulf of Aden off the coast of Somalia and increasingly in the Gulf of Guinea. Other areas where piracy has affected shipping include the Indian Ocean, the Strait of Malacca, the Arabian Sea, and the Mozambique Channel. Acts of piracy are a material risk to the shipping industry. Our vessels regularly travel through regions where pirates are active. Piracy not only increases our risk of loss of property and the cost of delay or detention, but it may also increase our risk of liability for death or personal injury. We may incur increased insurance premiums for “war risk”</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coverage or, if such insurance is unavailable, we may not be adequately insured to cover losses from these incidents, which could have a material adverse effect on our results of operations, financial condition and ability to make distributions. While we believe the charterer remains liable for charter payments when a vessel is seized by pirates, the charterer may dispute this and withhold charter hire until the vessel is released. Crew and security costs, could also increase in such circumstances. A charterer may also claim that a vessel seized by pirates was not “on-hire” for a certain number of days and it is therefore entitled to cancel the charter party, a claim that we would dispute. We may not be adequately insured to cover losses from acts of terrorism, piracy, regional conflicts and other armed actions, which could have a material adverse effect on our results of operations, financial condition and ability to make distributions.</w:t>
      </w:r>
    </w:p>
    <w:p>
      <w:pPr>
        <w:spacing w:after="0" w:line="195"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The cost of vessel security measures has also been affected by the escalation in recent years in the frequency and seriousness of acts of piracy against ships. Attacks of this kind have commonly resulted in vessels and their crews being detained for several months, and being released only on payment of large ransoms. Substantial loss of revenue and other costs may be incurred as a result of such detention. Although we insure against these losses to the extent practicable, the risk of uninsured losses which could significantly affect our business remains. Costs are incurred in taking additional security measures in accordance with Best Management Practices to Deter Piracy, notably those contained in the BMP3 industry standard. A number of flag States have signed the 2009 New York Declaration, which expresses commitment to Best Management Practices in relation to piracy and calls for compliance therewith them as an essential part of compliance with the International Ship and Port Facility Security Code (“ISPS Code”).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financial and operating performance may be adversely affected by the ongoing COVID-19 pandemic outbreak.</w:t>
      </w:r>
    </w:p>
    <w:p>
      <w:pPr>
        <w:spacing w:after="0" w:line="117"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Our business could be materially and adversely affected by the ongoing COVID-19 pandemic. The COVID-19 pandemic or other epidemics or pandemics could potentially result in delayed deliveries of our vessels under construction, disrupt our operations and significantly affect global markets, affecting the demand for our services, global demand for dry bulk vessels as well as the price of international freights and hires. If the effect of the COVID-19 pandemic is ongoing, we may be unable to charter our vessels at the rates or for the length of time we currently expect. The effects of the COVID-19 pandemic remain uncertain, and should customers be under financial pressure this could negatively affect our charterers’ willingness to perform their obligations under our time charters. The loss or termination of any of our time charters or a decline in payments under our time charters, could have a material adverse effect on our business, results of operations and financial condition, as well as our cash flows, including cash available for distributions.</w:t>
      </w:r>
    </w:p>
    <w:p>
      <w:pPr>
        <w:spacing w:after="0" w:line="192"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In addition, certain countries have introduced travel restrictions and adopted certain hygiene measures, including quarantining. European countries and the United States have adopted stringent measures to contain the spread of the virus. Any prolonged measure, or the reimplementation of previously lifted measures, may affect our normal operations and those of our Manager. All these measures have further affected the process of construction and repair of vessels, as well as the presence of workers in shipyards and, of administrative personnel in their offices, which could exceed previously calculated repair periods, causing our vessels to remain off-hire for longer periods than planned. We may face increased costs operating our vessels due to travel restrictions and quarantine requirements. Possible delays due to quarantine of our vessels caused by COVID-19 infection of our crew or other COVID-19 related disruptions may lead to the termination of charters leaving our vessels without employment. Any prolonged restrictive measures in order to control the COVID-19 pandemic or other adverse global public health developments may have a material and adverse effect on our business operations and demand for our vessels generally.</w:t>
      </w:r>
    </w:p>
    <w:p>
      <w:pPr>
        <w:spacing w:after="0" w:line="18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extent of the COVID-19 pandemic outbreak’s effect on our operational and financial performance will depend on future developments, including the duration, spread and intensity of the outbreak, any resurgence or mutation of the virus, the availability of vaccines and their global deployment, the development of effective treatments, the imposition of effective public safety and other protective measures and the public’s response to such measures. There continues to be a high level of uncertainty relating to how the pandemic will evolve, how governments and consumers will react and progress on the approval and distribution of vaccines, all of which are uncertain and difficult to predict considering the rapidly evolving landscape. As a result, the ultimate severity of the COVID-19 pandemic outbreak is uncertain at this time and therefore we cannot predict the impact it may have on our future operations, which impact could be material and adverse, particularly if the pandemic continues to evolve into a severe worldwide health crisis.</w:t>
      </w:r>
    </w:p>
    <w:p>
      <w:pPr>
        <w:spacing w:after="0" w:line="192" w:lineRule="exact"/>
        <w:rPr>
          <w:sz w:val="20"/>
          <w:szCs w:val="20"/>
          <w:color w:val="auto"/>
        </w:rPr>
      </w:pPr>
    </w:p>
    <w:p>
      <w:pPr>
        <w:ind w:left="120" w:right="440" w:firstLine="440"/>
        <w:spacing w:after="0" w:line="311" w:lineRule="auto"/>
        <w:rPr>
          <w:sz w:val="20"/>
          <w:szCs w:val="20"/>
          <w:color w:val="auto"/>
        </w:rPr>
      </w:pPr>
      <w:r>
        <w:rPr>
          <w:rFonts w:ascii="Arial" w:cs="Arial" w:eastAsia="Arial" w:hAnsi="Arial"/>
          <w:sz w:val="16"/>
          <w:szCs w:val="16"/>
          <w:color w:val="auto"/>
        </w:rPr>
        <w:t>At present, it is not possible to ascertain the overall impact of COVID-19 pandemic on our business. However, the occurrence of any of the foregoing events or other epidemics or an increase in the severity or duration of the COVID-19 pandemic or other epidemics could have a material adverse effect on our business, results of operations, cash flows, financial condition, value of our vessels, and ability to make distributions.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Governments could requisition our vessels during a period of war or emergency, resulting in a loss of earnings.</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A government of the jurisdiction where one or more of our vessels are registered could requisition one or more of our vessels for title or for hire. Requisition for title occurs when a government takes control of a vessel and becomes its owner, while requisition for hire occurs when a government takes control of a vessel and effectively becomes its charterer at dictated charter rates. Generally, requisitions occur during periods of war or emergency, although governments may elect to requisition vessels in other circumstances. Although we may be entitled to compensation in the event of a requisition of one or more of our vessels, the amount and timing of payment would be uncertain. Government requisition of one or more of our vessels may cause us to breach covenants in certain of our credit facilities, and could have a material adverse effect on our business, financial condition, cash flows, and results of operations.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smuggling of drugs or other contraband onto our vessels may lead to governmental claims against us.</w:t>
      </w:r>
    </w:p>
    <w:p>
      <w:pPr>
        <w:spacing w:after="0" w:line="117"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We expect that our vessels will call in ports where smugglers may attempt to hide drugs and other contraband on vessels, with or without the knowledge of crew members. To the extent our vessels are found with contraband, whether inside or attached to the hull of our vessel and whether with or without the knowledge of any of our crew, we may face reputational damage and governmental or other regulatory claims or penalties which could have an adverse effect on our business, results of operations, cash flows and financial condition, as well as our ability to maintain cash flows, including cash available for distributions to pay dividends to our stakeholders. Under some jurisdictions, vessels used for the conveyance of illegal drugs could subject result in forfeiture of the vessel to forfeiture to the government of such jurisdiction.</w:t>
      </w:r>
    </w:p>
    <w:p>
      <w:pPr>
        <w:spacing w:after="0" w:line="286" w:lineRule="exact"/>
        <w:rPr>
          <w:sz w:val="20"/>
          <w:szCs w:val="20"/>
          <w:color w:val="auto"/>
        </w:rPr>
      </w:pPr>
    </w:p>
    <w:p>
      <w:pPr>
        <w:ind w:left="120" w:right="120"/>
        <w:spacing w:after="0" w:line="342" w:lineRule="auto"/>
        <w:rPr>
          <w:sz w:val="20"/>
          <w:szCs w:val="20"/>
          <w:color w:val="auto"/>
        </w:rPr>
      </w:pPr>
      <w:r>
        <w:rPr>
          <w:rFonts w:ascii="Arial" w:cs="Arial" w:eastAsia="Arial" w:hAnsi="Arial"/>
          <w:sz w:val="16"/>
          <w:szCs w:val="16"/>
          <w:b w:val="1"/>
          <w:bCs w:val="1"/>
          <w:i w:val="1"/>
          <w:iCs w:val="1"/>
          <w:color w:val="auto"/>
        </w:rPr>
        <w:t>A failure to pass inspection by classification societies could result in one or more vessels being unemployable unless and until they pass inspection, resulting in a loss of revenues from such vessels for that period and a corresponding decrease in operating cash flows.</w:t>
      </w:r>
    </w:p>
    <w:p>
      <w:pPr>
        <w:spacing w:after="0" w:line="16"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hull and machinery of every commercial vessel must be inspected and approved by a classification society authorized by its country of registry. The classification society certifies that a vessel has been built and maintained, is safe and seaworthy in accordance with the applicable rules and regulations of the country of registry of the vessel and with SOLAS (as defined below). Our owned fleet is currently enrolled with Nippon Kaiji Kiokai, Bureau Veritas, Lloyd’s Register, DNVGL and American Bureau of Shipping.</w:t>
      </w:r>
    </w:p>
    <w:p>
      <w:pPr>
        <w:spacing w:after="0" w:line="18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 vessel must undergo an annual survey, an intermediate survey and a special survey. In lieu of a special survey, a vessel’s machinery may be on a continuous survey cycle, under which the machinery would be surveyed periodically over a five-year period. Our vessels are on special survey cycles for hull inspection and continuous survey cycles for machinery inspection. Every vessel is also required to be drydocked every two to three years for inspection of the underwater parts of such vessel.</w:t>
      </w:r>
    </w:p>
    <w:p>
      <w:pPr>
        <w:spacing w:after="0" w:line="18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If any vessel fails any annual survey, intermediate survey or special survey, the vessel may be unable to trade between ports and, therefore, would be unemployable, potentially causing a negative impact on our revenues due to the loss of revenues from such vessel until she is able to trade again. Further, if any vessel fails a classification survey and the condition giving rise to the failure is not cured within a reasonable time, the vessel may lose coverage under various insurance programs, including hull and machinery insurance and/or protection and indemnity insurance, which would result in a breach of relevant covenants under our financing arrangements. Failure to maintain the class of one or more of our vessels could have a material adverse effect on our financial condition and results of operations, as well as our cash flows.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Increased inspection procedures and tighter import and export controls could increase costs and disrupt our business.</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International shipping is subject to various security and customs inspection and related procedures in countries of origin and destination and trans-shipment points. Inspection procedures may result in the seizure of contents of our vessels, delays in the loading, offloading, trans-shipment or delivery and the levying of customs duties, fines or other penalties against us.</w:t>
      </w:r>
    </w:p>
    <w:p>
      <w:pPr>
        <w:spacing w:after="0" w:line="184"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It is possible that changes to inspection procedures could impose additional financial and legal obligations on us. Furthermore, changes to inspection procedures could also impose additional costs and obligations on our customers and future customers, and may, in certain cases, render the shipment of certain types of cargo uneconomical or impractical. Any such changes or developments may have a material adverse effect on our business, results of operations, cash flows and financial condition.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have adequate insurance to compensate us if we lose our vessels or to compensate third parties.</w:t>
      </w:r>
    </w:p>
    <w:p>
      <w:pPr>
        <w:spacing w:after="0" w:line="117"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There are a number of risks associated with the operation of ocean-going vessels, including mechanical failure, collision, fire, human error, war, terrorism, piracy, loss of life, contact with floating objects, property loss, cargo loss or damage and business interruption due to political circumstances in foreign countries, hostilities and labor strikes. Any of these events may result in loss of revenues, increased costs and decreased cash flows. In addition, the operation of any vessel is subject to the inherent possibility of marine disaster, including oil spills and other environmental mishaps.</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00"/>
          </w:cols>
          <w:pgMar w:left="320" w:top="459" w:right="4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There are also liabilities arising from owning and operating vessels in international trade. We procure insurance for our fleet in relation to risks commonly insured against by vessel owners and operators. Our current insurance includes (i) hull and machinery and war risk insurance covering damage to our vessels’ hulls and machinery from, among other things, collisions and contact with fixed and floating objects, (ii) war risks insurance covering losses associated with the outbreak or escalation of hostilities and (iii) protection and indemnity insurance (which includes environmental damage) covering, among other things, third-party and crew liabilities such as expenses resulting from the injury or death of crew members, passengers and other third parties, the loss or damage to cargo, third-party claims arising from collisions with other vessels, damage to other third-party property and pollution arising from oil or other substances, and salvage, towing and other related costs, including wreck removal.</w:t>
      </w:r>
    </w:p>
    <w:p>
      <w:pPr>
        <w:spacing w:after="0" w:line="166"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We do not currently maintain strike or off-hire insurance, which would cover the loss of revenue during extended vessel off-hire periods, such as those that occur during an unscheduled drydocking due to damage to the vessel from accidents except in cases of loss of hire up to a limited number of days due to war or a piracy event. Other events that may lead to off-hire periods include natural or man-made disasters that result in the closure of certain waterways and prevent vessels from entering or leaving certain ports. Accordingly, any extended vessel off-hire, due to an accident or otherwise, could have a material adverse effect on our business and our results of operations and operating cash flow.</w:t>
      </w:r>
    </w:p>
    <w:p>
      <w:pPr>
        <w:spacing w:after="0" w:line="176"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We can give no assurance that we are adequately insured against all risks or that our insurers will pay a particular claim. Even if our insurance coverage is adequate to cover our losses, we may not be able to obtain a timely replacement vessel in the event of a vessel loss. Under the terms of our credit facilities, we are subject to restrictions on the use of any proceeds we may receive from claims under our insurance policies.</w:t>
      </w:r>
    </w:p>
    <w:p>
      <w:pPr>
        <w:spacing w:after="0" w:line="149"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Because we obtain some of our insurance through protection and indemnity associations, we may also be subject to calls, or premiums, in amounts based not only on our own claim records, but also the claim records of all other members of the protection and indemnity associations. There is no cap on our liability exposure for such calls or premiums payable to our protection and indemnity association. Our payment of these calls could result in significant expenses to us, which could have a material adverse effect on our business, results of operations and financial condition. In addition, we cannot assure you that we will be able to renew our insurance policies on the same or commercially reasonable terms, or at all, in the future. For example, more stringent environmental regulations have led in the past to increased costs for, and in the future may result in the lack of availability of, protection and indemnity insurance against risks of environmental damage or pollution. Any uninsured or underinsured loss could harm our business, financial condition, cash flows and results of operations. In addition, our insurance may be voidable by the insurers as a result of certain of our actions, such as our vessels failing to maintain certification with applicable maritime self-regulatory organizations. Further, we cannot assure you that our insurance policies will cover all losses that we incur, or that disputes over insurance claims will not arise with our insurance carriers. Any claims covered by insurance would be subject to deductibles, and since it is possible that a large number of claims may be brought, the aggregate amount of these deductibles could be material. In addition, our insurance policies are subject to limitations and exclusions, which may increase our costs or lower our revenues, and could have a material adverse effect on our business, financial condition, cash flows and results of operations. A catastrophic oil spill or marine disaster could exceed our insurance coverage, which could have a material adverse effect on our business, results of operations and financial condition. Any uninsured or underinsured loss could harm our business and financial condition. In addition, the insurance may be voidable by the insurers as a result of certain actions, such as vessels failing to maintain required certification.</w:t>
      </w:r>
    </w:p>
    <w:p>
      <w:pPr>
        <w:spacing w:after="0" w:line="176"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Our charterers may in the future engage in legally permitted trading in locations or with persons which may still be subject to restrictions due to sanctions or boycott. However, no vessels in our fleet have called on ports in sanctioned countries or countries designated as state sponsors of terrorism by the U.S. State Department, including Iran, Syria, or Sudan. Our insurers may be contractually or by operation of law prohibited from honoring our insurance contract for such trading on such locations or countries or trading with such persons, which could result in reduced insurance coverage for losses incurred by the related vessels. Changes in the insurance markets attributable to the risk of terrorism in certain locations around the world could make it difficult for us to obtain certain types of coverage. In addition, the insurance that may be available to us may be significantly more expensive than our existing coverage. Furthermore, our insurers and we may be prohibited from posting or otherwise be unable to post security in respect of any incident in such locations or countries or as a result of trading with such persons, resulting in the loss of use of the relevant vessel and negative publicity for our Company which could negatively impact our business, results of operations, cash flows and stock price.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We may be subject to litigation that, if not resolved in our favor or not sufficiently insured against, could have a material adverse effect on us.</w:t>
      </w:r>
    </w:p>
    <w:p>
      <w:pPr>
        <w:spacing w:after="0" w:line="140"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We have been and may be, from time to time, involved in various litigation matters. These matters may include, among other things, contract disputes, personal injury claims, environmental claims or proceedings, potential costs due to environmental damage and vessel collisions, and other tort claims, employment matters, governmental claims for taxes or duties, and other litigation that arises in the ordinary course of our business. We cannot predict with certainty the outcome or effect of any claim or other litigation matter, and the ultimate outcome of any litigation or the potential costs to resolve them may have a material adverse effect on us. Insurance may not be applicable or sufficient in all cases and/or insurers may not remain solvent which may have a material adverse effect on our financial condition.</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In the past, class action litigation has often been brought against companies following periods of volatility in the market price of those companies’ common stock. We may become involved in this type of litigation in the future. Litigation is often expensive and diverts management’s attention and company resources and could have a material effect on our business, financial condition and operating results.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Maritime claimants could arrest or attach one or more of our vessels, which could interrupt our cash flow.</w:t>
      </w:r>
    </w:p>
    <w:p>
      <w:pPr>
        <w:spacing w:after="0" w:line="117"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Crew members, suppliers of goods and services to a vessel, shippers or receivers of cargo and other parties may be entitled to a maritime lien against a vessel for unsatisfied debts, claims or damages, including, in some jurisdictions, for debts incurred by previous owners. In many jurisdictions, a maritime lien-holder may enforce its lien by arresting a vessel. The arrest or attachment of one or more of our vessels, if such arrest or attachment is not timely discharged, could cause us to default on a charter or breach covenants in certain of our credit facilities, could interrupt our cash flows and could require us to pay large sums of money to have the arrest or attachment lifted. Any of these occurrences could have a material adverse effect on our business, results of operations and financial condition as well as our cash flows.</w:t>
      </w:r>
    </w:p>
    <w:p>
      <w:pPr>
        <w:spacing w:after="0" w:line="178"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In addition, in some jurisdictions, such as South Africa, under the “sister ship” theory of liability, a claimant may arrest both the vessel which is subject to the claimant’s maritime lien and any “associated” vessel, which is any vessel owned or controlled by the same owner. Claimants could try to assert “sister ship” liability against one vessel in our fleet for claims relating to another ship in the fleet.</w:t>
      </w:r>
    </w:p>
    <w:p>
      <w:pPr>
        <w:spacing w:after="0" w:line="292"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b w:val="1"/>
          <w:bCs w:val="1"/>
          <w:i w:val="1"/>
          <w:iCs w:val="1"/>
          <w:color w:val="auto"/>
        </w:rPr>
        <w:t>The risks and costs associated with vessels increase as the vessels age or the aging of our vessels may result in increased operating costs in the future, which could adversely affect our earnings.</w:t>
      </w:r>
    </w:p>
    <w:p>
      <w:pPr>
        <w:spacing w:after="0" w:line="62"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The costs to operate and maintain a vessel in operation increase with the age of the vessel. As our fleet ages, we will incur increased costs. The average age of the vessels in our fleet is 8.2 years, basis fully delivered fleet, and most dry bulk vessels have an expected life of approximately 25 years. We may acquire older vessels in the future. In some instances, charterers prefer newer vessels that are more fuel efficient than older vessels. Cargo insurance rates also increase with the age of a vessel, making older vessels less desirable to charterers as well. Therefore, as vessels age it can be more difficult to employ them on profitable time charters, particularly during periods of decreased demand in the charter market. Accordingly, we may find it difficult to continue to find profitable employment for our vessels as they age. Governmental regulations, safety or other equipment standards related to the age of the vessels may require expenditures for alterations or the addition of new equipment to our vessels and may restrict the type of activities in which these vessels may engage. Older vessels may require longer and more expensive drydockings, resulting in more off-hire days and reduced revenue. We cannot assure you that, as our vessels age, market conditions will justify those expenditures or enable us to operate our vessels profitably during the remainder of their useful lives. If we sell vessels, we may have to sell them at a loss, and if charterers no longer charter-out vessels due to their age, our earnings could be materially adversely affected.</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Technological innovation could reduce our charter hire income and the value of our vessels.</w:t>
      </w:r>
    </w:p>
    <w:p>
      <w:pPr>
        <w:spacing w:after="0" w:line="117" w:lineRule="exact"/>
        <w:rPr>
          <w:sz w:val="20"/>
          <w:szCs w:val="20"/>
          <w:color w:val="auto"/>
        </w:rPr>
      </w:pPr>
    </w:p>
    <w:p>
      <w:pPr>
        <w:ind w:left="120" w:right="120" w:firstLine="440"/>
        <w:spacing w:after="0" w:line="270" w:lineRule="auto"/>
        <w:rPr>
          <w:sz w:val="20"/>
          <w:szCs w:val="20"/>
          <w:color w:val="auto"/>
        </w:rPr>
      </w:pPr>
      <w:r>
        <w:rPr>
          <w:rFonts w:ascii="Arial" w:cs="Arial" w:eastAsia="Arial" w:hAnsi="Arial"/>
          <w:sz w:val="17"/>
          <w:szCs w:val="17"/>
          <w:color w:val="auto"/>
        </w:rPr>
        <w:t>The charter hire rates and the value and operational life of a vessel are determined by a number of factors including the vessel’s efficiency, operational flexibility and physical life. Efficiency includes speed, fuel economy, loading and discharging speed and personnel required to operate. The potential introduction of remote controlled or autonomous vessels, which would significantly reduce or eliminate the costs of crew and victuals, could put our vessels at an efficiency disadvantage. Flexibility includes the ability to enter harbors, utilize related docking facilities and pass through canals and straits. The length of a vessel’s physical life is related to its original design and construction, its maintenance and the impact of the stress of operations. If new vessels are built that are more efficient or more flexible or have longer physical lives than our vessels, competition from these more technologically advanced vessels could adversely affect the amount of charter hire payments we receive for our vessels upon expiration of their current charters and the resale value of our vessels could significantly decrease. This could adversely affect our revenues and cash flows, our results of operations and financial condition and our ability to service our debt.</w:t>
      </w:r>
    </w:p>
    <w:p>
      <w:pPr>
        <w:spacing w:after="0" w:line="28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b w:val="1"/>
          <w:bCs w:val="1"/>
          <w:i w:val="1"/>
          <w:iCs w:val="1"/>
          <w:color w:val="auto"/>
        </w:rPr>
        <w:t>A number of owners have ordered so-called “eco-type” vessel designs or have retrofitted scrubbers to remove sulphur from exhaust gases, which may offer substantial bunker savings as compared to older designs or vessels without exhaust gas scrubbers. Increased demand for and supply of “eco-type” or scrubber retrofitted vessels could reduce demand for our vessels that are not classified as such and expose us to lower vessel utilization and/or decreased charter rates.</w:t>
      </w:r>
    </w:p>
    <w:p>
      <w:pPr>
        <w:spacing w:after="0" w:line="7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New eco-type vessel designs or scrubber retrofits purport to offer material bunker savings compared to older designs, including certain of our vessels. Fitting scrubbers will allow a ship to consume high sulphur fuel oil (“HSFO”) which is expected to be cheaper than the low sulphur fuel oil (“LSFO”) that ships without scrubbers must consume to comply with the IMO 2020 low sulphur emission requirements. Such savings could result in a substantial reduction of bunker cost for charterers compared to such vessels of our fleet which may not have scrubbers. As the supply of such “eco-type” or scrubber retrofitted vessels increases, if the differential</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80"/>
        <w:spacing w:after="0" w:line="263" w:lineRule="auto"/>
        <w:rPr>
          <w:sz w:val="20"/>
          <w:szCs w:val="20"/>
          <w:color w:val="auto"/>
        </w:rPr>
      </w:pPr>
      <w:r>
        <w:rPr>
          <w:rFonts w:ascii="Arial" w:cs="Arial" w:eastAsia="Arial" w:hAnsi="Arial"/>
          <w:sz w:val="18"/>
          <w:szCs w:val="18"/>
          <w:color w:val="auto"/>
        </w:rPr>
        <w:t>between the cost of HSFO and LSFO remains high, or if charterers prefer such vessels over our vessels that are not classified as such, this may reduce demand for our non-“eco-type”, non-scrubber retrofitted vessels, impair our ability to re-charter such vessels at competitive rates and have a material adverse effect on our business, financial condition, cash flows and results of operations.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Fuel price fluctuations may have an adverse effect on our profits.</w:t>
      </w:r>
    </w:p>
    <w:p>
      <w:pPr>
        <w:spacing w:after="0" w:line="117" w:lineRule="exact"/>
        <w:rPr>
          <w:sz w:val="20"/>
          <w:szCs w:val="20"/>
          <w:color w:val="auto"/>
        </w:rPr>
      </w:pPr>
    </w:p>
    <w:p>
      <w:pPr>
        <w:ind w:left="120" w:right="140" w:firstLine="440"/>
        <w:spacing w:after="0" w:line="254" w:lineRule="auto"/>
        <w:rPr>
          <w:sz w:val="20"/>
          <w:szCs w:val="20"/>
          <w:color w:val="auto"/>
        </w:rPr>
      </w:pPr>
      <w:r>
        <w:rPr>
          <w:rFonts w:ascii="Arial" w:cs="Arial" w:eastAsia="Arial" w:hAnsi="Arial"/>
          <w:sz w:val="18"/>
          <w:szCs w:val="18"/>
          <w:color w:val="auto"/>
        </w:rPr>
        <w:t>The cost of fuel is a significant factor in negotiating charter rates and can affect us in both direct and indirect ways. This cost will be borne by us when our vessels are not employed or are employed on voyage charters or contracts of affreightment so an increase in the price of fuel beyond our expectations may adversely affect our profitability. Even where the cost of fuel is borne by the charterer, which is the case with all of our existing time charters that cost may affect the level of charter rates that charterers are prepared to pay. Rising costs of fuel will make our older and less fuel efficient vessels less competitive compared to the more fuel efficient newer vessels or compared with vessels which can utilize less expensive fuel and may reduce their charter hire, limit their employment opportunities and force us to employ them at a discount compared to the charter rates commanded by more fuel efficient vessels or not at all.</w:t>
      </w:r>
    </w:p>
    <w:p>
      <w:pPr>
        <w:spacing w:after="0" w:line="195"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Falling costs of fuel may lead our charterers to abandon slow steaming, thereby releasing additional capacity into the market and exerting downward pressure on charter rates or may lead our charterers to employ older, less fuel efficient vessels which may drive down charter rates and make it more difficult for us to secure employment for our newer vessels.</w:t>
      </w:r>
    </w:p>
    <w:p>
      <w:pPr>
        <w:spacing w:after="0" w:line="184"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The price and supply of fuel is unpredictable and fluctuates based on events outside our control, including geo-political developments, supply and demand for oil, actions by members of the OPEC and other oil and gas producers, economic or other sanctions levied against oil and gas producing countries, war and unrest in oil producing countries and regions, regional production patterns and environmental concerns and regulations.</w:t>
      </w:r>
    </w:p>
    <w:p>
      <w:pPr>
        <w:spacing w:after="0" w:line="257"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b w:val="1"/>
          <w:bCs w:val="1"/>
          <w:i w:val="1"/>
          <w:iCs w:val="1"/>
          <w:color w:val="auto"/>
        </w:rPr>
        <w:t>If we fail to manage our growth properly, we may not be able to expand our fleet successfully, which may adversely affect our overall financial position.</w:t>
      </w:r>
    </w:p>
    <w:p>
      <w:pPr>
        <w:spacing w:after="0" w:line="62"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We may intend to grow our fleet, either through purchases, ordering newbuilt vessels, increasing the number of charter-in vessels or through the acquisitions of businesses. The addition of vessels to our fleet or the acquisition of new businesses will impose significant additional responsibilities on our management. We will also have to increase our customer base to provide continued employment for the new vessels. Our growth will depend on:</w:t>
      </w:r>
    </w:p>
    <w:p>
      <w:pPr>
        <w:spacing w:after="0" w:line="54" w:lineRule="exact"/>
        <w:rPr>
          <w:sz w:val="20"/>
          <w:szCs w:val="20"/>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ongoing and anticipated economic conditions and charter rates;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locating and acquiring suitable vessels;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identifying reputable shipyards with available capacity and contracting with them for the construction of new vessels at reasonable prices;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consummating acquisitions or joint ventures;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integrating any acquired vessels successfully with our existing operations;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enhancing our customer base;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managing our expansion;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obtaining required financing, which could include debt, equity or combinations thereof.</w:t>
      </w:r>
    </w:p>
    <w:p>
      <w:pPr>
        <w:spacing w:after="0" w:line="225"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During periods in which charter rates are high, vessel values are generally high as well, and it may be difficult to consummate ship acquisitions or potentially enter into shipbuilding contracts in the future at favorable prices. During periods in which charter rates are low and employment is scarce, vessel values are low and any vessel acquired without time charter attached will automatically incur additional expenses to operate, insure, maintain and finance the vessel thereby significantly increasing the acquisition cost. In addition, any vessel acquisition may not be profitable at or after the time of acquisition and may not generate cash flows sufficient to justify the investment. We may not be successful in executing any future growth plans and we cannot give any assurance that we will not incur significant expenses and losses in connection with such growth efforts.</w:t>
      </w:r>
    </w:p>
    <w:p>
      <w:pPr>
        <w:spacing w:after="0" w:line="164"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Growing any business by acquisition presents numerous risks such as undisclosed liabilities and obligations, difficulty in obtaining additional qualified personnel, continuing to meet technical and safety performance standards, managing relationships with customers and suppliers, dealing with potential delays in deliveries of newbuilding vessels and integrating newly acquired operations into existing infrastructures. We may not be successful in executing our growth plans. We may incur significant expenses and losses in connection therewith or our acquisitions may not perform as expected, which could materially adversely affect our results of operations and financial condition.</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00"/>
          </w:cols>
          <w:pgMar w:left="320" w:top="459" w:right="4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We may be unable to make or realize expected benefits from acquisitions, and implementing our growth strategy through acquisitions may harm our business, financial condition and operating results.</w:t>
      </w:r>
    </w:p>
    <w:p>
      <w:pPr>
        <w:spacing w:after="0" w:line="62"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Our growth strategy focuses on a gradual expansion of our fleet. Any acquisition of a vessel or a company may not be profitable to us at or after the time we acquire it and may not generate cash flow sufficient to justify our investment. We may also fail to realize anticipated benefits of our growth, such as new customer relationships, cost-savings or cash flow enhancements, or we may be unable to hire, train or retain qualified shore and seafaring personnel to manage and operate our growing business and fleet.</w:t>
      </w:r>
    </w:p>
    <w:p>
      <w:pPr>
        <w:spacing w:after="0" w:line="187" w:lineRule="exact"/>
        <w:rPr>
          <w:sz w:val="20"/>
          <w:szCs w:val="20"/>
          <w:color w:val="auto"/>
        </w:rPr>
      </w:pPr>
    </w:p>
    <w:p>
      <w:pPr>
        <w:jc w:val="both"/>
        <w:ind w:left="120" w:right="40" w:firstLine="440"/>
        <w:spacing w:after="0" w:line="311" w:lineRule="auto"/>
        <w:rPr>
          <w:sz w:val="20"/>
          <w:szCs w:val="20"/>
          <w:color w:val="auto"/>
        </w:rPr>
      </w:pPr>
      <w:r>
        <w:rPr>
          <w:rFonts w:ascii="Arial" w:cs="Arial" w:eastAsia="Arial" w:hAnsi="Arial"/>
          <w:sz w:val="16"/>
          <w:szCs w:val="16"/>
          <w:color w:val="auto"/>
        </w:rPr>
        <w:t>Our growth strategy could decrease our liquidity by using a significant portion of our available cash or borrowing capacity to finance acquisitions. To the extent that we incur additional debt to finance acquisitions, it could significantly increase our interest expense or financial leverage. We may also incur other significant charges, such as impairment of goodwill or other intangible assets, asset devaluation or restructuring charges.</w:t>
      </w:r>
    </w:p>
    <w:p>
      <w:pPr>
        <w:spacing w:after="0" w:line="149"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Additionally, the marine transportation and logistics industries are capital intensive, traditionally using substantial amounts of indebtedness to finance vessel acquisitions, capital expenditures and working capital needs. If we finance the purchase of our vessels through the issuance of debt securities, it could result in:</w:t>
      </w:r>
    </w:p>
    <w:p>
      <w:pPr>
        <w:spacing w:after="0" w:line="89" w:lineRule="exact"/>
        <w:rPr>
          <w:sz w:val="20"/>
          <w:szCs w:val="20"/>
          <w:color w:val="auto"/>
        </w:rPr>
      </w:pPr>
    </w:p>
    <w:p>
      <w:pPr>
        <w:ind w:left="1080" w:right="22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cash flow after a business combination or asset acquisition were insufficient to pay our debt obligations;</w:t>
      </w:r>
    </w:p>
    <w:p>
      <w:pPr>
        <w:spacing w:after="0" w:line="75" w:lineRule="exact"/>
        <w:rPr>
          <w:rFonts w:ascii="Arial" w:cs="Arial" w:eastAsia="Arial" w:hAnsi="Arial"/>
          <w:sz w:val="18"/>
          <w:szCs w:val="18"/>
          <w:color w:val="auto"/>
        </w:rPr>
      </w:pPr>
    </w:p>
    <w:p>
      <w:pPr>
        <w:ind w:left="1080" w:right="320" w:hanging="424"/>
        <w:spacing w:after="0" w:line="263"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acceleration of our obligations to repay the indebtedness even if we have made all principal and interest payments when due if the debt security contained covenants that required the maintenance of certain financial ratios or reserves and any such covenant was breached without a waiver or renegotiation of that covenant;</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security was payable on demand; and</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inability to obtain additional financing, if necessary, if the debt security contained covenants restricting our ability to obtain additional financing while such security was outstanding.</w:t>
      </w:r>
    </w:p>
    <w:p>
      <w:pPr>
        <w:spacing w:after="0" w:line="170"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In addition, our business plan and strategy is predicated on buying vessels at what we believe is near the low end of the cycle in what has typically been a cyclical industry. However, there is no assurance that shipping rates and vessels asset values will not sink lower, or that there will be an upswing in shipping costs or vessel asset values in the near-term or at all, in which case our business plan and strategy may not succeed in the near-term or at all. Growing any business by acquisition presents numerous risks such as undisclosed liabilities and obligations, difficulty experienced in obtaining additional qualified personnel and managing relationships with customers and suppliers and integrating newly acquired operations into existing infrastructures. We may not be successful in growing and may incur significant expenses and losses.</w:t>
      </w:r>
    </w:p>
    <w:p>
      <w:pPr>
        <w:spacing w:after="0" w:line="286" w:lineRule="exact"/>
        <w:rPr>
          <w:sz w:val="20"/>
          <w:szCs w:val="20"/>
          <w:color w:val="auto"/>
        </w:rPr>
      </w:pPr>
    </w:p>
    <w:p>
      <w:pPr>
        <w:ind w:left="120" w:right="620"/>
        <w:spacing w:after="0" w:line="342" w:lineRule="auto"/>
        <w:rPr>
          <w:sz w:val="20"/>
          <w:szCs w:val="20"/>
          <w:color w:val="auto"/>
        </w:rPr>
      </w:pPr>
      <w:r>
        <w:rPr>
          <w:rFonts w:ascii="Arial" w:cs="Arial" w:eastAsia="Arial" w:hAnsi="Arial"/>
          <w:sz w:val="16"/>
          <w:szCs w:val="16"/>
          <w:b w:val="1"/>
          <w:bCs w:val="1"/>
          <w:i w:val="1"/>
          <w:iCs w:val="1"/>
          <w:color w:val="auto"/>
        </w:rPr>
        <w:t>Delays in deliveries of secondhand vessels, our decision to cancel an order for purchase of a vessel or our inability to otherwise complete the acquisitions of additional vessels for our fleet, could harm our business, financial condition and results of operations.</w:t>
      </w:r>
    </w:p>
    <w:p>
      <w:pPr>
        <w:spacing w:after="0" w:line="16"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We expect to purchase secondhand vessels from time to time. The delivery of these vessels could be delayed, not completed or cancelled, which would delay or eliminate our expected receipt of revenues from the employment of these vessels. The seller could fail to deliver these vessels to us as agreed, or we could cancel a purchase contract because the seller has not met its obligations. The ability and willingness of each of our counterparties to perform its obligations under a contract with us will depend upon a number of factors that are beyond our control and may include, among other things, general economic conditions, the condition of the dry market and charter hire rates.</w:t>
      </w:r>
    </w:p>
    <w:p>
      <w:pPr>
        <w:spacing w:after="0" w:line="176" w:lineRule="exact"/>
        <w:rPr>
          <w:sz w:val="20"/>
          <w:szCs w:val="20"/>
          <w:color w:val="auto"/>
        </w:rPr>
      </w:pPr>
    </w:p>
    <w:p>
      <w:pPr>
        <w:ind w:left="120" w:right="480" w:firstLine="440"/>
        <w:spacing w:after="0" w:line="263" w:lineRule="auto"/>
        <w:rPr>
          <w:sz w:val="20"/>
          <w:szCs w:val="20"/>
          <w:color w:val="auto"/>
        </w:rPr>
      </w:pPr>
      <w:r>
        <w:rPr>
          <w:rFonts w:ascii="Arial" w:cs="Arial" w:eastAsia="Arial" w:hAnsi="Arial"/>
          <w:sz w:val="18"/>
          <w:szCs w:val="18"/>
          <w:color w:val="auto"/>
        </w:rPr>
        <w:t>If the delivery of any vessel is materially delayed or cancelled, especially if we have committed the vessel to a charter for which we become responsible for substantial liquidated damages to the customer as a result of the delay or cancellation, we could sustain significant losses and our business, financial condition and results of operations could be adversely affected.</w:t>
      </w:r>
    </w:p>
    <w:p>
      <w:pPr>
        <w:spacing w:after="0" w:line="292"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b w:val="1"/>
          <w:bCs w:val="1"/>
          <w:i w:val="1"/>
          <w:iCs w:val="1"/>
          <w:color w:val="auto"/>
        </w:rPr>
        <w:t>If we purchase any newbuilding vessels, delays, cancellations or non-completion of deliveries of newbuilding vessels could harm our operating results.</w:t>
      </w:r>
    </w:p>
    <w:p>
      <w:pPr>
        <w:spacing w:after="0" w:line="62"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If we purchase any newbuilding vessels, the shipbuilder could fail to deliver the newbuilding vessel as agreed or their counterparty could cancel the purchase contract if the shipbuilder fails to meet its obligations. In addition, under charters we may enter into that are related to a newbuilding, if our delivery of the newbuilding to our customer is delayed, we may be required to pay liquidated damages during such delay. For prolonged delays, the customer may terminate the charter and, in addition to the resulting loss of revenues, we may be responsible for additional, substantial liquidated damages. We do not derive any revenue from a vessel until after its delivery and are required to pay substantial sums as progress payments during construction of a newbuilding. While we expect to have refund guarantees from financial institutions with respect to such progress payments in the event the vessel is not delivered by the shipyard or is otherwise not accepted by us, there is the potential that we may not be able to collect all portions of such refund guarantees, in which case we would lose the amounts we have advanced to the shipyards for such progress payments.</w:t>
      </w:r>
    </w:p>
    <w:p>
      <w:pPr>
        <w:sectPr>
          <w:pgSz w:w="11900" w:h="16838" w:orient="portrait"/>
          <w:cols w:equalWidth="0" w:num="1">
            <w:col w:w="11120"/>
          </w:cols>
          <w:pgMar w:left="320" w:top="459" w:right="459" w:bottom="1440" w:gutter="0" w:footer="0" w:header="0"/>
        </w:sectPr>
      </w:pP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120"/>
          </w:cols>
          <w:pgMar w:left="320" w:top="459" w:right="45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completion and delivery of newbuildings could be delayed, cancelled or otherwise not completed because of:</w:t>
      </w:r>
    </w:p>
    <w:p>
      <w:pPr>
        <w:spacing w:after="0" w:line="131" w:lineRule="exact"/>
        <w:rPr>
          <w:sz w:val="20"/>
          <w:szCs w:val="20"/>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quality or engineering problems;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governmental regulations or maritime self-regulatory organization standards;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work stoppages or other labor disturbances at the shipyard;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bankruptcy or other financial crisis of the shipbuilder;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backlog of orders at the shipyard;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epidemics, pandemics, natural or man-made disasters;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political or economic disturbances;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weather interference or catastrophic event, such as a major earthquake or fire;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requests for changes to the original vessel specifications;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shortages of or delays in the receipt of necessary construction materials, such as steel;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shortages of or delays in the receipt of necessary component machinery or equipment;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inability to finance the construction or conversion of the vessels;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inability to obtain requisite permits or approvals.</w:t>
      </w:r>
    </w:p>
    <w:p>
      <w:pPr>
        <w:spacing w:after="0" w:line="225"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If delivery of a vessel is materially delayed, it could materially adversely affect our results of operations and financial condition and our ability to make cash distributions.</w:t>
      </w:r>
    </w:p>
    <w:p>
      <w:pPr>
        <w:spacing w:after="0" w:line="278"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b w:val="1"/>
          <w:bCs w:val="1"/>
          <w:i w:val="1"/>
          <w:iCs w:val="1"/>
          <w:color w:val="auto"/>
        </w:rPr>
        <w:t>If we expand the size of our fleet in the future, we generally will be required to make significant installment payments for acquisitions of vessels even prior to their delivery and generation of revenue. Depending on whether we finance our expenditures through cash from operations or by issuing debt or equity securities, our ability to make cash distributions, to the extent we are making distributions, may be diminished or our financial leverage could increase or our stockholders could be diluted.</w:t>
      </w:r>
    </w:p>
    <w:p>
      <w:pPr>
        <w:spacing w:after="0" w:line="63" w:lineRule="exact"/>
        <w:rPr>
          <w:sz w:val="20"/>
          <w:szCs w:val="20"/>
          <w:color w:val="auto"/>
        </w:rPr>
      </w:pPr>
    </w:p>
    <w:p>
      <w:pPr>
        <w:ind w:left="120" w:right="180" w:firstLine="440"/>
        <w:spacing w:after="0" w:line="301" w:lineRule="auto"/>
        <w:rPr>
          <w:sz w:val="20"/>
          <w:szCs w:val="20"/>
          <w:color w:val="auto"/>
        </w:rPr>
      </w:pPr>
      <w:r>
        <w:rPr>
          <w:rFonts w:ascii="Arial" w:cs="Arial" w:eastAsia="Arial" w:hAnsi="Arial"/>
          <w:sz w:val="16"/>
          <w:szCs w:val="16"/>
          <w:color w:val="auto"/>
        </w:rPr>
        <w:t>The actual cost of a vessel varies significantly depending on the market price, the size and specifications of the vessel, governmental regulations and maritime self-regulatory organization standards. If we purchase additional vessels in the future, we generally will be required to make installment payments prior to their delivery. If we finance these acquisition costs by issuing debt or equity securities, we will increase the aggregate amount of interest payments or distributions, to the extent we are making distributions, prior to generating cash from the operation of the vessel.</w:t>
      </w:r>
    </w:p>
    <w:p>
      <w:pPr>
        <w:spacing w:after="0" w:line="15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To fund the remaining portion of these and other capital expenditures, we will be required to use cash from operations or raise capital through the sale of debt or additional equity securities. Use of cash from operations may reduce or eliminate cash available for distributions to stockholders. Our ability to obtain bank financing or to access the capital markets for future offerings may be limited by our financial condition at the time of any such financing or offering as well as by adverse market conditions resulting from, among other things, general economic conditions and contingencies and uncertainties that are beyond our control. Our failure to obtain the funds for necessary future capital expenditures could have a material adverse effect on our business, results of operations and financial condition and on our ability to make cash distributions. Even if we successfully obtain necessary funds, the terms of such financings could limit our ability to pay cash distributions to stockholders. In addition, incurring additional debt may significantly increase our interest expense and financial leverage, and issuing additional preferred and common equity securities may result in significant stockholder dilution and would increase the aggregate amount of cash required to make distributions to our stockholders, to the extent we are making distributions, which could have a material adverse effect on our ability to make cash distributions.</w:t>
      </w:r>
    </w:p>
    <w:p>
      <w:pPr>
        <w:spacing w:after="0" w:line="293"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b w:val="1"/>
          <w:bCs w:val="1"/>
          <w:i w:val="1"/>
          <w:iCs w:val="1"/>
          <w:color w:val="auto"/>
        </w:rPr>
        <w:t>The market values of our vessels, may fluctuate significantly. If vessel value are low at a time when we are attempting to dispose of a vessel, we could incur a loss.</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Factors that influence vessel values include:</w:t>
      </w:r>
    </w:p>
    <w:p>
      <w:pPr>
        <w:spacing w:after="0" w:line="131" w:lineRule="exact"/>
        <w:rPr>
          <w:sz w:val="20"/>
          <w:szCs w:val="20"/>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number of newbuilding deliveries;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prevailing economic conditions in the markets in which drybulk or containerships operate;</w:t>
      </w:r>
    </w:p>
    <w:p>
      <w:pPr>
        <w:spacing w:after="0" w:line="130" w:lineRule="exact"/>
        <w:rPr>
          <w:rFonts w:ascii="Arial" w:cs="Arial" w:eastAsia="Arial" w:hAnsi="Arial"/>
          <w:sz w:val="18"/>
          <w:szCs w:val="18"/>
          <w:color w:val="auto"/>
        </w:rPr>
      </w:pPr>
    </w:p>
    <w:p>
      <w:pPr>
        <w:ind w:left="5540" w:right="1480" w:hanging="4884"/>
        <w:spacing w:after="0" w:line="449" w:lineRule="auto"/>
        <w:tabs>
          <w:tab w:leader="none" w:pos="1094"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reduced demand for drybulk or containerships, including as a result of a substantial or extended decline in world trade; 31</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number of vessels scrapped or otherwise removed from the total fleet;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environmental and other regulations that may limit the useful life of vessels;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global dry cargo commodity supply or sources and destinations of containerized cargoes;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types, sizes and age of vessels;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advances in efficiency, such as the introduction of remote or autonomous vessels;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development of an increase in use of other modes of transportation;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where the ship was built and as-built specification;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lifetime maintenance record;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 of vessel acquisitions;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governmental or other regulations (including the application of any IMO rules);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prevailing level of charter rates;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availability of financing, or lack thereof, for ordering newbuildings or for facilitating ship sale and purchase transactions;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general economic and market conditions affecting the shipping industry; and</w:t>
      </w:r>
    </w:p>
    <w:p>
      <w:pPr>
        <w:spacing w:after="0" w:line="130" w:lineRule="exact"/>
        <w:rPr>
          <w:rFonts w:ascii="Arial" w:cs="Arial" w:eastAsia="Arial" w:hAnsi="Arial"/>
          <w:sz w:val="18"/>
          <w:szCs w:val="18"/>
          <w:color w:val="auto"/>
        </w:rPr>
      </w:pPr>
    </w:p>
    <w:p>
      <w:pPr>
        <w:ind w:left="1080" w:right="70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 of retrofitting or modifying existing ships to respond to technological advances in vessel design or equipment, changes in applicable environmental or other regulations or standards, or otherwise.</w:t>
      </w:r>
    </w:p>
    <w:p>
      <w:pPr>
        <w:spacing w:after="0" w:line="170"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As vessels grow older, they generally decline in value. We will review our vessels for impairment whenever events or changes in circumstances indicate that the carrying amount of the assets may not be recoverable. We review certain indicators of potential impairment, such as undiscounted projected operating cash flows expected from the future operation of the vessels, which can be volatile for vessels employed on short-term charters or in the spot market. Our inability to dispose of a vessel at the book value would result in a loss on its sale. If the book value of a vessel is impaired due to unfavorable market conditions, or a vessel is sold at a price below its book value, we would incur a loss, which would negatively affect our financial condition and results of operations.</w:t>
      </w:r>
    </w:p>
    <w:p>
      <w:pPr>
        <w:spacing w:after="0" w:line="300" w:lineRule="exact"/>
        <w:rPr>
          <w:sz w:val="20"/>
          <w:szCs w:val="20"/>
          <w:color w:val="auto"/>
        </w:rPr>
      </w:pPr>
    </w:p>
    <w:p>
      <w:pPr>
        <w:ind w:left="120" w:right="200"/>
        <w:spacing w:after="0" w:line="375" w:lineRule="auto"/>
        <w:rPr>
          <w:sz w:val="20"/>
          <w:szCs w:val="20"/>
          <w:color w:val="auto"/>
        </w:rPr>
      </w:pPr>
      <w:r>
        <w:rPr>
          <w:rFonts w:ascii="Arial" w:cs="Arial" w:eastAsia="Arial" w:hAnsi="Arial"/>
          <w:sz w:val="15"/>
          <w:szCs w:val="15"/>
          <w:b w:val="1"/>
          <w:bCs w:val="1"/>
          <w:i w:val="1"/>
          <w:iCs w:val="1"/>
          <w:color w:val="auto"/>
        </w:rPr>
        <w:t>Although we have long-standing relationships with certain Japanese shipowners that provide us access to competitive contracts and financing, we cannot assure you that we will always be able to maintain such relationships or that such contracts will continue to be available in the future.</w:t>
      </w:r>
    </w:p>
    <w:p>
      <w:pPr>
        <w:spacing w:after="0" w:line="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We have long-standing relationships with certain Japanese shipowners that give us access to financing, time and bareboat charters at favorable rates and that, in some cases, include options to purchase the vessels at favorable prices relative to the current market. We cannot assure you that we will have such relationships indefinitely. In addition, there is no assurance that Japanese shipowners will generally make contracts available on the same or substantially similar terms in the future.</w:t>
      </w:r>
    </w:p>
    <w:p>
      <w:pPr>
        <w:spacing w:after="0" w:line="295"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b w:val="1"/>
          <w:bCs w:val="1"/>
          <w:i w:val="1"/>
          <w:iCs w:val="1"/>
          <w:color w:val="auto"/>
        </w:rPr>
        <w:t>Our vessels may be subject to unbudgeted periods of off-hire, which could materially adversely affect our business, financial condition and results of operations.</w:t>
      </w:r>
    </w:p>
    <w:p>
      <w:pPr>
        <w:spacing w:after="0" w:line="62"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Under the terms of the charter agreements under which our vessels operate, or are expected to operate in the case of a newbuilding, when a vessel is “off-hire,” or not available for service or otherwise deficient in its condition or performance, the charterer generally is not required to pay the hire rate, and we will be responsible for all costs (including the cost of bunker fuel) unless the charterer is responsible for the circumstances giving rise to the lack of availability.</w:t>
      </w:r>
    </w:p>
    <w:p>
      <w:pPr>
        <w:spacing w:after="0" w:line="18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As we do not maintain off-hire insurance except in cases of loss of hire up to a limited number of days due to war or piracy events any extended off-hire period could have a material adverse effect on our results of operations, cash flows and financial condition.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more information on “off-hire” see Item 4. Information on the Company B. Business Overview Off-hire.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Vessels may suffer damage and we may face unexpected drydocking costs, which could affect our cash flow and financial condition.</w:t>
      </w:r>
    </w:p>
    <w:p>
      <w:pPr>
        <w:spacing w:after="0" w:line="129" w:lineRule="exact"/>
        <w:rPr>
          <w:sz w:val="20"/>
          <w:szCs w:val="20"/>
          <w:color w:val="auto"/>
        </w:rPr>
      </w:pPr>
    </w:p>
    <w:p>
      <w:pPr>
        <w:ind w:left="120" w:right="280" w:firstLine="440"/>
        <w:spacing w:after="0" w:line="275" w:lineRule="auto"/>
        <w:rPr>
          <w:sz w:val="20"/>
          <w:szCs w:val="20"/>
          <w:color w:val="auto"/>
        </w:rPr>
      </w:pPr>
      <w:r>
        <w:rPr>
          <w:rFonts w:ascii="Arial" w:cs="Arial" w:eastAsia="Arial" w:hAnsi="Arial"/>
          <w:sz w:val="17"/>
          <w:szCs w:val="17"/>
          <w:color w:val="auto"/>
        </w:rPr>
        <w:t>If our vessels suffer damages they may need to be repaired at a drydocking facility. The costs of drydock repairs are unpredictable and can be substantial. We may have to pay drydocking costs that insurance does not cover. The loss of earnings while these vessels are being repaired and repositioned, as well as the actual cost of these repairs, could decrease our revenues and earnings substantially, particularly if a number of vessels are damaged or drydocked at the same time. Under the terms of the Management Agreement with the Manager, the costs of drydocking repairs are not included in the daily management fee, but are be reimbursed at cost upon occurrence.</w:t>
      </w:r>
    </w:p>
    <w:p>
      <w:pPr>
        <w:sectPr>
          <w:pgSz w:w="11900" w:h="16838" w:orient="portrait"/>
          <w:cols w:equalWidth="0" w:num="1">
            <w:col w:w="11120"/>
          </w:cols>
          <w:pgMar w:left="320" w:top="459" w:right="459" w:bottom="1440" w:gutter="0" w:footer="0" w:header="0"/>
        </w:sectPr>
      </w:pP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120"/>
          </w:cols>
          <w:pgMar w:left="320" w:top="459" w:right="45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In addition, secondhand vessels, unlike newbuilt vessels, typically do not carry warranties as to their condition, and our vessel inspections would not normally provide us with as much knowledge of a vessel’s condition as we would possess if it had been built for us and operated by us during its life. Repairs and maintenance costs for secondhand vessels are difficult to predict and may be substantially higher than for vessels we have operated since they were built. These costs could decrease our cash flows, liquidity and our ability to pay dividends to our stakeholders.</w:t>
      </w: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i w:val="1"/>
          <w:iCs w:val="1"/>
          <w:color w:val="auto"/>
        </w:rPr>
        <w:t>We must make substantial capital expenditures to maintain the operating capacity of our fleet, which will reduce our cash available for distribution.</w:t>
      </w:r>
    </w:p>
    <w:p>
      <w:pPr>
        <w:spacing w:after="0" w:line="152"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We must make substantial capital expenditures to maintain and replace, over the long term, the operating capacity of our fleet. We generally expect to finance these maintenance capital expenditures with cash balances or credit facilities. These maintenance and replacement capital expenditures include capital expenditures associated with drydocking a vessel, modifying an existing vessel or acquiring a new vessel to the extent these expenditures are incurred to maintain the operating capacity of our fleet. These expenditures could increase as a result of changes in the cost of our labor and materials, the cost of suitable replacement vessels, customer/market requirements, increases in the size of our fleet, the length of charters, governmental regulations and maritime self-regulatory organization standards relating to safety, security or the environment, competitive standards, and the age of our ships. In addition, we will need to make substantial capital expenditures to acquire vessels in accordance with our growth strategy. The inability to replace the vessels in our fleet upon the expiration of their useful lives could have a material adverse effect on our business, results of operations and financial condition, as well as our cash flows, including cash available for distributions to our stakeholders.</w:t>
      </w:r>
    </w:p>
    <w:p>
      <w:pPr>
        <w:spacing w:after="0" w:line="166"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Our significant maintenance and replacement capital expenditures, including without limitation the management fees for vessel operating expenses paid to the Manager pursuant to the Management Agreement, to maintain and replace, over the long-term, the operating capacity of our fleet, as well as to comply with environmental and safety regulations, may reduce or eliminate the amount of cash we have available for distribution to our stakeholders.</w:t>
      </w:r>
    </w:p>
    <w:p>
      <w:pPr>
        <w:spacing w:after="0" w:line="295"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Our international activities increase the compliance risks associated with economic and trade sanctions imposed by the United States, the European Union and other jurisdictions/authorities.</w:t>
      </w:r>
    </w:p>
    <w:p>
      <w:pPr>
        <w:spacing w:after="0" w:line="62"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Our international operations and activities could expose us to risks associated with trade and economic sanctions prohibitions or other restrictions imposed by the U.S. or other governments or organizations, including the United Nations, the EU and its member countries, as described in this report. Under economic and trade sanctions laws, governments may seek to impose modifications to, or prohibitions/restrictions on business practices and activities, and modifications to compliance programs, which may increase compliance costs, and, in the event of a violation, may subject us to fines and other penalties. To reduce the risk of violating economic sanctions, we have a policy of compliance with applicable economic sanctions laws and have implemented and continue to implement and diligently follow compliance procedures to avoid economic sanctions violations.</w:t>
      </w:r>
    </w:p>
    <w:p>
      <w:pPr>
        <w:spacing w:after="0" w:line="164"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Considering U.S. as well as EU sanctions and the nature of our business, there is a constant sanctions-related risk for us due to the worldwide trade of our vessels, which we seek to minimize by the implementation of our corporate Economic Sanctions Compliance Policy and Procedures and our compliance with all applicable sanctions and embargo laws and regulations. Although we intend to maintain such Economic Sanctions Compliance Policy and Procedures, there can be no assurance that we will be in compliance in the future, particularly as the scope of certain laws may be unclear and may be subject to changing interpretations, and the law may change. Moreover, despite, for example, relevant provisions in charter parties forbidding the use of our vessels in trade that would violate economic sanctions, our charterers may nevertheless violate applicable sanctions and embargo laws and regulations and those violations could in turn negatively affect our reputation and be imputed to us.</w:t>
      </w:r>
    </w:p>
    <w:p>
      <w:pPr>
        <w:spacing w:after="0" w:line="166"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We constantly monitor developments in the U.S., the E.U. and other jurisdictions that maintain economic sanctions against Iran, Russian entities, Venezuela, other countries, and other sanctions targets, including developments in implementation and enforcement of such sanctions programs. Expansion of sanctions programs, embargoes and other restrictions in the future (including additional designations of countries and persons subject to sanctions), or modifications in how existing sanctions are interpreted or enforced, could prevent our vessels from calling in ports in sanctioned countries or could limit their cargoes.</w:t>
      </w:r>
    </w:p>
    <w:p>
      <w:pPr>
        <w:spacing w:after="0" w:line="18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addition, given our relationship with Navios Maritime Acquisition Corporation (“Navios Acquisition”), and Navios Partners, we cannot give any assurance that an adverse finding against them by a governmental or legal authority or others, with respect to sanction matters or any future matter related to regulatory compliance by Navios Acquisition and/or Navios Partners will not have a material adverse impact on our business, reputation or the market price or trading of our common stock.</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any of the risks described herein materializes, it could have a material adverse impact on our business and results of operations.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For a description of the economic and trade sanctions and other compliance requirements under which we operate please see “Item 4. Information on the Company. B. Business Overview—Sanction and Compliance”</w:t>
      </w:r>
    </w:p>
    <w:p>
      <w:pPr>
        <w:spacing w:after="0" w:line="278" w:lineRule="exact"/>
        <w:rPr>
          <w:sz w:val="20"/>
          <w:szCs w:val="20"/>
          <w:color w:val="auto"/>
        </w:rPr>
      </w:pPr>
    </w:p>
    <w:p>
      <w:pPr>
        <w:ind w:left="120" w:right="100"/>
        <w:spacing w:after="0" w:line="308" w:lineRule="auto"/>
        <w:rPr>
          <w:sz w:val="20"/>
          <w:szCs w:val="20"/>
          <w:color w:val="auto"/>
        </w:rPr>
      </w:pPr>
      <w:r>
        <w:rPr>
          <w:rFonts w:ascii="Arial" w:cs="Arial" w:eastAsia="Arial" w:hAnsi="Arial"/>
          <w:sz w:val="17"/>
          <w:szCs w:val="17"/>
          <w:b w:val="1"/>
          <w:bCs w:val="1"/>
          <w:i w:val="1"/>
          <w:iCs w:val="1"/>
          <w:color w:val="auto"/>
        </w:rPr>
        <w:t>Security breaches and disruptions to our information technology infrastructure could interfere with our operations and expose us to liability which could have a material adverse effect on our business, financial condition, cash flows and results of operations.</w:t>
      </w:r>
    </w:p>
    <w:p>
      <w:pPr>
        <w:spacing w:after="0" w:line="38"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In the ordinary course of business, we rely on information technology networks and systems to process, transmit, and store electronic information, and to manage or support a variety of business processes and activities. Additionally, we collect and store certain data, including proprietary business information and customer and employee data, and may have access to other confidential information in the ordinary course of our business. Despite our cybersecurity measures, which includes active monitoring, training, reporting and other activities designed to protect and secure our data, our information technology networks and infrastructure may be vulnerable to damage, disruptions, or shutdowns due to attack by hackers or breaches, employee error or malfeasance, data leakage, power outages, computer viruses and malware, telecommunication or utility failures, systems failures, natural disasters, or other catastrophic events. Any such events could result in legal claims or proceedings, liability or penalties under privacy or other laws, disruption in operations, and damage to our reputation, which could have a material adverse effect on our business, financial condition, cash flows and results of operations.</w:t>
      </w:r>
    </w:p>
    <w:p>
      <w:pPr>
        <w:spacing w:after="0" w:line="181"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In addition, some of our technology networks and systems are managed by third-party service providers (including cloud-service providers) for a variety of reasons, and such providers also may have access to proprietary business information and customer and employee data, and may have access to confidential information on the conduct of our business. Like us, these third-party providers are subject to risks imposed by data breaches and disruptions to their technology infrastructure. A cyber-attack could defeat one or more of our third-party service providers’ security measures, allowing an attacker access to proprietary information from our company including our employees’, customers’ and suppliers’ data. Any such security breach or disruption to our third-party service providers could result in a disruption in operations and damage to our reputation and liability claims, which could have a material adverse effect on our business, financial condition, cash flows and results of operations.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Changing laws and evolving reporting requirements could have an adverse effect on our business.</w:t>
      </w:r>
    </w:p>
    <w:p>
      <w:pPr>
        <w:spacing w:after="0" w:line="117" w:lineRule="exact"/>
        <w:rPr>
          <w:sz w:val="20"/>
          <w:szCs w:val="20"/>
          <w:color w:val="auto"/>
        </w:rPr>
      </w:pPr>
    </w:p>
    <w:p>
      <w:pPr>
        <w:jc w:val="both"/>
        <w:ind w:left="120" w:right="180" w:firstLine="440"/>
        <w:spacing w:after="0" w:line="286" w:lineRule="auto"/>
        <w:rPr>
          <w:sz w:val="20"/>
          <w:szCs w:val="20"/>
          <w:color w:val="auto"/>
        </w:rPr>
      </w:pPr>
      <w:r>
        <w:rPr>
          <w:rFonts w:ascii="Arial" w:cs="Arial" w:eastAsia="Arial" w:hAnsi="Arial"/>
          <w:sz w:val="17"/>
          <w:szCs w:val="17"/>
          <w:color w:val="auto"/>
        </w:rPr>
        <w:t>Changing laws, regulations and standards relating to reporting requirements, including the European Union General Data Protection Regulation (“GDPR”), may create additional compliance requirements for us. To maintain high standards of corporate governance and public disclosure, we have invested in, and intend to continue to invest in, reasonably necessary resources to comply with evolving standards.</w:t>
      </w:r>
    </w:p>
    <w:p>
      <w:pPr>
        <w:spacing w:after="0" w:line="165"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GDPR broadens the scope of personal privacy laws to protect the rights of European Union citizens and requires organizations to report on data breaches within 72 hours and be bound by more stringent rules for obtaining the consent of individuals on how their data can be used. GDPR has become enforceable on May 25, 2018 and non-compliance may expose entities to significant fines or other regulatory claims, which could have an adverse effect on our business, financial conditions, results of operations and cash flows.</w:t>
      </w:r>
    </w:p>
    <w:p>
      <w:pPr>
        <w:spacing w:after="0" w:line="295"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We could be materially adversely affected by violations of the U.S. Foreign Corrupt Practices Act, the U.K. Bribery Act, and anti-corruption laws in other applicable jurisdictions.</w:t>
      </w:r>
    </w:p>
    <w:p>
      <w:pPr>
        <w:spacing w:after="0" w:line="6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As an international shipping company, we may operate in countries known to have a reputation for corruption. The U.S. Foreign Corrupt Practices Act of 1977 (the “FCPA”) and other anti-corruption laws and regulations in applicable jurisdictions generally prohibit companies registered with the SEC and their intermediaries from making improper payments to government officials for the purpose of obtaining or retaining business. Under the FCPA, U.S. companies may be held liable for some actions taken by strategic or local partners or representatives. Legislation in other countries includes the U.K. Bribery Act 2010 (the “U.K. Bribery Act”) which is broader in scope than the FCPA because it does not contain an exception for facilitation payments. We and our customers may be subject to these and similar anti-corruption laws in other applicable jurisdictions. Failure to comply with legal requirements could expose us to civil and/or criminal penalties, including fines, prosecution and significant reputational damage, all of which could materially and adversely affect our business and the results of operations, including our relationships with our customers, and our financial results. Compliance with the FCPA, the U.K. Bribery Act and other applicable anti-corruption laws and related regulations and policies imposes potentially significant costs and operational burdens on us. Moreover, the compliance and monitoring mechanisms that we have in place including our Code of Ethics and our anti-bribery and anti-corruption policy, may not adequately prevent or detect all possible violations under applicable anti-bribery and anti-corruption legislation.</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00"/>
          </w:cols>
          <w:pgMar w:left="320" w:top="459" w:right="4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60"/>
        <w:spacing w:after="0" w:line="308" w:lineRule="auto"/>
        <w:rPr>
          <w:sz w:val="20"/>
          <w:szCs w:val="20"/>
          <w:color w:val="auto"/>
        </w:rPr>
      </w:pPr>
      <w:r>
        <w:rPr>
          <w:rFonts w:ascii="Arial" w:cs="Arial" w:eastAsia="Arial" w:hAnsi="Arial"/>
          <w:sz w:val="17"/>
          <w:szCs w:val="17"/>
          <w:b w:val="1"/>
          <w:bCs w:val="1"/>
          <w:i w:val="1"/>
          <w:iCs w:val="1"/>
          <w:color w:val="auto"/>
        </w:rPr>
        <w:t>Because we generate substantially all of our revenues in U.S. dollars but incur a portion of our expenses in other currencies, exchange rate fluctuations could cause us to suffer exchange rate losses, thereby increasing expenses and reducing income.</w:t>
      </w:r>
    </w:p>
    <w:p>
      <w:pPr>
        <w:spacing w:after="0" w:line="38"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engage in worldwide commerce with a variety of entities. Although our operations may expose us to certain levels of foreign currency risk, our transactions are predominantly U.S. dollar-denominated at the present. Additionally, our South American subsidiaries transact a nominal amount of their operations in Uruguayan pesos, Paraguayan Guaranies, Argentinean pesos and Brazilian Reales; however, all of the subsidiaries’ primary cash flows are U.S. dollar-denominated. In 2020, approximately 21.0% of our expenses from continuing operations were incurred in currencies other than U.S. dollars. Transactions in currencies other than the functional currency are translated at the exchange rate in effect at the date of each transaction. Expenses incurred in foreign currencies against which the U.S. dollar falls in value can increase, thereby decreasing our income. A change in exchange rates between the U.S. dollar and each of the foreign currencies listed above of 1.00% would change our net loss from continuing operations for the year ended December 31, 2020 by $0.6 million.</w:t>
      </w:r>
    </w:p>
    <w:p>
      <w:pPr>
        <w:spacing w:after="0" w:line="17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For example, as of December 31, 2020, the value of the U.S. dollar as compared to the Euro decreased by approximately 8.5% compared with the respective value as of December 31, 2019. A greater percentage of our transactions and expenses in the future may be denominated in currencies other than U.S. dollar. As part of our overall risk management policy, we may attempt to hedge these risks in exchange rate fluctuations from time to time. We may not always be successful in such hedging activities and, as a result, our operating results could suffer as a result of non-hedged losses incurred as a result of exchange rate fluctuations.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Our Organizational Structure and Other Legal Matters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are dependent on the Manager for the technical, commercial, administrative and technical management of our fleet.</w:t>
      </w:r>
    </w:p>
    <w:p>
      <w:pPr>
        <w:spacing w:after="0" w:line="117"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color w:val="auto"/>
        </w:rPr>
        <w:t>Pursuant to the Management Agreement entered into with the Manager, the Manager provides to us significant commercial and technical management services (including the commercial and technical management of our vessels, vessel maintenance and crewing, purchasing and insurance and shipyard supervision). In addition, pursuant to the Administrative Services Agreement between us and the Manager, the Manager provides us significant administrative, financial and other support services. Our operational success and ability to execute our growth strategy will depend significantly upon the Manager’s satisfactory performance of these services. Our business will be harmed if the Manager fails to perform these services satisfactorily, if the Manager cancels either of these agreements, or if the Manager stops providing these services to us. Although we may have rights against the Manager if it defaults on its obligations to us, you will have no recourse directly against it. Further, we expect that we will need to seek approval from our respective lenders to change our Manager. The Manager may have responsibilities and relationships to owners other than Navios Acquisition that could create conflicts of interest between us and the Manager.</w:t>
      </w:r>
    </w:p>
    <w:p>
      <w:pPr>
        <w:spacing w:after="0" w:line="181" w:lineRule="exact"/>
        <w:rPr>
          <w:sz w:val="20"/>
          <w:szCs w:val="20"/>
          <w:color w:val="auto"/>
        </w:rPr>
      </w:pPr>
    </w:p>
    <w:p>
      <w:pPr>
        <w:ind w:left="120" w:right="860" w:firstLine="440"/>
        <w:spacing w:after="0" w:line="342" w:lineRule="auto"/>
        <w:rPr>
          <w:sz w:val="20"/>
          <w:szCs w:val="20"/>
          <w:color w:val="auto"/>
        </w:rPr>
      </w:pPr>
      <w:r>
        <w:rPr>
          <w:rFonts w:ascii="Arial" w:cs="Arial" w:eastAsia="Arial" w:hAnsi="Arial"/>
          <w:sz w:val="16"/>
          <w:szCs w:val="16"/>
          <w:color w:val="auto"/>
        </w:rPr>
        <w:t>Our ability to enter into new charters and expand our customer relationships will depend largely on the Manager and its reputation and relationships in the shipping industry. If the Manager suffers material damage to its reputation or relationships, it may harm our ability to:</w:t>
      </w:r>
    </w:p>
    <w:p>
      <w:pPr>
        <w:spacing w:after="0" w:line="29" w:lineRule="exact"/>
        <w:rPr>
          <w:sz w:val="20"/>
          <w:szCs w:val="20"/>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renew existing charters upon their expiration;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obtain new charters;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successfully interact with shipyards during periods of shipyard construction constraints;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obtain financing on commercially acceptable terms;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maintain satisfactory relationships with suppliers and other third parties.</w:t>
      </w:r>
    </w:p>
    <w:p>
      <w:pPr>
        <w:spacing w:after="0" w:line="225"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If our ability to do any of the things described above is impaired, it could have a material adverse effect on our business, results of operations and financial condition.</w:t>
      </w:r>
    </w:p>
    <w:p>
      <w:pPr>
        <w:spacing w:after="0" w:line="278"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We are a holding company and we depend on the ability of our subsidiaries to distribute funds to us in order to satisfy our financial obligations and to make distributions.</w:t>
      </w:r>
    </w:p>
    <w:p>
      <w:pPr>
        <w:spacing w:after="0" w:line="62"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We are a holding company and our subsidiaries conduct all of our operations and own all of our operating assets, including our ships. We have no significant assets other than the equity interests in our subsidiaries. As a result, our ability to pay our obligations and to make distributions depends entirely on our subsidiaries and their ability to distribute funds to us. The ability of a subsidiary to make these distributions could be affected by a claim or other action by a third party, including a creditor, or by the law of their respective jurisdiction of incorporation which regulates the payment of distributions. If we are unable to obtain funds from our subsidiaries, our Board of Directors may not exercise its discretion not to declare or make distributions.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00"/>
          </w:cols>
          <w:pgMar w:left="320" w:top="459" w:right="4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are incorporated in the Republic of the Marshall Islands, which does not have a well-developed body of corporate law.</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Our corporate affairs are governed by our amended and restated articles of incorporation and by-laws and by the Marshall Islands Business Corporations Act (“BCA”). The provisions of the BCA are intended to resemble provisions of the corporation laws of a number of states in the U.S. However, there have been few judicial cases in the Republic of the Marshall Islands interpreting the BCA. The rights and fiduciary responsibilities of directors under the law of the Republic of the Marshall Islands are not as clearly established as the rights and fiduciary responsibilities of directors under statutes or judicial precedent in existence in certain U.S. jurisdictions. Stockholder rights may differ as well. The BCA does specifically incorporate the non-statutory law, or judicial case law, of the State of Delaware and other states with substantially similar legislative provisions, and the BCA is interpreted and construed by Delaware laws and the laws of other States with substantially similar legislative provisions. Accordingly, you may have more difficulty protecting your interests in the face of actions by management, directors or controlling stockholders than you would in the case of a corporation incorporated in the State of Delaware or other U.S. jurisdictions.</w:t>
      </w:r>
    </w:p>
    <w:p>
      <w:pPr>
        <w:spacing w:after="0" w:line="289" w:lineRule="exact"/>
        <w:rPr>
          <w:sz w:val="20"/>
          <w:szCs w:val="20"/>
          <w:color w:val="auto"/>
        </w:rPr>
      </w:pPr>
    </w:p>
    <w:p>
      <w:pPr>
        <w:ind w:left="120" w:right="100"/>
        <w:spacing w:after="0" w:line="308" w:lineRule="auto"/>
        <w:rPr>
          <w:sz w:val="20"/>
          <w:szCs w:val="20"/>
          <w:color w:val="auto"/>
        </w:rPr>
      </w:pPr>
      <w:r>
        <w:rPr>
          <w:rFonts w:ascii="Arial" w:cs="Arial" w:eastAsia="Arial" w:hAnsi="Arial"/>
          <w:sz w:val="17"/>
          <w:szCs w:val="17"/>
          <w:b w:val="1"/>
          <w:bCs w:val="1"/>
          <w:i w:val="1"/>
          <w:iCs w:val="1"/>
          <w:color w:val="auto"/>
        </w:rPr>
        <w:t>Because we are incorporated under the laws of the Marshall Islands and our business is operated primarily from our office in the Cayman Islands, it may be difficult to serve us with legal process or enforce judgments against us, our directors or our management.</w:t>
      </w:r>
    </w:p>
    <w:p>
      <w:pPr>
        <w:spacing w:after="0" w:line="38" w:lineRule="exact"/>
        <w:rPr>
          <w:sz w:val="20"/>
          <w:szCs w:val="20"/>
          <w:color w:val="auto"/>
        </w:rPr>
      </w:pPr>
    </w:p>
    <w:p>
      <w:pPr>
        <w:ind w:left="120" w:right="200" w:firstLine="440"/>
        <w:spacing w:after="0" w:line="291" w:lineRule="auto"/>
        <w:rPr>
          <w:sz w:val="20"/>
          <w:szCs w:val="20"/>
          <w:color w:val="auto"/>
        </w:rPr>
      </w:pPr>
      <w:r>
        <w:rPr>
          <w:rFonts w:ascii="Arial" w:cs="Arial" w:eastAsia="Arial" w:hAnsi="Arial"/>
          <w:sz w:val="16"/>
          <w:szCs w:val="16"/>
          <w:color w:val="auto"/>
        </w:rPr>
        <w:t>We are a corporation organized under the laws of the Republic of the Marshall Islands, and all of our assets are located outside of the U.S. Our business is operated primarily from our office in the Cayman Islands. In addition, the majority of our directors and officers are residents of non-U.S. jurisdictions, substantial portions of the assets of these persons are located outside of the United States. Thus, it may be difficult or not be possible for investors to affect service of process upon us, or our non-U.S. directors or officers, or to enforce any judgment obtained against these persons in U.S. courts. In addition, it may not be possible to enforce U.S. securities laws or judgments obtained in U.S. courts against these persons in a non-U.S. jurisdiction. Even if you are successful in bringing an action of this kind, the laws of the Marshall Islands, the Cayman Islands and other jurisdictions may prevent or restrict you from enforcing a judgment against our assets or the assets of our directors or officers.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Being a foreign private issuer exempts us from certain SEC and NYSE requirements.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are a foreign private issuer within the meaning of rules promulgated under the Securities Exchange Act of 1934, as amended (the “Exchange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Act”). As such, we are exempt from certain provisions applicable to U.S. public companies including:</w:t>
      </w:r>
    </w:p>
    <w:p>
      <w:pPr>
        <w:spacing w:after="0" w:line="116" w:lineRule="exact"/>
        <w:rPr>
          <w:sz w:val="20"/>
          <w:szCs w:val="20"/>
          <w:color w:val="auto"/>
        </w:rPr>
      </w:pPr>
    </w:p>
    <w:p>
      <w:pPr>
        <w:ind w:left="1080" w:hanging="424"/>
        <w:spacing w:after="0"/>
        <w:tabs>
          <w:tab w:leader="none" w:pos="10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rules under the Exchange Act requiring the filing with the SEC of quarterly reports on Form 10-Q or current reports on Form 8-K;</w:t>
      </w:r>
    </w:p>
    <w:p>
      <w:pPr>
        <w:spacing w:after="0" w:line="142" w:lineRule="exact"/>
        <w:rPr>
          <w:rFonts w:ascii="Arial" w:cs="Arial" w:eastAsia="Arial" w:hAnsi="Arial"/>
          <w:sz w:val="17"/>
          <w:szCs w:val="17"/>
          <w:color w:val="auto"/>
        </w:rPr>
      </w:pPr>
    </w:p>
    <w:p>
      <w:pPr>
        <w:ind w:left="1080" w:right="14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provisions of Regulation FD aimed at preventing issuers from making selective disclosures of material information;</w:t>
      </w:r>
    </w:p>
    <w:p>
      <w:pPr>
        <w:spacing w:after="0" w:line="130" w:lineRule="exact"/>
        <w:rPr>
          <w:rFonts w:ascii="Arial" w:cs="Arial" w:eastAsia="Arial" w:hAnsi="Arial"/>
          <w:sz w:val="18"/>
          <w:szCs w:val="18"/>
          <w:color w:val="auto"/>
        </w:rPr>
      </w:pPr>
    </w:p>
    <w:p>
      <w:pPr>
        <w:ind w:left="1080" w:right="280" w:hanging="424"/>
        <w:spacing w:after="0" w:line="263"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sections of the Exchange Act requiring insiders to file public reports of their stock ownership and trading activities and establishing insider liability for profits realized from any “short-swing” trading transaction (i.e., a purchase and sale, or sale and purchase, of the issuer’s equity securities within less than six months); and</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obligation to obtain shareholder approval in connection with the approval of, and material revisions to, equity compensation plans.</w:t>
      </w:r>
    </w:p>
    <w:p>
      <w:pPr>
        <w:spacing w:after="0" w:line="237"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Because of these exemptions, investors are not afforded the same protections or information generally available to investors holding shares in public companies organized in the U.S.</w:t>
      </w:r>
    </w:p>
    <w:p>
      <w:pPr>
        <w:spacing w:after="0" w:line="278"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b w:val="1"/>
          <w:bCs w:val="1"/>
          <w:i w:val="1"/>
          <w:iCs w:val="1"/>
          <w:color w:val="auto"/>
        </w:rPr>
        <w:t>Anti-takeover provisions in our amended and restated articles of incorporation could make it difficult for our stockholders to replace or remove our current board of directors or could have the effect of discouraging, delaying or preventing a merger or acquisition, which could adversely affect the market price of our common stock.</w:t>
      </w:r>
    </w:p>
    <w:p>
      <w:pPr>
        <w:spacing w:after="0" w:line="76" w:lineRule="exact"/>
        <w:rPr>
          <w:sz w:val="20"/>
          <w:szCs w:val="20"/>
          <w:color w:val="auto"/>
        </w:rPr>
      </w:pPr>
    </w:p>
    <w:p>
      <w:pPr>
        <w:ind w:left="120" w:right="340" w:firstLine="440"/>
        <w:spacing w:after="0" w:line="311" w:lineRule="auto"/>
        <w:rPr>
          <w:sz w:val="20"/>
          <w:szCs w:val="20"/>
          <w:color w:val="auto"/>
        </w:rPr>
      </w:pPr>
      <w:r>
        <w:rPr>
          <w:rFonts w:ascii="Arial" w:cs="Arial" w:eastAsia="Arial" w:hAnsi="Arial"/>
          <w:sz w:val="16"/>
          <w:szCs w:val="16"/>
          <w:color w:val="auto"/>
        </w:rPr>
        <w:t>Several provisions of our amended and restated articles of incorporation and bylaws could make it difficult for our stockholders to change the composition of our board of directors in any one year, preventing them from changing the composition of our management. In addition, the same provisions may discourage, delay or prevent a merger or acquisition that stockholders may consider favorable. These provisions include those that:</w:t>
      </w:r>
    </w:p>
    <w:p>
      <w:pPr>
        <w:spacing w:after="0" w:line="54" w:lineRule="exact"/>
        <w:rPr>
          <w:sz w:val="20"/>
          <w:szCs w:val="20"/>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authorize our board of directors to issue “blank check” preferred stock without stockholder approval;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provide for a classified board of directors with staggered, three-year terms;</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require a super-majority vote in order to amend the provisions regarding our classified board of directors with staggered, three-year terms;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prohibit cumulative voting in the election of directors.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00"/>
          </w:cols>
          <w:pgMar w:left="320" w:top="459" w:right="4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firstLine="440"/>
        <w:spacing w:after="0" w:line="308" w:lineRule="auto"/>
        <w:rPr>
          <w:sz w:val="20"/>
          <w:szCs w:val="20"/>
          <w:color w:val="auto"/>
        </w:rPr>
      </w:pPr>
      <w:r>
        <w:rPr>
          <w:rFonts w:ascii="Arial" w:cs="Arial" w:eastAsia="Arial" w:hAnsi="Arial"/>
          <w:sz w:val="17"/>
          <w:szCs w:val="17"/>
          <w:color w:val="auto"/>
        </w:rPr>
        <w:t>These anti-takeover provisions could substantially impede the ability of stockholders to benefit from a change in control and, as a result, may adversely affect the market price of our common stock and your ability to realize any potential change of control premium.</w:t>
      </w:r>
    </w:p>
    <w:p>
      <w:pPr>
        <w:spacing w:after="0" w:line="254"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The Manager may be unable to attract and retain qualified, skilled employees or crew necessary to operate our vessels and business or may have to pay increased costs for our employees and crew and other vessel operating costs.</w:t>
      </w:r>
    </w:p>
    <w:p>
      <w:pPr>
        <w:spacing w:after="0" w:line="62" w:lineRule="exact"/>
        <w:rPr>
          <w:sz w:val="20"/>
          <w:szCs w:val="20"/>
          <w:color w:val="auto"/>
        </w:rPr>
      </w:pPr>
    </w:p>
    <w:p>
      <w:pPr>
        <w:ind w:left="120" w:right="120" w:firstLine="440"/>
        <w:spacing w:after="0" w:line="254" w:lineRule="auto"/>
        <w:rPr>
          <w:sz w:val="20"/>
          <w:szCs w:val="20"/>
          <w:color w:val="auto"/>
        </w:rPr>
      </w:pPr>
      <w:r>
        <w:rPr>
          <w:rFonts w:ascii="Arial" w:cs="Arial" w:eastAsia="Arial" w:hAnsi="Arial"/>
          <w:sz w:val="18"/>
          <w:szCs w:val="18"/>
          <w:color w:val="auto"/>
        </w:rPr>
        <w:t>Our success will depend in part on our Manager’s ability to attract, hire, train and retain highly skilled and qualified personnel. In crewing our vessels, we require technically skilled employees with specialized training who can perform physically demanding work. Competition to attract, hire, train and retain qualified crew members is intense. In addition, recently, the limited supply of, and increased demand for, well-qualified crew members, due to the increase in the size of global shipping fleet, has created upward pressure on crewing costs. If we are not able to increase our hire rates to compensate for any crew cost increases, our business, financial condition and results of operations may be adversely affected. Any inability we experience in the future to attract, hire, train and retain a sufficient number of qualified employees could impair our ability to manage, maintain and grow our business.</w:t>
      </w:r>
    </w:p>
    <w:p>
      <w:pPr>
        <w:spacing w:after="0" w:line="303"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Our Chairman and Chief Executive Officer holds approximately 25.4% of our common stock and will be able to exert considerable influence over our actions.</w:t>
      </w:r>
    </w:p>
    <w:p>
      <w:pPr>
        <w:spacing w:after="0" w:line="62"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Our Chairman and Chief Executive Officer, Ms. Angeliki Frangou, owns approximately 25.4% of the outstanding shares of our common stock directly or through her affiliate companies, and has previously filed an amended Schedule 13D indicating that she intends, subject to market conditions, to purchase up to $20.0 million of our common stock (as of April 13, 2021, she had purchased approximately $10.0 million of the total $20.0 million in value of our common stock). As the Chairman, Chief Executive Officer and a significant stockholder, she has the power to exert considerable influence over our actions and the outcome of matters on which our stockholders are entitled to vote including the election of directors and other significant corporate actions. This concentration of ownership may delay, deter or prevent acts that would be favored by our other stockholders or deprive stockholders of an opportunity to receive a premium for their shares as part of a sale of our business, and it is possible that the interests of the controlling stockholders may in some cases conflict with our stockholders. The interests of our principal stockholder may be different from your interests.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loss of key members of our senior management team could disrupt the management of our business.</w:t>
      </w:r>
    </w:p>
    <w:p>
      <w:pPr>
        <w:spacing w:after="0" w:line="11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We believe that our success depends on the continued contributions of the members of our senior management team, including our Chairman, Chief Executive Officer and principal stockholder. The loss of the services of our Chairman and Chief Executive Officer or one of our other executive officers or senior management members could impair our ability to identify and secure new charter contracts, to maintain good customer relations and to otherwise manage our business, which could have a material adverse effect on our financial performance and our ability to compete.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Navios Partners and Navios Acquisition and their affiliates may compete with us.</w:t>
      </w:r>
    </w:p>
    <w:p>
      <w:pPr>
        <w:spacing w:after="0" w:line="117"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We entered into an omnibus agreement with Navios Partners (the “Omnibus Agreement”) in connection with the closing of Navios Partners’ initial public offering governing, among other things, that us and our controlled affiliates (other than Navios Partners, its General Partner and subsidiaries) generally agreed not to acquire or own Panamax or Capesize drybulk carriers under time charters of three or more years without the consent of an independent committee of Navios Holdings. The Omnibus Agreement, however, contains significant exceptions that allow Navios Holdings or any of our controlled affiliates to compete with Navios Partners under specified circumstances. In addition, concurrently with the successful consummation of the initial business combination by Navios Acquisition, on May 28, 2010, because of the overlap between Navios Acquisition, Navios Partners and us, with respect to possible acquisitions under the terms of the Omnibus Agreement, we entered into a business opportunity right of first refusal agreement which provides the types of business opportunities in the marine transportation and logistics industries, we, Navios Partners and Navios Acquisition must share with the each other.</w:t>
      </w:r>
    </w:p>
    <w:p>
      <w:pPr>
        <w:spacing w:after="0" w:line="18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In connection with Navios Maritime Midstream Partners L.P. (“Navios Midstream”) initial public offering and effective November 18, 2014, Navios Holdings entered into the Omnibus Agreement with Navios Midstream, Navios Acquisition and Navios Partners (the “Navios Midstream Omnibus Agreement”) pursuant to which Navios Acquisition, Navios Holdings and Navios Partners have agreed not to acquire or own any very large crude carriers (“VLCCs”), crude oil tankers, refined petroleum product tankers, liquefied petroleum gas (“LPG”) tankers or chemical tankers under time charters of five or more years and also providing rights of first offer on certain tanker vessels.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In connection with the Navios Containers private placement and listing on the Norwegian over-the-counter market effective June 8, 2017, Navios Holdings entered into an omnibus agreement with Navios Containers, Navios Partners, Navios Acquisition and Navios Midstream (the “Navios Containers Omnibus Agreement”), pursuant to which Navios Partners, Navios Holdings, Navios Acquisition and Navios Midstream have granted to Navios Containers a right of first refusal over any container vessels to be sold or acquired in the future. The omnibus agreement contains significant exceptions that will allow Navios Partners, Navios Holdings, Navios Acquisition and Navios Midstream to compete with Navios Containers under specified circumstances.</w:t>
      </w:r>
    </w:p>
    <w:p>
      <w:pPr>
        <w:spacing w:after="0" w:line="300" w:lineRule="exact"/>
        <w:rPr>
          <w:sz w:val="20"/>
          <w:szCs w:val="20"/>
          <w:color w:val="auto"/>
        </w:rPr>
      </w:pPr>
    </w:p>
    <w:p>
      <w:pPr>
        <w:ind w:left="120" w:right="220"/>
        <w:spacing w:after="0" w:line="375" w:lineRule="auto"/>
        <w:rPr>
          <w:sz w:val="20"/>
          <w:szCs w:val="20"/>
          <w:color w:val="auto"/>
        </w:rPr>
      </w:pPr>
      <w:r>
        <w:rPr>
          <w:rFonts w:ascii="Arial" w:cs="Arial" w:eastAsia="Arial" w:hAnsi="Arial"/>
          <w:sz w:val="15"/>
          <w:szCs w:val="15"/>
          <w:b w:val="1"/>
          <w:bCs w:val="1"/>
          <w:i w:val="1"/>
          <w:iCs w:val="1"/>
          <w:color w:val="auto"/>
        </w:rPr>
        <w:t>Our officers, certain of our directors and stockholders are affiliated with entities engaged in business activities similar to those conducted by us, which may compete directly with us, causing such persons to have conflicts of interest and conflicts in the allocation of their time to our business.</w:t>
      </w:r>
    </w:p>
    <w:p>
      <w:pPr>
        <w:spacing w:after="0" w:line="1" w:lineRule="exact"/>
        <w:rPr>
          <w:sz w:val="20"/>
          <w:szCs w:val="20"/>
          <w:color w:val="auto"/>
        </w:rPr>
      </w:pPr>
    </w:p>
    <w:p>
      <w:pPr>
        <w:ind w:left="120" w:right="40" w:firstLine="440"/>
        <w:spacing w:after="0" w:line="268" w:lineRule="auto"/>
        <w:rPr>
          <w:sz w:val="20"/>
          <w:szCs w:val="20"/>
          <w:color w:val="auto"/>
        </w:rPr>
      </w:pPr>
      <w:r>
        <w:rPr>
          <w:rFonts w:ascii="Arial" w:cs="Arial" w:eastAsia="Arial" w:hAnsi="Arial"/>
          <w:sz w:val="17"/>
          <w:szCs w:val="17"/>
          <w:color w:val="auto"/>
        </w:rPr>
        <w:t>Our executive officers, certain of our directors and principal stockholders also serve as executive officers and/or directors in Navios Acquisition and Navios Partners. Certain of our directors are also directors of other shipping companies and they may enter similar businesses in the future. These other affiliations and business activities may give rise to certain conflicts of interest in the course of such individuals’ affiliation with us. Although we do not prevent our directors, officers and principal stockholders from having such affiliations, we use our best efforts to cause such individuals to comply with all applicable laws and regulations in addressing such conflicts of interest. If the separate activities are significantly greater than our activities, there will be material competition for the time and effort of our officers who also provide services to Navios Acquisition and Navios Partners and their respective affiliate companies. Our officers are not required to work full-time on our affairs and, in the future, we may have additional officers that also provide services to these entities. As such, these individuals have fiduciary duties to Navios Partners and Navios Acquisition, which may cause them to pursue business strategies that disproportionately benefit Navios Partners or Navios Acquisition or which otherwise are not in our best interests or those of our stockholders. Conflicts of interest may arise between Navios Partners or Navios Acquisition, on the one hand, and us and our stockholders on the other hand. Based solely on the anticipated relative sizes of our fleet and the fleet owned by the Navios Partners and Navios Acquisition, over the next twelve months, we estimate that certain our officers may spend a substantial portion of their monthly business time dedicated to the business activities of the Navios Partners, Navios Acquisition and their affiliate companies. However, the actual allocation of time could vary significantly from time to time depending on various circumstances and needs of the businesses, such as the relative levels of strategic activities of the businesses.</w:t>
      </w:r>
    </w:p>
    <w:p>
      <w:pPr>
        <w:spacing w:after="0" w:line="290"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b w:val="1"/>
          <w:bCs w:val="1"/>
          <w:i w:val="1"/>
          <w:iCs w:val="1"/>
          <w:color w:val="auto"/>
        </w:rPr>
        <w:t>Fees and cost reimbursements, which the Manager determines for services provided to us, represent significant percentage of our revenues, are payable regardless of profitability and reduce our cash available for distributions.</w:t>
      </w:r>
    </w:p>
    <w:p>
      <w:pPr>
        <w:spacing w:after="0" w:line="62"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A large portion of the management, staffing and administrative services that we require to operate our business are provided to us by the Manager. We pay the Manager, a commercial and technical management fee under the Management Agreement, as well as an administrative services fee under the Administrative Agreement.</w:t>
      </w:r>
    </w:p>
    <w:p>
      <w:pPr>
        <w:spacing w:after="0" w:line="184"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Pursuant to a management agreement, dated August 29, 2019, the Manager provides commercial and technical management services to our vessels at fixed fees until August 29, 2021, which will increase thereafter by 3% annually, unless otherwise agreed. The term of the Management Agreement expires on August 29, 2024. During the remaining years of the term of the management agreement, we will reimburse the Manager for all of the actual operating costs and expenses it incurs in connection with the management of our fleet.</w:t>
      </w:r>
    </w:p>
    <w:p>
      <w:pPr>
        <w:spacing w:after="0" w:line="187"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In addition, the Manager will provide us with administrative services, pursuant to the Administrative Agreement dated August 29, 2019, expiring on August 29, 2024, and we will reimburse the Manager for all costs and expenses reasonably incurred by it in connection with the provision of those services. The exact amount of these future costs and expenses are unquantifiable at this time and they are payable regardless of our profitability.</w:t>
      </w:r>
    </w:p>
    <w:p>
      <w:pPr>
        <w:spacing w:after="0" w:line="149" w:lineRule="exact"/>
        <w:rPr>
          <w:sz w:val="20"/>
          <w:szCs w:val="20"/>
          <w:color w:val="auto"/>
        </w:rPr>
      </w:pPr>
    </w:p>
    <w:p>
      <w:pPr>
        <w:jc w:val="both"/>
        <w:ind w:left="120" w:right="200" w:firstLine="440"/>
        <w:spacing w:after="0" w:line="311" w:lineRule="auto"/>
        <w:rPr>
          <w:sz w:val="20"/>
          <w:szCs w:val="20"/>
          <w:color w:val="auto"/>
        </w:rPr>
      </w:pPr>
      <w:r>
        <w:rPr>
          <w:rFonts w:ascii="Arial" w:cs="Arial" w:eastAsia="Arial" w:hAnsi="Arial"/>
          <w:sz w:val="16"/>
          <w:szCs w:val="16"/>
          <w:color w:val="auto"/>
        </w:rPr>
        <w:t>If we desire to terminate either of these agreements before its scheduled expiration, we must pay a termination fee to the Manager as set forth in the Management Agreement. As a result, our ability to make short-term adjustments to manage our costs by terminating one or both these agreements may be limited which could cause our results of operations and ability to pay cash distributions to be materially and adversely affected.</w:t>
      </w:r>
    </w:p>
    <w:p>
      <w:pPr>
        <w:spacing w:after="0" w:line="14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 xml:space="preserve">For detailed information on the amount of management fees for vessel operating expenses owed under the Management Agreement, please see the section entitled, “Item 7. Major Shareholders and Related Party Transactions – B. Related Party Transactions– Vessel Operating Expenses (management fees)”. </w:t>
      </w:r>
      <w:r>
        <w:rPr>
          <w:rFonts w:ascii="Arial" w:cs="Arial" w:eastAsia="Arial" w:hAnsi="Arial"/>
          <w:sz w:val="18"/>
          <w:szCs w:val="18"/>
          <w:b w:val="1"/>
          <w:bCs w:val="1"/>
          <w:color w:val="auto"/>
        </w:rPr>
        <w:t>Risks Relating to Our Common Stock</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stock price may be volatile, and investors in our common stock could lose all or part of their investment.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factors could cause the price of our common stock in the public market to fluctuate significantly:</w:t>
      </w:r>
    </w:p>
    <w:p>
      <w:pPr>
        <w:spacing w:after="0" w:line="131" w:lineRule="exact"/>
        <w:rPr>
          <w:sz w:val="20"/>
          <w:szCs w:val="20"/>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variations in our quarterly and annual operating results, and shortfalls from levels forecasted by securities analysts;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market valuations of companies in our industry;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fluctuations in the seaborne transportation industry;</w:t>
      </w:r>
    </w:p>
    <w:p>
      <w:pPr>
        <w:sectPr>
          <w:pgSz w:w="11900" w:h="16838" w:orient="portrait"/>
          <w:cols w:equalWidth="0" w:num="1">
            <w:col w:w="11120"/>
          </w:cols>
          <w:pgMar w:left="320" w:top="459" w:right="459" w:bottom="1440" w:gutter="0" w:footer="0" w:header="0"/>
        </w:sectPr>
      </w:pP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120"/>
          </w:cols>
          <w:pgMar w:left="320" w:top="459" w:right="459"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dividend distributions or lack thereof;</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fluctuations in stock market prices and volumes;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governmental regulations or maritime self-regulatory organization standards;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terrorist acts;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investors’ perceptions of 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general state of the securities markets;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issuance of common stock or other securities in the future;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addition or departure of key personnel;</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announcements by us or our competitors of new business or trade routes, acquisitions or mergers and strategic alliances in the shipping industry;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other factors discussed elsewhere in this Annual Report.</w:t>
      </w:r>
    </w:p>
    <w:p>
      <w:pPr>
        <w:spacing w:after="0" w:line="225"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Securities markets worldwide are experiencing significant price and volume fluctuations. The market price for our securities may also be volatile. This market volatility, as well as general economic, market or political conditions, could reduce the market price of our securities in spite of our operating performance. Consequently, this may prevent investors from being able to sell their common stock at or above the price an investor pays for our common stock in an offering.</w:t>
      </w:r>
    </w:p>
    <w:p>
      <w:pPr>
        <w:spacing w:after="0" w:line="295"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Issuance of our common stock, including for debt repayment purposes or otherwise, could cause the price of our common stock to fall, and would dilute your ownership interests.</w:t>
      </w:r>
    </w:p>
    <w:p>
      <w:pPr>
        <w:spacing w:after="0" w:line="62"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In order to raise additional capital, we may issue common stock. We cannot predict the size of future issuances or sales of our common stock, including those made in connection with debt repayment purposes, or the effect, if any, that such issuances or sales may have on the market price of our common stock. The issuance and sale of substantial amounts of common stock, could adversely affect the market price of our common stock, and dilute shareholders’ ownership interests in us.</w:t>
      </w:r>
    </w:p>
    <w:p>
      <w:pPr>
        <w:spacing w:after="0" w:line="295"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The New York Stock Exchange may delist our securities from quotation on its exchange, which could limit your ability to trade our securities and subject us to additional trading restrictions.</w:t>
      </w:r>
    </w:p>
    <w:p>
      <w:pPr>
        <w:spacing w:after="0" w:line="62"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Our securities are listed on the New York Stock Exchange (the “NYSE”), a national securities exchange. The NYSE minimum listing standards require that we meet certain requirements relating to stockholders’ equity, number of round-lot holders, market capitalization, aggregate market value of publicly held shares and distribution requirements. For example, on April 18, 2018, we were notified by the NYSE that we were no longer in compliance with the NYSE’s continued listing standards because the average closing price of our common stock over a consecutive 30 trading-day period was less than $1.00 per common share. Although we regained compliance on January 3, 2019, following a reverse split of our stock, we cannot assure you that our securities will continue to be listed on NYSE in the future. If NYSE delists our securities from trading on its exchange, we could face significant material adverse consequences, including:</w:t>
      </w:r>
    </w:p>
    <w:p>
      <w:pPr>
        <w:spacing w:after="0" w:line="100" w:lineRule="exact"/>
        <w:rPr>
          <w:sz w:val="20"/>
          <w:szCs w:val="20"/>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limited amount of news and analyst coverage for 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decreased ability for us to issue additional securities or obtain additional financing in the future;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limited liquidity for our stockholders due to thin trading; and</w:t>
      </w:r>
    </w:p>
    <w:p>
      <w:pPr>
        <w:spacing w:after="0" w:line="130" w:lineRule="exact"/>
        <w:rPr>
          <w:rFonts w:ascii="Arial" w:cs="Arial" w:eastAsia="Arial" w:hAnsi="Arial"/>
          <w:sz w:val="18"/>
          <w:szCs w:val="18"/>
          <w:color w:val="auto"/>
        </w:rPr>
      </w:pPr>
    </w:p>
    <w:p>
      <w:pPr>
        <w:ind w:left="1080" w:right="200" w:hanging="424"/>
        <w:spacing w:after="0" w:line="263"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loss of our tax exemption under Section 883 of the U.S. Internal Revenue Code of 1986, as amended (the “Code”), loss of preferential capital gain tax rates for certain dividends received by certain non-corporate U.S. holders and loss of “mark-to-market” election by U.S. holders in the event we are treated as a passive foreign investment company (“PFIC”).</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80"/>
          </w:cols>
          <w:pgMar w:left="320" w:top="459" w:right="4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Our Series G and Series H and the Depositary Shares</w:t>
      </w:r>
    </w:p>
    <w:p>
      <w:pPr>
        <w:spacing w:after="0" w:line="121"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Our Series G and Series H are subordinated to our debt obligations, and a holder’s interests could be diluted by the issuance of additional shares, including additional Series G, Series H and by other transactions.</w:t>
      </w:r>
    </w:p>
    <w:p>
      <w:pPr>
        <w:spacing w:after="0" w:line="62"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Our Series G, with a liquidation preference of $2,500.00 per share and our Series H, with a liquidation preference of $2,500.00 per share (the Series G and the Series H together referred to as the “Series G and H”), both represented by American Depositary Shares (the “Depositary Shares”), are subordinated to all of our existing and future indebtedness. As of December 31, 2020, our total debt was $1,612.7 million. We may incur substantial additional debt from time to time in the future, and the terms of the Series G and H do not limit the amount of indebtedness we may incur. In February 2016, we announced the suspension of payment of quarterly dividends on our common stock and on the Series G and Series H. The payment of principal and interest on our debt reduces cash available for distribution to us and on our shares, including the Series G and H and the Depositary Shares, should such dividends be reinstated. We currently have no plans or intention to pay dividends on the Series G or Series H.</w:t>
      </w:r>
    </w:p>
    <w:p>
      <w:pPr>
        <w:spacing w:after="0" w:line="166"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The issuance of additional preferred stock on a parity with or senior to our Series G and H would dilute the interests of the holders of our Series G and H, and any issuance of any preferred stock senior to or on parity with our Series G and H or additional indebtedness could affect our ability to pay dividends on, redeem or pay the liquidation preference on our Series G and H. No provisions relating to our Series G and H protect the holders of our Series G and H in the event of a highly leveraged or other transaction, including a merger or the sale, lease or conveyance of all or substantially all our assets or business, which might adversely affect the holders of our Series G and H.</w:t>
      </w:r>
    </w:p>
    <w:p>
      <w:pPr>
        <w:spacing w:after="0" w:line="176"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Our Series G and H will rank pari passu with any other class or series of our capital stock established after the original issue date of the Series G and H that is not expressly subordinated or senior to the Series G and H (“Parity Securities”) as to the payment of dividends and amounts payable upon liquidation or reorganization. If less than all dividends payable with respect to the Series G and H and any Parity Securities are paid, any partial payment shall be made pro rata with respect to shares of Series G and H and any Parity Securities entitled to a dividend payment at such time in proportion to the aggregate amounts remaining due in respect of such shares at such time.</w:t>
      </w:r>
    </w:p>
    <w:p>
      <w:pPr>
        <w:spacing w:after="0" w:line="296" w:lineRule="exact"/>
        <w:rPr>
          <w:sz w:val="20"/>
          <w:szCs w:val="20"/>
          <w:color w:val="auto"/>
        </w:rPr>
      </w:pPr>
    </w:p>
    <w:p>
      <w:pPr>
        <w:ind w:left="120" w:right="660"/>
        <w:spacing w:after="0" w:line="342" w:lineRule="auto"/>
        <w:rPr>
          <w:sz w:val="20"/>
          <w:szCs w:val="20"/>
          <w:color w:val="auto"/>
        </w:rPr>
      </w:pPr>
      <w:r>
        <w:rPr>
          <w:rFonts w:ascii="Arial" w:cs="Arial" w:eastAsia="Arial" w:hAnsi="Arial"/>
          <w:sz w:val="16"/>
          <w:szCs w:val="16"/>
          <w:b w:val="1"/>
          <w:bCs w:val="1"/>
          <w:i w:val="1"/>
          <w:iCs w:val="1"/>
          <w:color w:val="auto"/>
        </w:rPr>
        <w:t>We may not have sufficient cash from our operations to enable us to pay dividends on or to redeem our Series G and H, and accordingly the Depositary Shares, as the case may be, following the payment of expenses and the establishment of any reserves.</w:t>
      </w:r>
    </w:p>
    <w:p>
      <w:pPr>
        <w:spacing w:after="0" w:line="16"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In February 2016, we announced the suspension of payment of quarterly dividends on the Series G and Series H, and have not paid a quarterly dividend payments on the Series G or Series H since then, and as a result the respective dividend rates increased by 0.25%. We will reinstate and pay quarterly dividends on the Series G and H, and accordingly the Depositary Shares, only from funds legally available for such purpose when, as and if declared by our board of directors. We may not have sufficient cash available to reinstate such dividend or to pay dividends each quarter if and when reinstated. We currently have no plans or intention to pay dividends on the Series G or Series H. In addition, we may have insufficient cash available to redeem the Series G and H, and accordingly the Depositary Shares. The amount of cash we can use to pay dividends or redeem our Series G and H and the Depositary Shares depends upon the amount of cash we generate from our operations, which may fluctuate significantly, and other factors, including the following:</w:t>
      </w:r>
    </w:p>
    <w:p>
      <w:pPr>
        <w:spacing w:after="0" w:line="97" w:lineRule="exact"/>
        <w:rPr>
          <w:sz w:val="20"/>
          <w:szCs w:val="20"/>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our operating cash flow, capital expenditure requirements, working capital requirements and other cash needs;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amount of any cash reserves established by our board of directors;</w:t>
      </w:r>
    </w:p>
    <w:p>
      <w:pPr>
        <w:spacing w:after="0" w:line="130" w:lineRule="exact"/>
        <w:rPr>
          <w:rFonts w:ascii="Arial" w:cs="Arial" w:eastAsia="Arial" w:hAnsi="Arial"/>
          <w:sz w:val="18"/>
          <w:szCs w:val="18"/>
          <w:color w:val="auto"/>
        </w:rPr>
      </w:pPr>
    </w:p>
    <w:p>
      <w:pPr>
        <w:ind w:left="1080" w:right="20" w:hanging="424"/>
        <w:spacing w:after="0" w:line="279" w:lineRule="auto"/>
        <w:tabs>
          <w:tab w:leader="none" w:pos="10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restrictions under our credit facilities and other instruments and agreements governing our existing and future debt, including restrictions under our existing credit facilities and indentures governing our debt securities (other than the indenture governing the newly issued 9.75% Senior Notes due 2024 (the “2024 Notes”) on our ability to pay dividends if an event of default has occurred and is continuing, or if the payment of the dividend would result in an event of default, and on our ability to redeem equity securities;</w:t>
      </w:r>
    </w:p>
    <w:p>
      <w:pPr>
        <w:spacing w:after="0" w:line="76" w:lineRule="exact"/>
        <w:rPr>
          <w:rFonts w:ascii="Arial" w:cs="Arial" w:eastAsia="Arial" w:hAnsi="Arial"/>
          <w:sz w:val="17"/>
          <w:szCs w:val="17"/>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restrictions under Marshall Islands law as described below; and</w:t>
      </w:r>
    </w:p>
    <w:p>
      <w:pPr>
        <w:spacing w:after="0" w:line="130" w:lineRule="exact"/>
        <w:rPr>
          <w:rFonts w:ascii="Arial" w:cs="Arial" w:eastAsia="Arial" w:hAnsi="Arial"/>
          <w:sz w:val="18"/>
          <w:szCs w:val="18"/>
          <w:color w:val="auto"/>
        </w:rPr>
      </w:pPr>
    </w:p>
    <w:p>
      <w:pPr>
        <w:ind w:left="1080" w:right="180" w:hanging="424"/>
        <w:spacing w:after="0" w:line="263"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overall financial and operating performance, which, in turn, is subject to prevailing economic and competitive conditions and to the risks associated with the shipping industry, our dry bulk operations and the other factors described herein, many of which are beyond our control.</w:t>
      </w:r>
    </w:p>
    <w:p>
      <w:pPr>
        <w:spacing w:after="0" w:line="184" w:lineRule="exact"/>
        <w:rPr>
          <w:sz w:val="20"/>
          <w:szCs w:val="20"/>
          <w:color w:val="auto"/>
        </w:rPr>
      </w:pPr>
    </w:p>
    <w:p>
      <w:pPr>
        <w:jc w:val="both"/>
        <w:ind w:left="120" w:right="180" w:firstLine="440"/>
        <w:spacing w:after="0" w:line="279" w:lineRule="auto"/>
        <w:rPr>
          <w:sz w:val="20"/>
          <w:szCs w:val="20"/>
          <w:color w:val="auto"/>
        </w:rPr>
      </w:pPr>
      <w:r>
        <w:rPr>
          <w:rFonts w:ascii="Arial" w:cs="Arial" w:eastAsia="Arial" w:hAnsi="Arial"/>
          <w:sz w:val="17"/>
          <w:szCs w:val="17"/>
          <w:color w:val="auto"/>
        </w:rPr>
        <w:t>The amount of cash we generate from our operations may differ materially from our net income or loss for the period, which will be affected by noncash items, and our board of directors in its discretion may elect not to declare any dividends. We may incur other expenses or liabilities that could reduce or eliminate the cash available for distribution as dividends. As a result of these and the other factors mentioned above, we may pay dividends during periods when we record losses and may not pay dividends during periods when we record net income.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Our ability to pay dividends on and to redeem our Series G and H, and therefore holders’ ability to receive payments on the Depositary Shares, is limited by the requirements of Marshall Islands law.</w:t>
      </w:r>
    </w:p>
    <w:p>
      <w:pPr>
        <w:spacing w:after="0" w:line="62"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If we reinstate the payment of dividends, Marshall Islands law provides that we may pay dividends on and redeem the Series G and H only to the extent that assets are legally available for such purposes. Legally available assets generally are limited to our surplus, which essentially represents our retained earnings, if any, and the excess of consideration received by us for the sale of shares above the par value of the shares. In addition, under Marshall Islands law we may not pay dividends on or redeem Series G and H if we are insolvent or would be rendered insolvent by the payment of such a dividend or the making of such redemption.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Series G and H represent perpetual equity interests.</w:t>
      </w:r>
    </w:p>
    <w:p>
      <w:pPr>
        <w:spacing w:after="0" w:line="117"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The Series G and H represent perpetual equity interests in us and, unlike our indebtedness, will not give rise to a claim for payment of a principal amount at a particular date. As a result, holders of the Series G and H (and accordingly the Depositary Shares) may be required to bear the financial risks of an investment in the Series G and H (and accordingly the Depositary Shares) for an indefinite period of time. In addition, the Series G and H will rank junior to all our indebtedness and other liabilities, and any other senior securities we may issue in the future with respect to assets available to satisfy claims against us.</w:t>
      </w:r>
    </w:p>
    <w:p>
      <w:pPr>
        <w:spacing w:after="0" w:line="296"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Holders of Depositary Shares have extremely limited voting rights, will have even more limited rights than holders of the Series G and H and may encounter difficulties in exercising some of such rights.</w:t>
      </w:r>
    </w:p>
    <w:p>
      <w:pPr>
        <w:spacing w:after="0" w:line="62"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Voting rights of holders of Depositary Shares will be extremely limited. Our common stock is the only class of stock carrying full voting rights. Holders of the Series G and H, and accordingly holders of the Depositary Shares, generally have no voting rights. In February 2016, we announced the suspension of payment of quarterly dividends on the Series G and Series H. As such, (i) we have used commercially reasonable efforts to obtain an amendment to our articles of incorporation to effectuate any and all such changes thereto as may be necessary to permit either the Series G Preferred Shareholders or the Series H Preferred Shareholders, as the case may be, to exercise the voting rights described in the following clause (ii)(x), and (ii) if and when dividends payable on either the Series G or the Series H, as the case may be, are in arrears for six or more quarterly periods, whether or not consecutive (and whether or not such dividends shall have been declared and whether or not there are profits, surplus, or other funds legally available for the payment of dividends), then (x) if our articles of incorporation have been amended as described in the preceding clause (i), the holders of Series G or the holders of Series G, as the case may be, will have the right (voting together as a class with all other classes or series of parity securities upon which like voting rights have been conferred and are exercisable), to elect one additional director to serve on our board of directors, and the size of our board of directors will be increased as needed to accommodate such change (unless the size of our board of directors already has been increased by reason of the election of a director by holders of securities on parity with either the Series G or Series H, as the case may be, upon which like voting rights have been conferred and with which the Series G and H voted as a class for the election of such director), and (y) if our articles of incorporation have not been amended as described in the preceding clause (i), then, until such amendment is fully approved and effective, the dividend rate on the Series G or the Series H, as the case may be, shall increase by 25 basis points. At our respective Annual Meeting of stockholders held on December 15, 2016, December 15, 2017 and December 21, 2018, the Company proposed an amendment to our articles of incorporation to effectuate any and all such changes as were necessary to permit the Series G and/or Series H holders the ability to exercise the certain voting rights described above. These proposals failed to receive the affirmative vote of holders of two-thirds of the Company’s issued and outstanding common stock entitled to vote at the respective Annual Meeting, which was required to approve the proposal. Therefore, since the proposals failed and the dividends for the Series G and Series H are in arrears for six or more quarterly periods the dividend rate on the Series G and Series H have increased by 25 basis points respectively. There can be no assurance that any such further proposal to our stockholders to amend our articles of incorporation will be approved by our common stockholders.</w:t>
      </w:r>
    </w:p>
    <w:p>
      <w:pPr>
        <w:spacing w:after="0" w:line="184"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Furthermore, holders of the Depositary Shares may encounter difficulties in exercising any voting rights acquired by the Series G or the Series H for as long as they hold the Depositary Shares rather than the Series G or the Series H. For example, holders of the Depositary Shares will not be entitled to vote at meetings of holders of Series G or of the Series H, and they will only be able to exercise their limited voting rights by giving timely instructions to CITIBANK, N.A. (the “Depositary”) in advance of any meeting of holders of Series G or the Series H, as the case may be. On March 29, 2021, we entered into an amended and restated deposit agreement with the Depositary, whereby the Depository succeded The Bank of New York Mellon as depositary of the Depositary Shares. The Depositary will be the holder of the Series G or the Series H underlying the Depositary Shares and holders may exercise voting rights with respect to the Series G or the Series H represented by the Depositary Shares only in accordance with the deposit agreement (the “Deposit Agreement”) relating to the Depositary Shares. To the limited extent permitted by the Deposit Agreement, the holders of the Depositary Shares should be able to direct the Depositary to vote the underlying Series G or the Series H, as the case may be, in accordance with their individual instructions. Nevertheless, holders of Depositary Shares may not receive voting materials in time to instruct the Depositary to vote the Series G or the Series H, as the case may be, underlying their Depositary Shares. In addition, the Depositary and its agents are not responsible for failing to carry out voting instructions of the holders of Depositary Shares or for the manner of carrying out such instructions. Accordingly, holders of Depositary Shares may not be able to exercise voting rights, and they will have little, if any, recourse if the underlying Series G or the Series H, as the case may be, is not voted as requested.</w:t>
      </w:r>
    </w:p>
    <w:p>
      <w:pPr>
        <w:sectPr>
          <w:pgSz w:w="11900" w:h="16838" w:orient="portrait"/>
          <w:cols w:equalWidth="0" w:num="1">
            <w:col w:w="11140"/>
          </w:cols>
          <w:pgMar w:left="320" w:top="459" w:right="439" w:bottom="1440" w:gutter="0" w:footer="0" w:header="0"/>
        </w:sectPr>
      </w:pP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140"/>
          </w:cols>
          <w:pgMar w:left="320" w:top="459" w:right="439" w:bottom="1440" w:gutter="0" w:footer="0" w:header="0"/>
          <w:type w:val="continuous"/>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The Depositary Shares lack a well-developed trading market. Various factors may adversely affect the price of the Depositary Shares.</w:t>
      </w:r>
    </w:p>
    <w:p>
      <w:pPr>
        <w:spacing w:after="0" w:line="129"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Even though the Depositary Shares are listed on the NYSE, there may be little or no secondary market for the Depositary Shares, in which case the trading price of the Depositary Shares could be adversely affected and a holder’s ability to transfer its securities will be limited. The Depositary Shares may trade at prices lower than the offering price and the secondary market may not provide sufficient liquidity. In addition, since the Series G and Series H do not have a stated maturity date, investors seeking liquidity in the Depositary Shares will be limited to selling their Depositary Shares in the secondary market absent redemption by us. We do not expect that there will be any other trading market for the Series G and Series H except as represented by the Depositary Shares.</w:t>
      </w:r>
    </w:p>
    <w:p>
      <w:pPr>
        <w:spacing w:after="0" w:line="192"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Other factors, some of which are beyond our control, will also influence the market prices of the Depositary Shares. Factors that might influence the market prices of the Depositary Shares include:</w:t>
      </w:r>
    </w:p>
    <w:p>
      <w:pPr>
        <w:spacing w:after="0" w:line="76" w:lineRule="exact"/>
        <w:rPr>
          <w:sz w:val="20"/>
          <w:szCs w:val="20"/>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whether we are able to reinstate dividends on the Series G and Series H;</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market for similar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issuance of debt or preferred equity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creditworthiness;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financial condition, results of operations and prospects;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economic, financial, geopolitical, regulatory or judicial events that affect us or the financial markets generally.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Accordingly, the Depositary Shares that an investor purchases may trade at a discount to their purchase price.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Depositary Shares became less liquid following the Exchange Offer.</w:t>
      </w:r>
    </w:p>
    <w:p>
      <w:pPr>
        <w:spacing w:after="0" w:line="117"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During March and April 2019, Navios Holdings exchanged cash and/or 2024 Notes for 10,930 Series H and 8,841 Series G, respectively. Following consummation of the Exchange Offer, the number of Depositary Shares that are publicly traded has been reduced and the trading market for the remaining outstanding Depositary Shares may be less liquid and market prices may fluctuate significantly depending on the volume of trading in the Depositary Shares. Therefore, holders whose Depositary Shares were not repurchased will own a greater percentage interest in the remaining outstanding Depositary Shares following consummation of the Exchange Offer. This reduced the volume of trading and make it more difficult to buy or sell significant amounts of Depositary Shares without affecting the market price. Decreased liquidity may make it more difficult for holders of Depositary Shares to sell their Depositary Shares.</w:t>
      </w:r>
    </w:p>
    <w:p>
      <w:pPr>
        <w:spacing w:after="0" w:line="303"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The Series G and H represented by the Depositary Shares have not been rated, and ratings of any other of our securities may affect the trading price of the Depositary Shares.</w:t>
      </w:r>
    </w:p>
    <w:p>
      <w:pPr>
        <w:spacing w:after="0" w:line="62"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We have not sought to obtain a rating for the Series G and H, and both stocks may never be rated. It is possible, however, that one or more rating agencies might independently determine to assign a rating to either the Series G or the Series H or that we may elect to obtain a rating of either our Series G or the Series H in the future. In addition, we have issued securities that are rated and may elect to issue other securities for which we may seek to obtain a rating. Any ratings that are assigned to the Series G or the Series H in the future, that have been issued on our outstanding securities or that may be issued on our other securities, if they are lower than market expectations or are subsequently lowered or withdrawn, could imply a lower relative value for the Series G or the Series H and could adversely affect the market for or the market value of the Depositary Shares of the Series G and H Preferred Shares respectively. Ratings only reflect the views of the issuing rating agency or agencies and such ratings could at any time be revised downward or withdrawn entirely at the discretion of the issuing rating agency. A rating is not a recommendation to purchase, sell or hold any particular security, including the Series G and H and the Depositary Shares. Ratings do not reflect market prices or suitability of a security for a particular investor and any future rating of the Series G and H and the Depositary Shares may not reflect all risks related to us and our business, or the structure or market value of the Series G and H and the Depositary Shares.</w:t>
      </w:r>
    </w:p>
    <w:p>
      <w:pPr>
        <w:spacing w:after="0" w:line="290"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The amount of the liquidation preference of our Series G and H is fixed and holders will have no right to receive any greater payment regardless of the circumstances.</w:t>
      </w:r>
    </w:p>
    <w:p>
      <w:pPr>
        <w:spacing w:after="0" w:line="62"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The payment due upon liquidation for both our Series G and H is fixed at the liquidation preference of $2,500.00 per share (equivalent to $25.00 per Depositary Share) plus accumulated and unpaid dividends to the date of liquidation (whether or not declared). If in the case of our liquidation, there are remaining assets to be distributed after payment of this amount, holders will have no right to receive or to participate in these amounts. Furthermore, if the market price for the Series G or the Series H, as the case may be, is greater than the liquidation preference, holders will have no right to receive the market price from us upon our liquidation.</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The Series G and H are only redeemable at our option and investors should not expect us to redeem either the Series G or the Series H on the dates they respectively become redeemable or on any particular date afterwards.</w:t>
      </w:r>
    </w:p>
    <w:p>
      <w:pPr>
        <w:spacing w:after="0" w:line="62"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We may redeem, at our option, all or from time to time part of the Series G or the Series H. If we redeem the Series G, holders of the Series G will be entitled to receive a redemption price equal to $2,500.00 per share (equivalent to $25.00 per Depositary Share) plus accumulated and unpaid dividends to the date of redemption (whether or not declared). If we redeem the Series H, holders of the Series H will be entitled to receive a redemption price equal to $2,500.00 per share (equivalent to $25.00 per Depositary Share) plus accumulated and unpaid dividends to the date of redemption (whether or not declared). Any decision we may make at any time to propose redemption of either the Series G or the Series H will depend upon, among other things, our evaluation of our capital position, the composition of our shareholders’ equity and general market conditions at that time. In addition, investors might not be able to reinvest the money they receive upon redemption of the Series G or the Series H, as the case may be, in a similar security or at similar rates. We may elect to exercise our partial redemption right on multiple occasions.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Holders of Depositary Shares may be subject to additional risks related to holding Depositary Shares rather than shares.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Because holders of Depositary Shares do not hold their shares directly, they are subject to the following additional risks, among others:</w:t>
      </w:r>
    </w:p>
    <w:p>
      <w:pPr>
        <w:spacing w:after="0" w:line="142" w:lineRule="exact"/>
        <w:rPr>
          <w:sz w:val="20"/>
          <w:szCs w:val="20"/>
          <w:color w:val="auto"/>
        </w:rPr>
      </w:pPr>
    </w:p>
    <w:p>
      <w:pPr>
        <w:ind w:left="1080" w:hanging="424"/>
        <w:spacing w:after="0"/>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 holder of Depositary Shares will not be treated as one of our direct shareholders and may not be able to exercise shareholder rights;</w:t>
      </w:r>
    </w:p>
    <w:p>
      <w:pPr>
        <w:spacing w:after="0" w:line="153" w:lineRule="exact"/>
        <w:rPr>
          <w:rFonts w:ascii="Arial" w:cs="Arial" w:eastAsia="Arial" w:hAnsi="Arial"/>
          <w:sz w:val="16"/>
          <w:szCs w:val="16"/>
          <w:color w:val="auto"/>
        </w:rPr>
      </w:pPr>
    </w:p>
    <w:p>
      <w:pPr>
        <w:jc w:val="both"/>
        <w:ind w:left="1080" w:hanging="424"/>
        <w:spacing w:after="0" w:line="263"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distributions on the Series G and H represented by the Depositary Shares will be paid to the Depositary, and before the Depositary makes a distribution to holder on behalf of the Depositary Shares, withholding taxes or other governmental charges, if any, that must be paid will be deducted;</w:t>
      </w:r>
    </w:p>
    <w:p>
      <w:pPr>
        <w:spacing w:after="0" w:line="89" w:lineRule="exact"/>
        <w:rPr>
          <w:rFonts w:ascii="Arial" w:cs="Arial" w:eastAsia="Arial" w:hAnsi="Arial"/>
          <w:sz w:val="18"/>
          <w:szCs w:val="18"/>
          <w:color w:val="auto"/>
        </w:rPr>
      </w:pPr>
    </w:p>
    <w:p>
      <w:pPr>
        <w:ind w:left="1080" w:right="40" w:hanging="424"/>
        <w:spacing w:after="0" w:line="342" w:lineRule="auto"/>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we and the Depositary may amend or terminate the Deposit Agreement without the consent of holders of the Depositary Shares in a manner that could prejudice holders of Depositary Shares or that could affect their ability to transfer Depositary Shares, among others; and</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Depositary may take other actions inconsistent with the best interests of holders of Depositary Shares.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Navios Logistics</w:t>
      </w:r>
    </w:p>
    <w:p>
      <w:pPr>
        <w:spacing w:after="0" w:line="121"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b w:val="1"/>
          <w:bCs w:val="1"/>
          <w:i w:val="1"/>
          <w:iCs w:val="1"/>
          <w:color w:val="auto"/>
        </w:rPr>
        <w:t>Navios Logistics’ grain port business has seasonal components linked to the grain harvests in the region. At times throughout the year, the capacity of its grain port terminal (the “Grain Terminal”), including the loading and unloading operations, as well as the space in silos could be exceeded, which could materially and adversely affect its operations and revenues.</w:t>
      </w:r>
    </w:p>
    <w:p>
      <w:pPr>
        <w:spacing w:after="0" w:line="76"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A significant portion of Navios Logistics’ grain port business is derived from handling and storage of soybeans and other agricultural products produced in a region of navigable waters in South America on the Parana, Paraguay and Uruguay Rivers and part of the River Plate, which flow through Brazil, Bolivia, Uruguay, Paraguay and Argentina covering the entire length of the Parana River south of the Itaipu Dam, the entire length of the Paraguay River south of Corumba, the Uruguay River and the River Plate west of Buenos Aires (the “Hidrovia Region”), mainly during the season between April and September. This seasonal effect could, in turn, increase the inflow and outflow of barges and vessels in its dry port and cause the space in its silos to be exceeded, which in turn would affect its timely operations or its ability to satisfy the increased demand. Inability to provide services in a timely manner may have a negative impact on its clients’ satisfaction and result in loss of existing contracts or inability to obtain new contracts.</w:t>
      </w:r>
    </w:p>
    <w:p>
      <w:pPr>
        <w:spacing w:after="0" w:line="300" w:lineRule="exact"/>
        <w:rPr>
          <w:sz w:val="20"/>
          <w:szCs w:val="20"/>
          <w:color w:val="auto"/>
        </w:rPr>
      </w:pPr>
    </w:p>
    <w:p>
      <w:pPr>
        <w:ind w:left="120" w:right="300"/>
        <w:spacing w:after="0" w:line="375" w:lineRule="auto"/>
        <w:rPr>
          <w:sz w:val="20"/>
          <w:szCs w:val="20"/>
          <w:color w:val="auto"/>
        </w:rPr>
      </w:pPr>
      <w:r>
        <w:rPr>
          <w:rFonts w:ascii="Arial" w:cs="Arial" w:eastAsia="Arial" w:hAnsi="Arial"/>
          <w:sz w:val="15"/>
          <w:szCs w:val="15"/>
          <w:b w:val="1"/>
          <w:bCs w:val="1"/>
          <w:i w:val="1"/>
          <w:iCs w:val="1"/>
          <w:color w:val="auto"/>
        </w:rPr>
        <w:t>Navios Logistics is subject to certain operating risks in its port terminals that could affect the performance of its contractual commitments which could result in a loss of revenue, and which in turn could have a material adverse effect on its results of operations or financial condition.</w:t>
      </w:r>
    </w:p>
    <w:p>
      <w:pPr>
        <w:spacing w:after="0" w:line="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Navios Logistics operations are subject to a number of risks affecting its port facilities and its construction sites. These risks include, but are not limited to, mechanical and electrical failure, accidents, personal injury, loss or theft of cargo, or damage, fires, explosions, business interruption, political conditions and hostilities, labor strikes, adverse weather conditions such as floods, natural disasters, accidents on waterways or in coastal routes or accidents in its loading or unloading terminals, including environmental accidents and collisions, each of which could potentially result in damages, penalties, fines, indemnities or costs payable to third parties and other claims against Navios Logistics. Further, public health or safety concerns and governmental restrictions, including those caused by outbreaks of pandemic disease such as the recent global outbreak of novel coronavirus disease (COVID-19 pandemic), may cause Navios Logistics to suspend operations in affected areas. Navios Logistics’ exposure to these operating risks in its port terminals may adversely affect its capacity to duly perform its contractual obligations under its take-or-pay contracts. In addition, these operating risks may result in additional repair costs for equipment, including cranes, conveyor belts, stacker-reclaimer, shiploaders, or piers, which are unpredictable and can be substantial. The loss of earnings while these damages are being repaired, as well as the actual cost of these repairs, could decrease Navios Logistics’ revenues and earnings substantially, particularly if this leads to a default under its contracts, which would materially affect its financial condition and results of operations.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b w:val="1"/>
          <w:bCs w:val="1"/>
          <w:i w:val="1"/>
          <w:iCs w:val="1"/>
          <w:color w:val="auto"/>
        </w:rPr>
        <w:t>Navios Logistics derives a significant part of its revenues from a small number of customers, and the loss of one or more of these customers could materially and adversely affect its revenues.</w:t>
      </w:r>
    </w:p>
    <w:p>
      <w:pPr>
        <w:spacing w:after="0" w:line="62"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In each of Navios Logistics’ businesses, a significant part of its revenues derives from a small number of customers. Navios Logistics expects that a small number of customers will continue to generate a substantial portion of its revenues for the foreseeable future. For the year ended December 31, 2020, its largest customer, Vale International S.A. (“Vale”), accounted for 31.8% of its revenues and its five largest customers accounted for approximately 58.7% of its revenues, with no such customer (other than Vale) accounting for greater than 10% of its revenues. For the year ended December 31, 2019, its largest customer, Vale, accounted for 36.4% of its revenues and its five largest customers accounted for approximately 64.0% of its revenues, with no such customer (other than Vale) accounting for greater than 10% of its revenues. For the year ended December 31, 2018, its three largest customers, Vale, Cammesa S.A. (“Cammesa”) and Axion Energy Paraguay S.A. (“Axion Energy”), accounted for 32.2%, 10.6% and 10.3% of its revenues, respectively, and its five largest customers accounted for approximately 65.3% of its revenues, with no such customer (other than Vale, Cammesa or Axion Energy) accounting for greater than 10% of its consolidated revenues. Navios Logistics expects that such customers will continue to generate a substantial portion of its revenues for the foreseeable future. In addition, some of Navios Logistics’ customers, including many of its most significant customers, operate their own vessels and/or barges as well as port terminals and these customers may decide to cease or reduce the use of its services for various reasons, including employment of their own vessels or port terminals as applicable. The loss of any of its significant customers, including its large take-or-pay customers, or the change of the contractual terms of any one of its most significant take-or-pay contracts or any significant dispute with one of these customers could materially and adversely affect its financial condition and our results of operations.</w:t>
      </w:r>
    </w:p>
    <w:p>
      <w:pPr>
        <w:spacing w:after="0" w:line="171" w:lineRule="exact"/>
        <w:rPr>
          <w:sz w:val="20"/>
          <w:szCs w:val="20"/>
          <w:color w:val="auto"/>
        </w:rPr>
      </w:pPr>
    </w:p>
    <w:p>
      <w:pPr>
        <w:jc w:val="both"/>
        <w:ind w:left="120" w:right="400" w:firstLine="440"/>
        <w:spacing w:after="0" w:line="263" w:lineRule="auto"/>
        <w:rPr>
          <w:sz w:val="20"/>
          <w:szCs w:val="20"/>
          <w:color w:val="auto"/>
        </w:rPr>
      </w:pPr>
      <w:r>
        <w:rPr>
          <w:rFonts w:ascii="Arial" w:cs="Arial" w:eastAsia="Arial" w:hAnsi="Arial"/>
          <w:sz w:val="18"/>
          <w:szCs w:val="18"/>
          <w:color w:val="auto"/>
        </w:rPr>
        <w:t>If one or more of Navios Logistics’ customers does not perform under one or more contracts with it and Navios Logistics is not able to find a replacement contract, or if a customer exercises certain rights to terminate the contract, Navios Logistics could suffer a loss of revenues that could materially and adversely affect its business, financial condition and results of operations.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Navios Logistics could lose a customer or the benefits of a contract if, among other things:</w:t>
      </w:r>
    </w:p>
    <w:p>
      <w:pPr>
        <w:spacing w:after="0" w:line="131" w:lineRule="exact"/>
        <w:rPr>
          <w:sz w:val="20"/>
          <w:szCs w:val="20"/>
          <w:color w:val="auto"/>
        </w:rPr>
      </w:pPr>
    </w:p>
    <w:p>
      <w:pPr>
        <w:ind w:left="1080" w:right="300" w:hanging="424"/>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customer fails to make payments because of its financial inability, the curtailment or cessation of its operations, disagreements with Navios Logistics or otherwise;</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customer terminates the contract because Navios Logistics fails to meet its contracted storage needs and/or the contracted operational performance;</w:t>
      </w:r>
    </w:p>
    <w:p>
      <w:pPr>
        <w:spacing w:after="0" w:line="75" w:lineRule="exact"/>
        <w:rPr>
          <w:rFonts w:ascii="Arial" w:cs="Arial" w:eastAsia="Arial" w:hAnsi="Arial"/>
          <w:sz w:val="18"/>
          <w:szCs w:val="18"/>
          <w:color w:val="auto"/>
        </w:rPr>
      </w:pPr>
    </w:p>
    <w:p>
      <w:pPr>
        <w:ind w:left="1080" w:right="140" w:hanging="424"/>
        <w:spacing w:after="0" w:line="308" w:lineRule="auto"/>
        <w:tabs>
          <w:tab w:leader="none" w:pos="10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customer terminates the contract because Navios Logistics fails to deliver the vessel within a fixed period of time, the vessel is lost or damaged beyond repair, there are serious deficiencies in the vessel or prolonged off-hire, default under the contract; or</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customer terminates the contract because the vessel has been subject to seizure for more than a specified number of days.</w:t>
      </w:r>
    </w:p>
    <w:p>
      <w:pPr>
        <w:spacing w:after="0" w:line="23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loss of any of its charterers, time charters or vessels, or a decline in payments under its time charters, could have a material adverse effect on its business, results of operations and financial condition, as well as its cash flows, including cash available for distributions to its common shareholders, or its ability to continue to service its indebtedness.</w:t>
      </w:r>
    </w:p>
    <w:p>
      <w:pPr>
        <w:spacing w:after="0" w:line="18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Navios Logistics could also become involved in legal disputes with customers, including but not limited to Navios Logistics’ long-term take-or pay customers, relating to its contracts, be it through litigation, arbitration or otherwise, which could lead to delays in, or suspension or termination of its contracts and result in time-consuming, disruptive and expensive litigation or arbitration. If such contracts are suspended for an extended period of time, or if a number of Navios Logistics’ material contracts are terminated or renegotiated, its financial condition and results of operations could be materially and adversely affected. Even if Navios Logistics prevail in legal disputes relating to its customer contracts, which could entitle it to compensation, Navios Logistics cannot assure you that it would receive such compensation on a timely basis or in an amount that would fully compensate Navios Logistics for its losses.</w:t>
      </w:r>
    </w:p>
    <w:p>
      <w:pPr>
        <w:spacing w:after="0" w:line="303" w:lineRule="exact"/>
        <w:rPr>
          <w:sz w:val="20"/>
          <w:szCs w:val="20"/>
          <w:color w:val="auto"/>
        </w:rPr>
      </w:pPr>
    </w:p>
    <w:p>
      <w:pPr>
        <w:ind w:left="120" w:right="240"/>
        <w:spacing w:after="0" w:line="342" w:lineRule="auto"/>
        <w:rPr>
          <w:sz w:val="20"/>
          <w:szCs w:val="20"/>
          <w:color w:val="auto"/>
        </w:rPr>
      </w:pPr>
      <w:r>
        <w:rPr>
          <w:rFonts w:ascii="Arial" w:cs="Arial" w:eastAsia="Arial" w:hAnsi="Arial"/>
          <w:sz w:val="16"/>
          <w:szCs w:val="16"/>
          <w:b w:val="1"/>
          <w:bCs w:val="1"/>
          <w:i w:val="1"/>
          <w:iCs w:val="1"/>
          <w:color w:val="auto"/>
        </w:rPr>
        <w:t>Vale’s payments represent a significant portion of Navios Logistics’ revenue and if Vale were unable or unwilling to fulfill their obligations under the in-force agreements with Navios Logistics, it could significantly reduce Navios Logistics’ revenues and cash flow.</w:t>
      </w:r>
    </w:p>
    <w:p>
      <w:pPr>
        <w:spacing w:after="0" w:line="16"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Vale’s payments, including in connection with the Vale port contract, to Navios Logistics represented a significant source of Navios Logistics revenue. Reductions in the demand for or the oversupply of iron ore would place Vale under financial pressure and may increase the likelihood of Vale being unable or unwilling to pay Navios Logistics contracted rates or renew contracts upon termination.</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If Vale were to terminate or not renew the Vale port contract, Navios Logistics may be unable to enter into new contracts under similarly favorable terms or at all.</w:t>
      </w:r>
    </w:p>
    <w:p>
      <w:pPr>
        <w:spacing w:after="0" w:line="170" w:lineRule="exact"/>
        <w:rPr>
          <w:sz w:val="20"/>
          <w:szCs w:val="20"/>
          <w:color w:val="auto"/>
        </w:rPr>
      </w:pPr>
    </w:p>
    <w:p>
      <w:pPr>
        <w:ind w:left="120" w:right="80" w:firstLine="440"/>
        <w:spacing w:after="0" w:line="287" w:lineRule="auto"/>
        <w:rPr>
          <w:sz w:val="20"/>
          <w:szCs w:val="20"/>
          <w:color w:val="auto"/>
        </w:rPr>
      </w:pPr>
      <w:r>
        <w:rPr>
          <w:rFonts w:ascii="Arial" w:cs="Arial" w:eastAsia="Arial" w:hAnsi="Arial"/>
          <w:sz w:val="16"/>
          <w:szCs w:val="16"/>
          <w:color w:val="auto"/>
        </w:rPr>
        <w:t>In addition, the ability and willingness of Vale to perform its obligations under the agreements with charter parties and the iron ore port (the “Iron Ore Terminal”) service contract will depend upon a number of factors that are beyond Navios Logistics’ control and may include, among other things, general conditions of the Brazilian economy, general international economic conditions, the state of the capital markets, the condition of the commodities industry and charter hire rates. Should Vale fail to honor its obligations under the agreements with Navios Logistics, Navios Logistics could sustain significant losses, which in turn could have a material adverse effect on Navios Logistics’ business, results of operations and financial condition, as well as its cash flows. Notwithstanding the foregoing, Navios Logistics’ contracts have dispute resolution clauses and protections that it may seek to enforce in such events. For example, on June 10, 2016, Navios Logistics initiated arbitration proceedings against Vale pursuant to the dispute resolution provisions of the service contract relating to the iron ore terminal in Nueva Palmira. On December 20, 2016, the arbitration tribunal ruled that the Vale port contract remains in full force and effect, and if Vale were to further repudiate or renounce the contract, Navios Logistics may elect to terminate the contract and be entitled to damages calculated by reference to guaranteed volumes and agreed tariffs for the remaining period of the contract. As of the date hereof, no further claim has been made or received from Vale. Any litigation or arbitration proceeding would be costly and time consuming and may result in the deterioration of Navios Logistics’ commercial relationships with Vale.</w:t>
      </w:r>
    </w:p>
    <w:p>
      <w:pPr>
        <w:spacing w:after="0" w:line="276" w:lineRule="exact"/>
        <w:rPr>
          <w:sz w:val="20"/>
          <w:szCs w:val="20"/>
          <w:color w:val="auto"/>
        </w:rPr>
      </w:pPr>
    </w:p>
    <w:p>
      <w:pPr>
        <w:ind w:left="120" w:right="20"/>
        <w:spacing w:after="0" w:line="375" w:lineRule="auto"/>
        <w:rPr>
          <w:sz w:val="20"/>
          <w:szCs w:val="20"/>
          <w:color w:val="auto"/>
        </w:rPr>
      </w:pPr>
      <w:r>
        <w:rPr>
          <w:rFonts w:ascii="Arial" w:cs="Arial" w:eastAsia="Arial" w:hAnsi="Arial"/>
          <w:sz w:val="15"/>
          <w:szCs w:val="15"/>
          <w:b w:val="1"/>
          <w:bCs w:val="1"/>
          <w:i w:val="1"/>
          <w:iCs w:val="1"/>
          <w:color w:val="auto"/>
        </w:rPr>
        <w:t>Navios Logistics’ business can be affected by adverse weather conditions, public health concerns, effects of climate change and other factors beyond its control, that can affect production of the goods it transports and stores as well as the navigability of the river system on which it operates.</w:t>
      </w:r>
    </w:p>
    <w:p>
      <w:pPr>
        <w:spacing w:after="0" w:line="1" w:lineRule="exact"/>
        <w:rPr>
          <w:sz w:val="20"/>
          <w:szCs w:val="20"/>
          <w:color w:val="auto"/>
        </w:rPr>
      </w:pPr>
    </w:p>
    <w:p>
      <w:pPr>
        <w:ind w:left="120" w:right="60" w:firstLine="440"/>
        <w:spacing w:after="0" w:line="253" w:lineRule="auto"/>
        <w:rPr>
          <w:sz w:val="20"/>
          <w:szCs w:val="20"/>
          <w:color w:val="auto"/>
        </w:rPr>
      </w:pPr>
      <w:r>
        <w:rPr>
          <w:rFonts w:ascii="Arial" w:cs="Arial" w:eastAsia="Arial" w:hAnsi="Arial"/>
          <w:sz w:val="18"/>
          <w:szCs w:val="18"/>
          <w:color w:val="auto"/>
        </w:rPr>
        <w:t>A significant portion of Navios Logistics’ business is derived from the transportation, handling and storage of iron ore, soybeans and other agricultural products produced in the Hidrovia Region. Any drought or other adverse weather conditions, such as floods, could result in a decline in production of these products, which would likely result in a reduction in demand for the services offered by Navios Logistics. This would, in turn, negatively impact its results of operations and financial condition. Furthermore, Navios Logistics’ fleet operates in the Parana and Paraguay Rivers, and any changes adversely affecting navigability of either of these rivers, such as changes in the depth of the water or the width of the navigable channel, could, in the short-term, reduce or limit its ability to effectively transport cargo on the rivers. The possible effects of climate change, such as floods, droughts or increased storm activity, could similarly affect the demand for its services or its operations. Further, the impact of the COVID-19 pandemic may impact Navios Logistics operations and, as a result, could have a material adverse impact its business, financial condition, results of operations or prospects.</w:t>
      </w:r>
    </w:p>
    <w:p>
      <w:pPr>
        <w:spacing w:after="0" w:line="196"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A prolonged drought, the possible effects of climate change, widespread or prolonged public health concerns including those relating to the COVID-19 pandemic or other turns of events that are perceived by the market to have an impact on the region, the navigability of the Parana or Paraguay Rivers or Navios Logistics’ business in general may, in the short-term, result in a reduction in the market value of its ports, barges and pushboats that operate in the region. For example, in 2020, throughput of Navios Logistics’ grain terminal decreased by 27.3% compared to 2019 as a result of lower Uruguayan exports due to reduced Uruguayan soybean production and lower transshipment of grains from Paraguay and Bolivia due to difficult navigation conditions because of a prolonged period of unusually warm weather and a drought in southern Brazil, Paraguay and northern Argentina resulted in water levels in the Paraná River dropping to their lowest levels in decades. Such difficult conditions also adversely affected Navios Logistics’ barge business through 2020. These barges and pushboats are designed to operate in wide and relatively calm rivers, of which there are only a few in the world. If it becomes difficult or impossible to operate profitably Navios Logistics’ barges and pushboats in the Hidrovia Region and Navios Logistics is forced to sell them to a third party located outside of the region, there is a limited market in which it would be able to sell these vessels, and accordingly it may be forced to sell them at a substantial loss, if at all.</w:t>
      </w:r>
    </w:p>
    <w:p>
      <w:pPr>
        <w:spacing w:after="0" w:line="290"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Navios Logistics may be unable to obtain financing for its growth or to fund its future capital expenditures, which could materially adversely affect its results of operations and financial condition.</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Navios Logistics’ capital expenditures during the years ended December 31, 2020, 2019 and 2018 were $8.4 million, $7.9 million and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$19.6 million, respectively, mainly used to acquire and/or pay installments for among others one newbuilding estuary tanker vessel, six newbuilding</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liquid barges, three pushboats and to expand Navios Logistics’ port terminal operations through the construction of an iron ore port terminal facility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development of a new upriver terminal. In order to follow its current strategy for growth, Navios Logistics will need to fund future asset or business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acquisitions, increase working capital levels and increase capital expenditures. Further, the construction of Navios Logistics’ planned Port Murtinho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multipurpose port terminal and Nueva Palmira Free Zone new liquid port terminal may result in a material increase in its capital expenditures.</w:t>
      </w:r>
    </w:p>
    <w:p>
      <w:pPr>
        <w:spacing w:after="0" w:line="15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In the future, Navios Logistics will also need to make capital expenditures required to maintain its current ports, fleet and infrastructure. Cash generated from its earnings may not be sufficient to fund all of these measures. Accordingly, Navios Logistics may need to raise capital through borrowings or the sale of debt or equity securities. Navios Logistics’ ability to obtain bank financing or to access the capital markets for future offerings may be limited by its financial condition at the time of any such financing or offering, as well as by adverse market conditions resulting from, among other things, general economic conditions and contingencies and uncertainties that are beyond its control, including disruptions in the international financial markets as a result of the ongoing COVID-19 pandemic. If Navios Logistics fails to obtain the funds necessary for capital expenditures required to maintain its ports, fleet and infrastructure, it may be forced to take vessels out of service or curtail operations, which could materially harm its revenues and profitability. If Navios Logistics fails to obtain the funds that might be necessary to acquire new vessels, expand its existing infrastructure, or increase its working capital or capital expenditures, Navios Logistics might not be able to grow its business and its earnings could suffer. Furthermore, despite covenants under the indenture governing the 2025 Logistics Senior Notes and the agreements governing its other indebtedness, Navios Logistics will be permitted to incur additional indebtedness, which would limit cash available for working capital, and to service its indebtedness.</w:t>
      </w:r>
    </w:p>
    <w:p>
      <w:pPr>
        <w:spacing w:after="0" w:line="287"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b w:val="1"/>
          <w:bCs w:val="1"/>
          <w:i w:val="1"/>
          <w:iCs w:val="1"/>
          <w:color w:val="auto"/>
        </w:rPr>
        <w:t>Navios Logistics’ failure to receive required approvals for or timely complete construction and commence full operation or secure satisfactory commercial contracts of the planned Port Murtinho and Nueva Palmira Free Zone port terminal facilities could negatively affect Navios Logistics’ business operations, and Navios Logistics may experience difficulty managing its growth as they expanding its business.</w:t>
      </w:r>
    </w:p>
    <w:p>
      <w:pPr>
        <w:spacing w:after="0" w:line="41" w:lineRule="exact"/>
        <w:rPr>
          <w:sz w:val="20"/>
          <w:szCs w:val="20"/>
          <w:color w:val="auto"/>
        </w:rPr>
      </w:pPr>
    </w:p>
    <w:p>
      <w:pPr>
        <w:ind w:left="120" w:right="100" w:firstLine="440"/>
        <w:spacing w:after="0" w:line="290" w:lineRule="auto"/>
        <w:rPr>
          <w:sz w:val="20"/>
          <w:szCs w:val="20"/>
          <w:color w:val="auto"/>
        </w:rPr>
      </w:pPr>
      <w:r>
        <w:rPr>
          <w:rFonts w:ascii="Arial" w:cs="Arial" w:eastAsia="Arial" w:hAnsi="Arial"/>
          <w:sz w:val="16"/>
          <w:szCs w:val="16"/>
          <w:color w:val="auto"/>
        </w:rPr>
        <w:t>Navios Logistics is currently developing a multipurpose upriver port terminal in Port Murtinho in the State of Mato Grosso do Sul, in the center-west region of Brazil, for exports of agricultural commodities and imports of fertilizers and fuel products. In 2018, Navios Logistics purchased approximately 3.5 hectares of undeveloped, river-front land located in Port Murtinho in which the new terminal is expected to be constructed. In 2019 and 2020, Navios Logistics purchased approximately 3.2 additional hectares bordering the original land acquired and on March 24, 2021 acquired 2.3 additional hectares. The new terminal is expected to service the needs of Navios Logistics’ clients for exports of soybeans, grains, sugar and other agricultural commodities and imports of fertilizers and fuel products. Navios Logistics has developed a master plan for the new terminal and concluded the licensing process for construction. As of the date of this report, Navios Logistics expects to complete construction of the new terminal in 2022. The new terminal is still in the early stages of development, and there can be no assurance that it will be constructed.</w:t>
      </w:r>
    </w:p>
    <w:p>
      <w:pPr>
        <w:spacing w:after="0" w:line="165"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Navios Logistics has available land in Brazil and Uruguay where Navios Logistics plans to develop the new terminals, and will need to receive required authorizations from several governmental authorities in order to do so. If these authorities deny Navios Logistics’ request for authorization, or if existing authorizations are revoked, Navios Logistics will not be able to proceed with construction. Navios Logistics also has 144 acres available to be developed inside or near the Nueva Palmira Free Zone in Uruguay. In part of this available land, Navios Logistics plans to develop a new terminal for refined liquid products. The new liquid terminal will service the market for the storage and transshipment of fuel products for export to other countries via the Hidrovia Waterway and the sale of fuel products within Nueva Palmira Free Zone for bunkering operations of vessels and push boats. The development of this terminal depends on numerous governmental authorizations and permits. The new liquid terminal can also service the market for storage and sale of fuel products in Uruguay, however this operation requires a regulatory change that would open up the market to the private sector for import of fuel products in Uruguay, which is currently a state monopoly. Before commencement of operations of the new liquid terminal, Navios Logistics intends to start liquid operations in the area by selling liquid products within the Nueva Palmira Free Zone, which does not require any change in local regulation. There can be no assurance that Navios Logistics will obtain all necessary authorizations and permits, or this change in regulation will materialize, or that the new liquid terminal in Nueva Palmira will be constructed.</w:t>
      </w:r>
    </w:p>
    <w:p>
      <w:pPr>
        <w:spacing w:after="0" w:line="168"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If Navios Logistics’ fails to secure commercial agreements with prospective clients to its satisfaction, Navios Logistics may decide to delay or not proceed with these investments. Further, there can be no assurance that Navios Logistics will complete the expected development of the new terminals or complete construction of the new terminals as scheduled or without cost overrun. Even if construction is completed on a timely basis, there can be no assurance that full operation of the new terminals will commence as expected. In addition, Navios Logistics may not be able to attract a sufficient number of skilled workers to meet the needs of the new terminals. If Navios Logistics experiences delays in construction or commencement of the full operations, increased costs or lack of skilled labor or other unforeseen events, its business, financial condition and results of operations could be materially and adversely affected.</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risks and costs associated with ports as well as vessels increase as the operational port equipment and vessels age.</w:t>
      </w:r>
    </w:p>
    <w:p>
      <w:pPr>
        <w:spacing w:after="0" w:line="117" w:lineRule="exact"/>
        <w:rPr>
          <w:sz w:val="20"/>
          <w:szCs w:val="20"/>
          <w:color w:val="auto"/>
        </w:rPr>
      </w:pPr>
    </w:p>
    <w:p>
      <w:pPr>
        <w:ind w:left="120" w:right="220" w:firstLine="991"/>
        <w:spacing w:after="0" w:line="255" w:lineRule="auto"/>
        <w:rPr>
          <w:sz w:val="20"/>
          <w:szCs w:val="20"/>
          <w:color w:val="auto"/>
        </w:rPr>
      </w:pPr>
      <w:r>
        <w:rPr>
          <w:rFonts w:ascii="Arial" w:cs="Arial" w:eastAsia="Arial" w:hAnsi="Arial"/>
          <w:sz w:val="18"/>
          <w:szCs w:val="18"/>
          <w:color w:val="auto"/>
        </w:rPr>
        <w:t>The costs to operate and maintain a port or a vessel increase with the age of the port equipment or the vessel. Governmental regulations, safety or other equipment standards related to the age of the operational port equipment or vessels may require expenditures for alterations or the addition of new equipment to Navios Logistics’ port equipment or vessels and may restrict the type of activities in which these ports or vessels may engage. The failure to make capital expenditures to alter or add new equipment to its barges, pushboats, vessels and/or ports may restrict the type of activities in which these barges, pushboats, vessels and/or ports may engage and may decrease their operational efficiency and increase Navios Logistics’ costs.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As charterers prefer newer vessels that are more fuel efficient than older vessels, the age of some of Navios Logistics’ vessels, barges and pushboats may make them less attractive to charterers. Cargo insurance rates also increase with the age of a vessel, making older vessels less desirable to charterers as well. The ages and rates at which risks and costs associated with vessels increase are dependent on numerous, complex factors and may vary substantially from vessel to vessel. Such factors include the condition of the vessel, the nature of the use of the vessel (including whether the vessel is used in fresh water, in which vessels typically have a longer a useful life, or salt water), whether various additional life-extending investments have been made in the vessel, any prior owner maintenance and operating practices, the nature of cargoes that could be carried, and the possibility that such vessels could be used in ports and docks, which could increase the wear on the vessel.</w:t>
      </w:r>
    </w:p>
    <w:p>
      <w:pPr>
        <w:spacing w:after="0" w:line="17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Navios Logistics cannot assure you that, as its operational port equipment and vessels barges and pushboats age, market conditions will justify those expenditures or enable Navios Logistics to operate them profitably during the remainder of their useful lives. If Navios Logistics sells such assets, it may have to sell them at a loss, or opt to scrap its assets, and if clients no longer use its ports or charter-out its vessels due to their age, its results of operations could be materially and adversely affected.</w:t>
      </w:r>
    </w:p>
    <w:p>
      <w:pPr>
        <w:spacing w:after="0" w:line="295" w:lineRule="exact"/>
        <w:rPr>
          <w:sz w:val="20"/>
          <w:szCs w:val="20"/>
          <w:color w:val="auto"/>
        </w:rPr>
      </w:pPr>
    </w:p>
    <w:p>
      <w:pPr>
        <w:ind w:left="120" w:right="200"/>
        <w:spacing w:after="0" w:line="375" w:lineRule="auto"/>
        <w:rPr>
          <w:sz w:val="20"/>
          <w:szCs w:val="20"/>
          <w:color w:val="auto"/>
        </w:rPr>
      </w:pPr>
      <w:r>
        <w:rPr>
          <w:rFonts w:ascii="Arial" w:cs="Arial" w:eastAsia="Arial" w:hAnsi="Arial"/>
          <w:sz w:val="15"/>
          <w:szCs w:val="15"/>
          <w:b w:val="1"/>
          <w:bCs w:val="1"/>
          <w:i w:val="1"/>
          <w:iCs w:val="1"/>
          <w:color w:val="auto"/>
        </w:rPr>
        <w:t>Spare parts or other key equipment needed for the operation of Navios Logistics’ ports and fleet may not be available off the shelf and it may face substantial delays, which could result in loss of revenues while waiting for those spare parts to be produced and delivered to Navios Logistics.</w:t>
      </w:r>
    </w:p>
    <w:p>
      <w:pPr>
        <w:spacing w:after="0" w:line="1"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Navios Logistics’ ports and its fleet may need spare parts to be provided in order to replace old or damaged parts in the normal course of its operations. Given the increased activity in the maritime industry and the industry that supplies it, the manufacturers of key equipment for Navios Logistics’ vessels and its ports (such as engine makers, propulsion systems makers, control system makers and others) may not have the spare parts needed available immediately (or off the shelf) and may have to produce them when required. If this was the case, Navios Logistics vessels and ports may be unable to operate while waiting for such spare parts to be produced, delivered, installed and tested, resulting in a substantial loss of revenues for Navios Logistics.</w:t>
      </w:r>
    </w:p>
    <w:p>
      <w:pPr>
        <w:spacing w:after="0" w:line="300" w:lineRule="exact"/>
        <w:rPr>
          <w:sz w:val="20"/>
          <w:szCs w:val="20"/>
          <w:color w:val="auto"/>
        </w:rPr>
      </w:pPr>
    </w:p>
    <w:p>
      <w:pPr>
        <w:ind w:left="120" w:right="360"/>
        <w:spacing w:after="0" w:line="311" w:lineRule="auto"/>
        <w:rPr>
          <w:sz w:val="20"/>
          <w:szCs w:val="20"/>
          <w:color w:val="auto"/>
        </w:rPr>
      </w:pPr>
      <w:r>
        <w:rPr>
          <w:rFonts w:ascii="Arial" w:cs="Arial" w:eastAsia="Arial" w:hAnsi="Arial"/>
          <w:sz w:val="16"/>
          <w:szCs w:val="16"/>
          <w:b w:val="1"/>
          <w:bCs w:val="1"/>
          <w:i w:val="1"/>
          <w:iCs w:val="1"/>
          <w:color w:val="auto"/>
        </w:rPr>
        <w:t>As Navios Logistics expands its business, it may have difficulty managing its growth, including the need to improve its operations and financial systems, staff and crew or to receive required approvals to implement its expansion projects. If Navios Logistics cannot improve these systems, recruit suitable employees or obtain required approvals, it may not be able to effectively control its operations.</w:t>
      </w:r>
    </w:p>
    <w:p>
      <w:pPr>
        <w:spacing w:after="0" w:line="41"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Navios Logistics intends to grow its port terminal, barge and cabotage businesses, either through land acquisition and expansion of its port facilities, through purchases of additional vessels, through charter-in vessels or acquisitions of other logistics and related or complementary businesses. The expansion and acquisition of new land or addition of vessels to its fleet will require funding, impose significant additional responsibilities on its management and staff, and may require Navios Logistics to increase the number of its personnel. Navios Logistics will also have to increase its customer base to provide continued activity for the new businesses.</w:t>
      </w:r>
    </w:p>
    <w:p>
      <w:pPr>
        <w:spacing w:after="0" w:line="188"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In addition, approval of governmental, regulatory and other authorities may be needed to implement any acquisitions or expansions. For example, Navios Logistics has available land in Brazil, and Uruguay where it plans to develop or expand its port facilities. In order to complete these projects, however, Navios Logistics needs to receive required authorization from several authorities. If these authorities deny its request for authorization, or if existing authorizations are revoked, Navios Logistics will not be able to proceed with these projects.</w:t>
      </w:r>
    </w:p>
    <w:p>
      <w:pPr>
        <w:spacing w:after="0" w:line="171"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Growing any business by acquisition presents numerous risks. Acquisitions expose Navios Logistics to the risk of successor liability relating to actions involving an acquired company, its management or contingent liabilities incurred before the acquisition. The due diligence Navios Logistics conducts in connection with an acquisition, and any contractual guarantees or indemnities that it receives from the sellers of acquired companies or assets may not be sufficient to protect it from, or compensate it for, actual liabilities. Any material liability associated with an acquisition could adversely affect Navios Logistics’ reputation and results of operations and reduce the benefits of the acquisition. Other risks presented include difficulty in obtaining additional qualified personnel, managing relationships with customers and suppliers and integrating newly acquired assets or operations into existing infrastructures.</w:t>
      </w:r>
    </w:p>
    <w:p>
      <w:pPr>
        <w:spacing w:after="0" w:line="195"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Management is unable to predict whether or when any prospective acquisition will occur, or the likelihood of a certain transaction being completed on favorable terms and conditions. Navios Logistics’ ability to expand its business through acquisitions depends on many factors, including its ability to identify acquisitions or access capital markets at an acceptable cost and negotiate favorable transaction terms. Navios Logistics cannot give any assurance that it will be successful in executing its growth plans or that it will not incur significant expenses and losses in connection therewith or that its acquisitions will perform as expected, which could materially adversely affect its results of operations and financial condition.</w:t>
      </w:r>
    </w:p>
    <w:p>
      <w:pPr>
        <w:spacing w:after="0" w:line="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80"/>
          </w:cols>
          <w:pgMar w:left="320" w:top="459" w:right="4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firstLine="440"/>
        <w:spacing w:after="0" w:line="273" w:lineRule="auto"/>
        <w:rPr>
          <w:sz w:val="20"/>
          <w:szCs w:val="20"/>
          <w:color w:val="auto"/>
        </w:rPr>
      </w:pPr>
      <w:r>
        <w:rPr>
          <w:rFonts w:ascii="Arial" w:cs="Arial" w:eastAsia="Arial" w:hAnsi="Arial"/>
          <w:sz w:val="17"/>
          <w:szCs w:val="17"/>
          <w:color w:val="auto"/>
        </w:rPr>
        <w:t>With respect to Navios Logistics’ existing infrastructure, its initial operating and financial systems may not be adequate as Navios Logistics implements its plan to expand, and its attempts to improve these systems may be ineffective. If Navios Logistics is unable to operate its financial and operations systems effectively or to recruit suitable employees as it expands its operations, it may be unable to effectively control and manage the substantially larger operation. Although it is impossible to predict what errors might occur as the result of inadequate controls, it is generally harder to manage a larger operation than a smaller one and, accordingly, more likely that errors will occur as operations grow. Additional management infrastructure and systems will be required in connection with such growth to attempt to avoid such errors.</w:t>
      </w:r>
    </w:p>
    <w:p>
      <w:pPr>
        <w:spacing w:after="0" w:line="178"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The planning, construction and development of Navios Logistics’ new terminals will also impose significant additional responsibilities on its management and staff, and may require Navios Logistics to increase the number of our personnel. Navios Logistics will also have to increase their customer base to provide continued activity for the new terminals. Navios Logistics initial operating and financial systems may not be adequate as they implement the development and construction plans, and their attempts to improve these systems may be ineffective. If Navios Logistics is unable to operate its financial and operations systems effectively or to recruit suitable employees as they expand its operations, Navios Logistics may be unable to effectively control and manage its larger operation. Although it is impossible to predict what errors might occur as the result of inadequate controls, it is generally harder to manage a larger operation than a smaller one and, accordingly, more likely that errors will occur as operations grow. Additional management infrastructure and systems will be required in connection with such growth to attempt to avoid such errors.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Rising crew costs, fuel prices and other cost increases may adversely affect Navios Logistics’ profits.</w:t>
      </w:r>
    </w:p>
    <w:p>
      <w:pPr>
        <w:spacing w:after="0" w:line="117"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As of December 31, 2020, Navios Logistics employed 396 land-based employees and 565 seafarers as crew on its vessels. Crew costs are a significant expense for Navios Logistics. Recently, the limited supply of and increased demand for well-qualified crew, due to the increase in the size of the global shipping fleet, has created upward pressure on crewing costs, which Navios Logistics generally bears under its time and spot contracts. Additionally, labor union activity in the Hidrovia Region may create pressure for Navios Logistics to pay higher crew salaries and wages. In addition, fuel is one of the largest operating expenses in Navios Logistics’ barge and cabotage businesses, when the revenue is contracted mainly by ton per cargo shipped. The prices for and availability of fuel may be subject to rapid change or curtailment, respectively, due to, among other things, new laws or regulations, interruptions in production by suppliers, imposition of restrictions on energy supply by governments, worldwide price levels and market conditions. Currently, most of Navios Logistics’ long-term contracts provide for the adjustment of freight rates based on changes in the fuel prices and crew costs. Navios Logistics may be unable to include similar provisions in these contracts when they are renewed or in future contracts with new customers. To the extent Navios Logistics’ contracts do not pass-through changes in fuel prices to its clients, Navios Logistics will be forced to bear the cost of fuel price increases. Navios Logistics may hedge in the futures market all or part of its exposure to fuel price variations. Navios Logistics cannot assure you that it will be successful in hedging its exposure. In the event of a default by Navios Logistics’ contractual counterparties or other circumstance affecting their performance under a contract, Navios Logistics may be subject to exposure under, and may incur losses in connection with, its hedging instruments, if any. In certain jurisdictions, the price of fuel is affected by high local taxes and may become more expensive than prevailing international prices. Navios Logistics may not be able to pass onto its customers the additional cost of such taxes and may suffer losses as a consequence of such inability. Such increases in crew and fuel costs may materially adversely affect Navios Logistics’ results of operations.</w:t>
      </w:r>
    </w:p>
    <w:p>
      <w:pPr>
        <w:spacing w:after="0" w:line="284"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b w:val="1"/>
          <w:bCs w:val="1"/>
          <w:i w:val="1"/>
          <w:iCs w:val="1"/>
          <w:color w:val="auto"/>
        </w:rPr>
        <w:t>Navios Logistics’ industry is highly competitive, and it may not be able to compete successfully for services with new companies with greater resources.</w:t>
      </w:r>
    </w:p>
    <w:p>
      <w:pPr>
        <w:spacing w:after="0" w:line="62" w:lineRule="exact"/>
        <w:rPr>
          <w:sz w:val="20"/>
          <w:szCs w:val="20"/>
          <w:color w:val="auto"/>
        </w:rPr>
      </w:pPr>
    </w:p>
    <w:p>
      <w:pPr>
        <w:jc w:val="both"/>
        <w:ind w:left="120" w:right="20" w:firstLine="440"/>
        <w:spacing w:after="0" w:line="342" w:lineRule="auto"/>
        <w:rPr>
          <w:sz w:val="20"/>
          <w:szCs w:val="20"/>
          <w:color w:val="auto"/>
        </w:rPr>
      </w:pPr>
      <w:r>
        <w:rPr>
          <w:rFonts w:ascii="Arial" w:cs="Arial" w:eastAsia="Arial" w:hAnsi="Arial"/>
          <w:sz w:val="16"/>
          <w:szCs w:val="16"/>
          <w:color w:val="auto"/>
        </w:rPr>
        <w:t>Navios Logistics provides services through its ports and employs its fleet in highly competitive markets. The river and sea coastal logistics market is international in scope and Navios Logistics competes with many different companies, including other port or vessel owners and major oil companies.</w:t>
      </w:r>
    </w:p>
    <w:p>
      <w:pPr>
        <w:spacing w:after="0" w:line="124"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With respect to loading, storage and ancillary services, the market is divided between transits and exports, depending on the cargo origin. In the case of transits there are other companies operating in the river system that are able to offer services similar to Navios Logistics. With respect to exports, Navios Logistics’ competitors are Montevideo Port in Montevideo, and Ontur and TGU in Nueva Palmira. The main competitor of Navios Logistics’ liquid port terminal in Paraguay is Petropar, a Paraguayan state-owned entity (“Petropar”). Other competitors include Copetrol S.A. (“Copetrol”), TLP Chartering (“TLP”), Petróleo Brasileiro S.A. (“Petrobras”) and Trafigura Pte Ltd. (“Trafigura”).</w:t>
      </w:r>
    </w:p>
    <w:p>
      <w:pPr>
        <w:spacing w:after="0" w:line="176"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Navios Logistics faces competition in its Barge and Cabotage Businesses with transportation of oil and refined petroleum products from other independent shipowners and from vessel operators. The charter markets in which Navios Logistics’ vessels compete are highly competitive. Key competitors include the successor of Atria Logistica S.A., Hidrovias do Brasil, Interbarge, P&amp;O, Imperial Shipping and Fluviomar. In addition, some of Navios Logistics’ customers, including ADM, Cargill, Louis Dreyfus and Vale, have some of their own dedicated barge capacity, which they can use to transport cargo in lieu of hiring a third party. Navios Logistics also competes indirectly with other forms of land-based transportation such as truck and rail. These companies and other smaller entities are regular competitors of Navios Logistics in its primary trading areas. Competition is primarily based on prevailing market contract rates, vessel location and vessel manager know-how, reputation and credibility.</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Navios Logistics’ competitors may be able to offer their customers lower prices, higher quality service and greater name recognition than Navios Logistics does. Accordingly, Navios Logistics may be unable to retain its current customers or to attract new customers. (See also Item 4.D. “B. Business overview – Competition – Navios Logistics”).</w:t>
      </w:r>
    </w:p>
    <w:p>
      <w:pPr>
        <w:spacing w:after="0" w:line="292"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If Navios Logistics fails to fulfill the oil majors’ vetting processes, it could materially and adversely affect the employment of its tanker vessels in the spot and period markets, and consequently its results of operations.</w:t>
      </w:r>
    </w:p>
    <w:p>
      <w:pPr>
        <w:spacing w:after="0" w:line="62" w:lineRule="exact"/>
        <w:rPr>
          <w:sz w:val="20"/>
          <w:szCs w:val="20"/>
          <w:color w:val="auto"/>
        </w:rPr>
      </w:pPr>
    </w:p>
    <w:p>
      <w:pPr>
        <w:jc w:val="both"/>
        <w:ind w:left="120" w:right="180" w:firstLine="440"/>
        <w:spacing w:after="0" w:line="301" w:lineRule="auto"/>
        <w:rPr>
          <w:sz w:val="20"/>
          <w:szCs w:val="20"/>
          <w:color w:val="auto"/>
        </w:rPr>
      </w:pPr>
      <w:r>
        <w:rPr>
          <w:rFonts w:ascii="Arial" w:cs="Arial" w:eastAsia="Arial" w:hAnsi="Arial"/>
          <w:sz w:val="16"/>
          <w:szCs w:val="16"/>
          <w:color w:val="auto"/>
        </w:rPr>
        <w:t>The oil majors consider numerous factors in evaluating commercial decisions, and, through their association, OCIMF, have developed and are implementing two tools: (a) the Ship Inspection Report Program (“SIRE”) and (b) the Tanker Management and Self Assessment (“TMSA”) program. The former is a ship inspection based upon a thorough Vessel Inspection Questionnaire and performed by OCIMF-accredited inspectors, resulting in a report being logged on SIRE. The report is an important element of the ship evaluation undertaken by any oil major when a commercial need exists.</w:t>
      </w:r>
    </w:p>
    <w:p>
      <w:pPr>
        <w:spacing w:after="0" w:line="15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Based upon commercial needs, there are three levels of assessment used by the oil majors: (a) terminal use, which will clear a vessel to call at one of the oil major’s terminals, (b) voyage charter, which will clear the vessel for a single voyage and (c) term charter, which will clear the vessel for use for an extended period of time. While for terminal use and voyage charter relationships, a ship inspection and the operator’s TMSA will be sufficient for the evaluation to be undertaken, a term charter relationship also requires a thorough office audit. An operator’s request for such an audit is by no means a guarantee one will be performed; it will take a long record of proven excellent safety and environmental protection on the operator’s part as well as high commercial interest on the part of the oil major to have an office audit performed. If Navios Logistics fails to clear the vetting processes of the oil majors, it could have a material adverse effect on the employment of our vessels, and, consequently, on its results of operations.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Navios Logistics may employ its fleet on the spot market and thus expose itself to risk of losses based on short-term decreases in shipping rates.</w:t>
      </w:r>
    </w:p>
    <w:p>
      <w:pPr>
        <w:spacing w:after="0" w:line="152" w:lineRule="exact"/>
        <w:rPr>
          <w:sz w:val="20"/>
          <w:szCs w:val="20"/>
          <w:color w:val="auto"/>
        </w:rPr>
      </w:pPr>
    </w:p>
    <w:p>
      <w:pPr>
        <w:ind w:left="120" w:right="160" w:firstLine="440"/>
        <w:spacing w:after="0" w:line="271" w:lineRule="auto"/>
        <w:rPr>
          <w:sz w:val="20"/>
          <w:szCs w:val="20"/>
          <w:color w:val="auto"/>
        </w:rPr>
      </w:pPr>
      <w:r>
        <w:rPr>
          <w:rFonts w:ascii="Arial" w:cs="Arial" w:eastAsia="Arial" w:hAnsi="Arial"/>
          <w:sz w:val="17"/>
          <w:szCs w:val="17"/>
          <w:color w:val="auto"/>
        </w:rPr>
        <w:t>Navios Logistics periodically employs some of its fleet on a spot basis. The spot charter market can be competitive and freight rates within this market may be volatile with the timing and amount of fluctuations in spot rates being difficult to determine. Longer-term contracts provide income at pre-determined rates over more extended periods of time. The cycles in its target markets have not yet been clearly determined but Navios Logistics expects them to exhibit significant volatility as the South American markets mature. Navios Logistics cannot assure you that it will be successful in keeping its fleet fully employed in these short-term markets, or that future spot rates will be sufficient to enable such fleet to be operated profitably, as spot rates may decline below the operating cost of vessels. A significant decrease in spot market rates or its inability to fully employ its fleet by taking advantage of the spot market would result in a reduction of the incremental revenue received from spot chartering and could materially and adversely affect its results of operations, and operating cash flow.</w:t>
      </w:r>
    </w:p>
    <w:p>
      <w:pPr>
        <w:spacing w:after="0" w:line="286" w:lineRule="exact"/>
        <w:rPr>
          <w:sz w:val="20"/>
          <w:szCs w:val="20"/>
          <w:color w:val="auto"/>
        </w:rPr>
      </w:pPr>
    </w:p>
    <w:p>
      <w:pPr>
        <w:ind w:left="120" w:right="160"/>
        <w:spacing w:after="0" w:line="342" w:lineRule="auto"/>
        <w:rPr>
          <w:sz w:val="20"/>
          <w:szCs w:val="20"/>
          <w:color w:val="auto"/>
        </w:rPr>
      </w:pPr>
      <w:r>
        <w:rPr>
          <w:rFonts w:ascii="Arial" w:cs="Arial" w:eastAsia="Arial" w:hAnsi="Arial"/>
          <w:sz w:val="16"/>
          <w:szCs w:val="16"/>
          <w:b w:val="1"/>
          <w:bCs w:val="1"/>
          <w:i w:val="1"/>
          <w:iCs w:val="1"/>
          <w:color w:val="auto"/>
        </w:rPr>
        <w:t>Certain of Navios Logistics’ directors, officers, and principal stockholders are affiliated with entities engaged in business activities similar to those conducted by Navios Logistics which may compete directly with it, causing such persons to have conflicts of interest.</w:t>
      </w:r>
    </w:p>
    <w:p>
      <w:pPr>
        <w:spacing w:after="0" w:line="16"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Some of Navios Logistics’ directors, officers and principal stockholders have affiliations with entities that have similar business activities to those conducted by Navios Logistics. In addition, certain of Navios Logistics’ directors are also directors of shipping companies and they may enter similar businesses in the future. These other affiliations and business activities may give rise to certain conflicts of interest in the course of such individuals’ affiliation with Navios Logistics. Although Navios Logistics does not prevent its directors, officers and principal stockholders from having such affiliations, Navios Logistics uses its best efforts to cause such individuals to comply with all applicable laws and regulations in addressing such conflicts of interest. Navios Logistics’ officers and employee directors devote their full time and attention to its ongoing operations, and its non-employee directors devote such time as is necessary and required to satisfy their duties as directors of a company.</w:t>
      </w:r>
    </w:p>
    <w:p>
      <w:pPr>
        <w:spacing w:after="0" w:line="285"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b w:val="1"/>
          <w:bCs w:val="1"/>
          <w:i w:val="1"/>
          <w:iCs w:val="1"/>
          <w:color w:val="auto"/>
        </w:rPr>
        <w:t>Navios Logistics’ success depends upon its management team and other employees, and if it is unable to attract and retain key management personnel and other employees or its management team fails to provide the capabilities that Navios Logistics requires, its results of operations may be negatively impacted.</w:t>
      </w:r>
    </w:p>
    <w:p>
      <w:pPr>
        <w:spacing w:after="0" w:line="76"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Navios Logistics’ success depends to a significant extent upon the abilities and efforts of its management team and its ability to retain them. In particular, many members of its senior management team, including its Chairman, its Chief Executive Officer, its Chief Financial Officer, its Chief Operating Officers and its Chief Commercial Officer, have extensive experience in the logistics and shipping industries. Some of these individuals also serve in various capacities for other entities affiliated with Navios Logistics’ controlling shareholder, Navios Holdings, if Navios Logistics was to lose their services for any reason, it is not clear</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00"/>
          </w:cols>
          <w:pgMar w:left="320" w:top="459" w:right="4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whether any available replacements would be able to manage its operations as effectively. Further, the obligations of individuals employed by Navios Logistics who also serve in capacities for other entities affiliated with Navios Holdings may give rise to certain conflicts with Navios Logistics’ interests in the future, including the diversion of their attention or focus away from our business. The loss of any of the members of its management team or the capabilities Navios Logistics expects them to provide on an ongoing basis could impair Navios Logistics’ ability to identify and secure vessel contracts, to maintain good customer relations and to otherwise manage its business, which could have a material adverse effect on its financial performance and its ability to compete. Navios Logistics does not maintain key man insurance on any of its officers. Further, the efficient and safe operation of its fleet and ports requires skilled and experienced crew members and employees. Difficulty in hiring and retaining such crew members and employees including as a result of public health or safety concerns and governmental restrictions caused by the recent COVID-19 pandemic, could adversely affect its results of operations.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Argentina</w:t>
      </w:r>
    </w:p>
    <w:p>
      <w:pPr>
        <w:spacing w:after="0" w:line="12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Argentine government actions concerning the economy, including decisions with respect to inflation, interest rates, price controls, foreign exchange controls, devaluation, wages and taxes, restrictions on production, imports and exports, and governmental measures in response to the COVID-19 pandemic have had and could continue to have a material adverse effect on Navios Logistics. Navios Logistics cannot provide any assurance that future economic, social and political developments in Argentina, over which it has no control, will not impair its business, financial condition or results of operations, the guarantees or the market price of the 2025 Logistics Senior Notes.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economic conditions of Argentina may affect the financial condition and results of operations of its Argentine subsidiary.</w:t>
      </w:r>
    </w:p>
    <w:p>
      <w:pPr>
        <w:spacing w:after="0" w:line="117"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The financial condition and the results of operations of Navios Logistics’ Argentine subsidiary depend to a large extent on political, macroeconomic and regulatory circumstances in Argentina. The Argentine economy has experienced significant volatility in recent years, including several periods of low or negative growth and high and variable levels of inflation and devaluation. The Argentine economy is currently in recession, exacerbated by the global COVID-19 pandemic, which may result in increased inflation or further economic deterioration in Argentina. There can be no assurance that the condition of the Argentine economy will improve in the future. As a result, both the policies that could be adopted by the Argentine government and future economic, macroeconomic, regulatory, social and political circumstances or developments in Argentina could have a material adverse effect on the business, financial condition or results of operations of its local subsidiaries as well as the value of certain of its assets.</w:t>
      </w:r>
    </w:p>
    <w:p>
      <w:pPr>
        <w:spacing w:after="0" w:line="166" w:lineRule="exact"/>
        <w:rPr>
          <w:sz w:val="20"/>
          <w:szCs w:val="20"/>
          <w:color w:val="auto"/>
        </w:rPr>
      </w:pPr>
    </w:p>
    <w:p>
      <w:pPr>
        <w:ind w:left="120" w:right="400" w:firstLine="440"/>
        <w:spacing w:after="0" w:line="263" w:lineRule="auto"/>
        <w:rPr>
          <w:sz w:val="20"/>
          <w:szCs w:val="20"/>
          <w:color w:val="auto"/>
        </w:rPr>
      </w:pPr>
      <w:r>
        <w:rPr>
          <w:rFonts w:ascii="Arial" w:cs="Arial" w:eastAsia="Arial" w:hAnsi="Arial"/>
          <w:sz w:val="18"/>
          <w:szCs w:val="18"/>
          <w:color w:val="auto"/>
        </w:rPr>
        <w:t>As a result, both the policies that could be adopted by the Argentine government and future economic, macroeconomic, regulatory, social and political circumstances in Argentina could have a material adverse effect on the business, financial condition or results of operations of its local subsidiaries.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impact of political developments in Argentina remains uncertain and could adversely affect the Argentine economy.</w:t>
      </w:r>
    </w:p>
    <w:p>
      <w:pPr>
        <w:spacing w:after="0" w:line="117" w:lineRule="exact"/>
        <w:rPr>
          <w:sz w:val="20"/>
          <w:szCs w:val="20"/>
          <w:color w:val="auto"/>
        </w:rPr>
      </w:pPr>
    </w:p>
    <w:p>
      <w:pPr>
        <w:ind w:left="120" w:right="260" w:firstLine="440"/>
        <w:spacing w:after="0" w:line="275" w:lineRule="auto"/>
        <w:rPr>
          <w:sz w:val="20"/>
          <w:szCs w:val="20"/>
          <w:color w:val="auto"/>
        </w:rPr>
      </w:pPr>
      <w:r>
        <w:rPr>
          <w:rFonts w:ascii="Arial" w:cs="Arial" w:eastAsia="Arial" w:hAnsi="Arial"/>
          <w:sz w:val="17"/>
          <w:szCs w:val="17"/>
          <w:color w:val="auto"/>
        </w:rPr>
        <w:t>The government led by Alberto Fernández elected in October 27, 2019, took office on December 10, 2019. Since then, the Fernandez administration has announced and introduced significant economic and policy reforms. On December 21, 2019, the Argentine Congress approved the “Social Solidarity and Productive Reactivation Law”, which entered into force on December 23, 2019. This law declared a public emergency in economic, financial, fiscal, administrative, pension, tariff, energy, health and social matters, and introduced several tax changes in Argentina, such as income tax, personal assets tax, taxation on the purchase of foreign currency and export duties on certain services.</w:t>
      </w:r>
    </w:p>
    <w:p>
      <w:pPr>
        <w:spacing w:after="0" w:line="176"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 xml:space="preserve">On December 13, 2019, the Fernandez administration published Decree 34/2019, which states the public occupational emergency for a period of 180 days and establishes the right of the affected workers to receive a double legal-mandated severance pay in case of dismissal without just cause. The Government went a step further amid the COVID-19 pandemic, and issued Decree No. 329/2020, restricting the ability to terminate employment with or without cause for 60 business days, prorogued it for 60 additional business days by Decree No.624/2020. Additionally, Decree 14/2020 established a minimum and uniform salary increase for all employees of the private sector. Additionally, in accordance with Decree No. 39/2021, the dismissal prohibition was extended for 90 days, and the double legal-mandated severance pay was extended until the end of 2021 in the case of dismissal without cause, with a limit of up to 500,000 Argentine </w:t>
      </w:r>
      <w:r>
        <w:rPr>
          <w:rFonts w:ascii="Arial" w:cs="Arial" w:eastAsia="Arial" w:hAnsi="Arial"/>
          <w:sz w:val="17"/>
          <w:szCs w:val="17"/>
          <w:i w:val="1"/>
          <w:iCs w:val="1"/>
          <w:color w:val="auto"/>
        </w:rPr>
        <w:t>pesos</w:t>
      </w:r>
      <w:r>
        <w:rPr>
          <w:rFonts w:ascii="Arial" w:cs="Arial" w:eastAsia="Arial" w:hAnsi="Arial"/>
          <w:sz w:val="17"/>
          <w:szCs w:val="17"/>
          <w:color w:val="auto"/>
        </w:rPr>
        <w:t>.</w:t>
      </w:r>
    </w:p>
    <w:p>
      <w:pPr>
        <w:spacing w:after="0" w:line="177" w:lineRule="exact"/>
        <w:rPr>
          <w:sz w:val="20"/>
          <w:szCs w:val="20"/>
          <w:color w:val="auto"/>
        </w:rPr>
      </w:pPr>
    </w:p>
    <w:p>
      <w:pPr>
        <w:ind w:left="120" w:right="200" w:firstLine="440"/>
        <w:spacing w:after="0" w:line="273" w:lineRule="auto"/>
        <w:rPr>
          <w:sz w:val="20"/>
          <w:szCs w:val="20"/>
          <w:color w:val="auto"/>
        </w:rPr>
      </w:pPr>
      <w:r>
        <w:rPr>
          <w:rFonts w:ascii="Arial" w:cs="Arial" w:eastAsia="Arial" w:hAnsi="Arial"/>
          <w:sz w:val="17"/>
          <w:szCs w:val="17"/>
          <w:color w:val="auto"/>
        </w:rPr>
        <w:t>The Argentinean government is under negotiations with the International Monetary Fund (the “IMF”) to restructure the current debts of the Argentina with the IMF. No assurances can be made on whether the debt will be restructured or not. Any failure to restructure the debt can lead to a default scenario which could adversely affect the result of our operations and financial condition. Navios Logistics can offer no assurances as to the policies that may be implemented by the Fernández administration, or that political developments in Argentina will not adversely affect the Argentine economy and our business, financial condition and results of operations. In addition, we cannot assure you that future economic, regulatory, social and political developments in Argentina will not impair its business, financial condition or results of operations.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40"/>
          </w:cols>
          <w:pgMar w:left="32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No assurances can be offered as to the policies that may be implemented by the Fernández administration, or that political developments in Argentina will not adversely affect the Argentine economy and Navios Logistics’ business, financial condition and results of operations. In addition, no assure can be given that future economic, regulatory, social and political developments in Argentina will not impair Navios Logistics’ business, financial condition or results of operations.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Continuing inflation may have material adverse effects on the Argentine economy.</w:t>
      </w:r>
    </w:p>
    <w:p>
      <w:pPr>
        <w:spacing w:after="0" w:line="11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Argentina has faced and continues to face high inflationary pressures. Over the last few years, the Argentine government has implemented certain programs aimed at controlling inflation and monitoring the prices of many goods and services, including price agreements between the Argentine government and private sector companies. Inter-annual inflation recorded for the years 2018 and 2019 reached 47.6% and 53.8%, respectively and inflation in 2020 was around 35.0% according to official information. The increase in salaries and public expenditure under the new administration could have a direct influence on inflation.</w:t>
      </w:r>
    </w:p>
    <w:p>
      <w:pPr>
        <w:spacing w:after="0" w:line="188" w:lineRule="exact"/>
        <w:rPr>
          <w:sz w:val="20"/>
          <w:szCs w:val="20"/>
          <w:color w:val="auto"/>
        </w:rPr>
      </w:pPr>
    </w:p>
    <w:p>
      <w:pPr>
        <w:ind w:left="120" w:right="160" w:firstLine="440"/>
        <w:spacing w:after="0" w:line="254" w:lineRule="auto"/>
        <w:rPr>
          <w:sz w:val="20"/>
          <w:szCs w:val="20"/>
          <w:color w:val="auto"/>
        </w:rPr>
      </w:pPr>
      <w:r>
        <w:rPr>
          <w:rFonts w:ascii="Arial" w:cs="Arial" w:eastAsia="Arial" w:hAnsi="Arial"/>
          <w:sz w:val="18"/>
          <w:szCs w:val="18"/>
          <w:color w:val="auto"/>
        </w:rPr>
        <w:t>A high inflation economy could undermine Argentina’s cost competitiveness abroad if not offset by a devaluation of the Argentine peso, which could also negatively affect economic activity and employment levels. Freight under those contracts with clients from Navios Logistics’ Argentine subsidiary is denominated in U.S. dollars and is collected in Argentine pesos at the prevailing exchange rate. These contracts also include crew cost adjustment terms. Uncertainty about future inflation may contribute to slowdown or contraction in economic growth. Argentine inflation rate volatility makes it impossible to estimate with reasonable certainty the extent to which activity levels and results of operations of Navios Logistics’ Argentine subsidiary could be affected by inflation and exchange rate volatility in the future. There can be no assurance that inflation rates will not continue to escalate in the future or that the measures adopted or that may be adopted by the Fernández administration to control inflation will be effective or successful.</w:t>
      </w:r>
    </w:p>
    <w:p>
      <w:pPr>
        <w:spacing w:after="0" w:line="192"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Notwithstanding the economic environment in Argentina, including Argentina’s increase of its monetary base to finance public expenditures, and the resulting high inflationary as of December 31, 2020, we do not consider inflation to be a significant risk factor to our cost of doing business in the foreseeable future as the functional currency of our Argentine subsidiary is the U.S. dollar. In addition, the day-to-day operations of our Argentine subsidiary are dependent on the relative value of the Argentine peso to the U.S. dollar.</w:t>
      </w:r>
    </w:p>
    <w:p>
      <w:pPr>
        <w:spacing w:after="0" w:line="295"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b w:val="1"/>
          <w:bCs w:val="1"/>
          <w:i w:val="1"/>
          <w:iCs w:val="1"/>
          <w:color w:val="auto"/>
        </w:rPr>
        <w:t>Fluctuations in the value of the Argentine peso could adversely affect the Argentine economy, and consequently Navios Logistics’ results of operations in Argentina or the financial condition of Navios Logistics’ Argentine subsidiary.</w:t>
      </w:r>
    </w:p>
    <w:p>
      <w:pPr>
        <w:spacing w:after="0" w:line="62"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The Argentine peso has suffered significant devaluations against the U.S. dollar in the past and has continued to devalue against the U.S. dollar in recent months. According to Argentina’s Central Bank, the Argentine peso depreciated approximately 14.3% against the U.S. dollar in 2012, 32.6% in 2013, 31.1% in 2014, 52.5% in 2015, 19.5% in 2016, 17.5% in 2017, 100.0% in 2018, 56.0% in 2019 and 41.0% in 2020.</w:t>
      </w:r>
    </w:p>
    <w:p>
      <w:pPr>
        <w:spacing w:after="0" w:line="165"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devaluation of the Argentine peso has had a negative impact on the ability of certain Argentine businesses to honor their foreign currency-denominated debt and has also led to very high inflation and significantly reduced real wages. If the Argentine peso is further significantly devalued, the Argentine economy and the Navios Logistics’ business in Argentina could be adversely affected. In September 2019, foreign currency controls were reinstated in Argentina.</w:t>
      </w:r>
    </w:p>
    <w:p>
      <w:pPr>
        <w:spacing w:after="0" w:line="187" w:lineRule="exact"/>
        <w:rPr>
          <w:sz w:val="20"/>
          <w:szCs w:val="20"/>
          <w:color w:val="auto"/>
        </w:rPr>
      </w:pPr>
    </w:p>
    <w:p>
      <w:pPr>
        <w:ind w:left="120" w:right="240" w:firstLine="440"/>
        <w:spacing w:after="0" w:line="286" w:lineRule="auto"/>
        <w:rPr>
          <w:sz w:val="20"/>
          <w:szCs w:val="20"/>
          <w:color w:val="auto"/>
        </w:rPr>
      </w:pPr>
      <w:r>
        <w:rPr>
          <w:rFonts w:ascii="Arial" w:cs="Arial" w:eastAsia="Arial" w:hAnsi="Arial"/>
          <w:sz w:val="17"/>
          <w:szCs w:val="17"/>
          <w:color w:val="auto"/>
        </w:rPr>
        <w:t>The success of any measures taken by the Argentine government to restore market confidence and stabilize the value of the Argentine peso is uncertain. Significant variations in the comparative value of the Argentine peso to the U.S. dollar could adversely affect Navios Logistics’ business in Argentina and the financial condition and results of operations of Navios Logistics’ Argentine subsidiary.</w:t>
      </w:r>
    </w:p>
    <w:p>
      <w:pPr>
        <w:spacing w:after="0" w:line="273"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b w:val="1"/>
          <w:bCs w:val="1"/>
          <w:i w:val="1"/>
          <w:iCs w:val="1"/>
          <w:color w:val="auto"/>
        </w:rPr>
        <w:t>The current and future foreign exchange policy of Argentina may affect the ability of Navios Logistics’ Argentine subsidiary to make money remittances outside of Argentina.</w:t>
      </w:r>
    </w:p>
    <w:p>
      <w:pPr>
        <w:spacing w:after="0" w:line="62" w:lineRule="exact"/>
        <w:rPr>
          <w:sz w:val="20"/>
          <w:szCs w:val="20"/>
          <w:color w:val="auto"/>
        </w:rPr>
      </w:pPr>
    </w:p>
    <w:p>
      <w:pPr>
        <w:ind w:left="120" w:right="80" w:firstLine="440"/>
        <w:spacing w:after="0" w:line="289" w:lineRule="auto"/>
        <w:rPr>
          <w:sz w:val="20"/>
          <w:szCs w:val="20"/>
          <w:color w:val="auto"/>
        </w:rPr>
      </w:pPr>
      <w:r>
        <w:rPr>
          <w:rFonts w:ascii="Arial" w:cs="Arial" w:eastAsia="Arial" w:hAnsi="Arial"/>
          <w:sz w:val="16"/>
          <w:szCs w:val="16"/>
          <w:color w:val="auto"/>
        </w:rPr>
        <w:t>In Argentina, since the amendment of the convertibility law in December 2001, the Argentine government has imposed several restrictions on the purchase of foreign currency in the exchange market and the transfer of funds outside of Argentina, substantially limiting the ability of companies to retain foreign currency or make payments abroad, including the distribution of dividends Beginning in December 2015, the Argentine government gradually eased such restrictions, until their complete lifting in 2017. However, on September 1, 2019 the Argentine government reinstated exchange controls and restrictions on transfers abroad. These new controls and restrictions currently apply with respect to access to the Argentine foreign exchange market for purchase of foreign currencies, the payment of external financial debts, the payment of dividends and corporate profits, payments of imports of goods and services, among other things, and impose the obligation to repatriate and settle the proceeds from exports of goods and services in Argentine pesos. In addition, the Argentine Central Bank established certain regulations to avoid practices and transactions aimed to circumvent, through the use of securities and other instruments, the restrictions set forth by the current foreign exchange control regulations.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As of the date hereof, the restrictions outlined above remain in place. As a consequence of the deepening of exchange controls, the difference between the official exchange rate, which is currently utilized for both commercial and financial operations, and other informal exchange rates that arose implicitly as a result of certain operations commonly carried out in the capital markets (“dollar MEP” or “cash with liquidation”), increased during 2020, creating a gap of approximately 67% with the official exchange rate as of December 31, 2020.</w:t>
      </w:r>
    </w:p>
    <w:p>
      <w:pPr>
        <w:spacing w:after="0" w:line="187" w:lineRule="exact"/>
        <w:rPr>
          <w:sz w:val="20"/>
          <w:szCs w:val="20"/>
          <w:color w:val="auto"/>
        </w:rPr>
      </w:pPr>
    </w:p>
    <w:p>
      <w:pPr>
        <w:ind w:left="120" w:right="180" w:firstLine="440"/>
        <w:spacing w:after="0" w:line="255" w:lineRule="auto"/>
        <w:rPr>
          <w:sz w:val="20"/>
          <w:szCs w:val="20"/>
          <w:color w:val="auto"/>
        </w:rPr>
      </w:pPr>
      <w:r>
        <w:rPr>
          <w:rFonts w:ascii="Arial" w:cs="Arial" w:eastAsia="Arial" w:hAnsi="Arial"/>
          <w:sz w:val="18"/>
          <w:szCs w:val="18"/>
          <w:color w:val="auto"/>
        </w:rPr>
        <w:t>The Argentine government could maintain a single official exchange rate or create multiple exchange rates for different types of transactions. Further, the imposition by the Argentine government of further regulations, exchange controls and restrictions or other measures in response to capital outflows or the devaluation of the Argentine peso could weaken public finances. Such measures may negatively affect Argentina’s international competitiveness, discouraging foreign investments and lending by foreign investors or increasing foreign capital outflow which could have an adverse effect on economic activity in Argentina, and which in turn could adversely affect our business in Argentina and results of operations of our Argentine subsidiary.</w:t>
      </w:r>
    </w:p>
    <w:p>
      <w:pPr>
        <w:spacing w:after="0" w:line="192"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As a result of the foreign exchange control regulations in Argentina, our local subsidiaries may not be able to freely access the Argentine foreign exchange market to acquire U.S. dollars and from transferring funds outside of Argentina. Further, as part of the foreign exchange restrictions, an Argentine financial institution may at its absolute discretion refuse to carry out a transfer of funds out of Argentina or may request a formal approval from the Argentine Central Bank before proceeding with the transfer of funds out of Argentina.</w:t>
      </w:r>
    </w:p>
    <w:p>
      <w:pPr>
        <w:spacing w:after="0" w:line="17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Any operation that does not comply with the provisions of the foreign exchange regulations is subject to Law No. 19,359 of the Foreign Exchange Criminal Regime in Argentina.</w:t>
      </w:r>
    </w:p>
    <w:p>
      <w:pPr>
        <w:spacing w:after="0" w:line="170"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Argentine government could maintain these exchange controls, impose new controls, strengthen transfer restrictions or impose other requirements that may impair the ability of our local subsidiaries to access the foreign exchange market, acquire U.S. dollars, or transfer funds abroad of Argentina. Any or all of these actions could materially affect the ability of the local subsidiaries to transfer funds abroad, and therefore affecting our ability to service our debt and satisfy our obligations.</w:t>
      </w:r>
    </w:p>
    <w:p>
      <w:pPr>
        <w:spacing w:after="0" w:line="295"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The Argentine government has made certain changes to its tax rules that affected Navios Logistics’ operations in Argentina in the past, and could further increase the fiscal burden on its operations in Argentina in the future.</w:t>
      </w:r>
    </w:p>
    <w:p>
      <w:pPr>
        <w:spacing w:after="0" w:line="62"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The Argentine government has made certain changes to its tax rules that affected Navios Logistics’ operations in Argentina in the past, and could further increase the fiscal burden on its operations in Argentina in the future. If the Argentine government decides to alter the tax regime in Argentina, its results of operations and financial condition of its Argentine subsidiary could be materially and adversely affected.</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Argentine economy could be adversely affected by economic developments in other global markets.</w:t>
      </w:r>
    </w:p>
    <w:p>
      <w:pPr>
        <w:spacing w:after="0" w:line="117"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Argentina’s economy is vulnerable to external shocks that could be caused by adverse developments affecting its principal trading partners. A significant decline in the economic growth of any of Argentina’s major trading partners (including Brazil, the European Union, China and the United States) including as a result of the ongoing COVID-19 pandemic, could have a material adverse impact on Argentina’s balance of trade and could adversely affect Argentina’s economic growth. Argentina may also be affected by other countries that have influence over world economic cycles. If interest rates rise significantly in developed economies, including the United States, emerging market economies, including Argentina, could find it increasingly challenging and expensive to borrow capital and refinance existing debt, which could negatively affect their economic growth.</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Future policies of the Argentine government may affect the economy as well as Navios Logistics’ operations in Argentina.</w:t>
      </w:r>
    </w:p>
    <w:p>
      <w:pPr>
        <w:spacing w:after="0" w:line="117"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During the past years, the Argentine government took several actions to re-nationalize concessions and public services companies that were privatized in the 1990’s, such as YPF, Aguas Argentinas S.A. and Aerolíneas Argentinas S.A. Future expropriations, nationalizations or requisitions, as well as changes in taxation, laws, regulations or policies affecting foreign trade, investment, or others that may be adopted by the Fernandez administration could adversely affect Navios Logistics’ business in Argentina and the financial condition and results of operations of its Argentine subsidiary. For example, the Fernandez administration announced its intention to expropriate a seed trade company, and while certain initial steps were taken by the government, no further action was taken from the Argentine government to effect such expropriation.</w:t>
      </w:r>
    </w:p>
    <w:p>
      <w:pPr>
        <w:spacing w:after="0" w:line="178" w:lineRule="exact"/>
        <w:rPr>
          <w:sz w:val="20"/>
          <w:szCs w:val="20"/>
          <w:color w:val="auto"/>
        </w:rPr>
      </w:pPr>
    </w:p>
    <w:p>
      <w:pPr>
        <w:ind w:left="120" w:right="420" w:firstLine="440"/>
        <w:spacing w:after="0" w:line="263" w:lineRule="auto"/>
        <w:rPr>
          <w:sz w:val="20"/>
          <w:szCs w:val="20"/>
          <w:color w:val="auto"/>
        </w:rPr>
      </w:pPr>
      <w:r>
        <w:rPr>
          <w:rFonts w:ascii="Arial" w:cs="Arial" w:eastAsia="Arial" w:hAnsi="Arial"/>
          <w:sz w:val="18"/>
          <w:szCs w:val="18"/>
          <w:color w:val="auto"/>
        </w:rPr>
        <w:t>Similar measures, such as mandatory renegotiation or modification of existing contracts among others, that may be adopted by the Argentine government in the future could also adversely affect Navios Logistics’ business in Argentina, financial condition and results of operations of our Argentine subsidiary.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Uruguayan Free Zone Regulation</w:t>
      </w:r>
    </w:p>
    <w:p>
      <w:pPr>
        <w:spacing w:after="0" w:line="121"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b w:val="1"/>
          <w:bCs w:val="1"/>
          <w:i w:val="1"/>
          <w:iCs w:val="1"/>
          <w:color w:val="auto"/>
        </w:rPr>
        <w:t>Navios Logistics may be materially and adversely affected in case of termination, non-renewal or non-extension of the tax incentives that benefit certain of its subsidiaries in Uruguay.</w:t>
      </w:r>
    </w:p>
    <w:p>
      <w:pPr>
        <w:spacing w:after="0" w:line="62"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Certain of Navios Logistics’ subsidiaries in Uruguay are operating as direct free trade zone users under free zone user agreements with the Free Zones Division of the Uruguayan Department of Trade (“Free Zone User Agreements”), allowing them to operate in isolated public areas in Nueva Palmira, Uruguay, and to enjoy tax exemptions and other benefits, such as a generic exemption on present and future Uruguayan national taxes including the Corporate Income Tax, Value-Added Tax and Wealth Tax. Other benefits that such subsidiaries enjoy are simplified corporate law provisions, the ability to negotiate preferential public utility rates with government agencies and government guarantees of maintenance of such benefits and tax exemptions. Free trade zone users do not need to pay import and export tariffs to introduce goods from abroad to the free trade zone, to transfer or send such goods to other free trade zones in Uruguay or send them abroad. These Free Zone Agreements have been extended to 2046 and may be extended further until 2066 at its option. In order to ensure the continuity of these incentives through the course of their terms, Navios Logistics’ subsidiaries must meet the Free Zone User Agreements or regulations governing free trade zones. However, its subsidiaries may lose all the tax benefits granted to them or be subject to fines if the Uruguayan Department of Trade—Free Zones Division concludes that its subsidiaries breached or failed to comply with the Free Zone User Agreements or regulations governing free trade zones. As a result, we could be materially and adversely affected.</w:t>
      </w:r>
    </w:p>
    <w:p>
      <w:pPr>
        <w:spacing w:after="0" w:line="172"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The following are some of the causes under which the Uruguay Department of Trade—Free Zones Division may terminate the Free Zone User Agreements prior to expiration: the non fulfilment of the obligations to improve the land, as per the terms of each Free Zone User Agreements; breaches of the terms of the Free Zone User Agreements or the Free Zone Act No. 15,921; violation of labor laws; failure to pay agreed fees to the Uruguayan authorities; failure to make required social security contributions; or the commission of illegal acts or acts expressly forbidden by the Free Zone User Agreements. Should Navios Logistics’ Uruguayan subsidiaries lose their free zone user status, they will not be able to operate as free zone users and therefore to operate their terminal facilities.</w:t>
      </w:r>
    </w:p>
    <w:p>
      <w:pPr>
        <w:spacing w:after="0" w:line="192"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right of the Uruguay Department of Trade—Free Zones Division to early terminate the Free Zone User Agreements is subject to an explanation on the specific factual and legal reasons in which such decision is based. Generic decisions will not be admissible, just like not all breaches by the free zone users will entitle the Uruguayan Department of Trade—Free Zones Division to early terminate the Free Zone User Agreements. Such a decision must therefore be proportional to the noncompliance’s nature.</w:t>
      </w:r>
    </w:p>
    <w:p>
      <w:pPr>
        <w:spacing w:after="0" w:line="187" w:lineRule="exact"/>
        <w:rPr>
          <w:sz w:val="20"/>
          <w:szCs w:val="20"/>
          <w:color w:val="auto"/>
        </w:rPr>
      </w:pPr>
    </w:p>
    <w:p>
      <w:pPr>
        <w:ind w:left="120" w:right="200" w:firstLine="440"/>
        <w:spacing w:after="0" w:line="254" w:lineRule="auto"/>
        <w:rPr>
          <w:sz w:val="20"/>
          <w:szCs w:val="20"/>
          <w:color w:val="auto"/>
        </w:rPr>
      </w:pPr>
      <w:r>
        <w:rPr>
          <w:rFonts w:ascii="Arial" w:cs="Arial" w:eastAsia="Arial" w:hAnsi="Arial"/>
          <w:sz w:val="18"/>
          <w:szCs w:val="18"/>
          <w:color w:val="auto"/>
        </w:rPr>
        <w:t>There can be no assurance that the tax benefits and exemptions granted to Navios Logistics’ subsidiaries under the Free Zone User Agreements will be renewed after the expiration of the Free Zone User Agreements, that the Free Zone User Agreements will not be early terminated or that, if renewed or otherwise replaced, the terms of any new Free Zone User Agreements will provide for equivalent or more favorable terms and conditions than those currently in effect. Navios Logistics will be materially and adversely affected if tax incentives that benefit its subsidiaries or the Free Zone User Agreements providing for such incentives are terminated and Navios Logistics is not able to renew or replace them. Even if the Free Zone User Agreements are renewed, if they provide for tax incentives that are not as favorable to Navios Logistics as those currently in effect, they could suffer a material adverse effect.</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Risks Relating to the Countries in which Navios Logistics’ Operates</w:t>
      </w:r>
    </w:p>
    <w:p>
      <w:pPr>
        <w:spacing w:after="0" w:line="121"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Certain of the countries in which Navios Logistics operate or may in the future operate in have experienced, and may continue to experience or experience in the future, political, legal and economic instability. Its activities may be adversely affected by political or economic instability or changes in law relating to our industry (including as a result of the COVID-19 pandemic. Navios Logistics operates in Argentina, Brazil, Uruguay, Paraguay and other markets. There can be no assurance that changes in the governments or laws of the jurisdictions in which they operate or in the regulatory environment for its industry or for foreign-domiciled companies in such jurisdictions will not occur, and such changes may result in a material adverse effect on its business, financial condition, results of operations and prospects.</w:t>
      </w:r>
    </w:p>
    <w:p>
      <w:pPr>
        <w:spacing w:after="0" w:line="286"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Navios Logistics is an international company that is exposed to the risks of doing business in many different, and often less developed and emerging market countries.</w:t>
      </w:r>
    </w:p>
    <w:p>
      <w:pPr>
        <w:spacing w:after="0" w:line="62"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Navios Logistics is an international company and conducts all of its operations outside of the U.S., and expects to continue doing so for the foreseeable future. These operations are performed in countries that are historically less developed and stable than the U.S., such as Argentina, Brazil, Bolivia, Paraguay and Uruguay.</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Some of the other risks Navios Logistics is generally exposed to through its operations in emerging markets include among others:</w:t>
      </w:r>
    </w:p>
    <w:p>
      <w:pPr>
        <w:spacing w:after="0" w:line="131" w:lineRule="exact"/>
        <w:rPr>
          <w:sz w:val="20"/>
          <w:szCs w:val="20"/>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political and economic instability, changing economic policies and conditions, and war and civil disturbances;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recessions in economies of countries in which Navios Logistics has business operations;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40"/>
          </w:cols>
          <w:pgMar w:left="32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frequent government interventions into the country’s economy, including changes to monetary, fiscal and credit policy;</w:t>
      </w:r>
    </w:p>
    <w:p>
      <w:pPr>
        <w:spacing w:after="0" w:line="130"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impact of extraordinary external events, such as the current pandemic health event resulting from the COVID-19 pandemic, and their collateral consequences, including labor shortages and government restrictions such as factory closures and restrictions on travel, resulting in the extended disruption of economic activity in our markets;</w:t>
      </w:r>
    </w:p>
    <w:p>
      <w:pPr>
        <w:spacing w:after="0" w:line="89"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imposition of additional withholding, income or other taxes, or tariffs or other restrictions on foreign trade or investment, including currency exchange controls and currency repatriation limitations;</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modification of Navios Logistics’ status or the rules and regulations relating to the international tax-free trade zone in which it operates its dry port;</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imposition of executive and judicial decisions upon Navios Logistics’ vessels by the different governmental authorities associated with some of these countries;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imposition of or unexpected adverse changes in foreign laws or regulatory requirements;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longer payment cycles in foreign countries and difficulties in collecting accounts receivable;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difficulties and costs of staffing and managing its foreign operations;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compliance with anti-bribery laws;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acts of terrorism.</w:t>
      </w:r>
    </w:p>
    <w:p>
      <w:pPr>
        <w:spacing w:after="0" w:line="225"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These risks may result in unforeseen harm to Navios Logistics’ business and financial condition. Also, some of its customers are headquartered in South America, and a general decline in the economies of South America, or the instability of certain South American countries and economies, could materially and adversely affect Navios Logistics.</w:t>
      </w:r>
    </w:p>
    <w:p>
      <w:pPr>
        <w:spacing w:after="0" w:line="184"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Navios Logistics’ business in emerging markets requires it to respond to rapid changes in market conditions in these countries. Navios Logistics’ overall success in international markets depends, in part, upon its ability to succeed in different legal, regulatory, economic, social and political conditions. Navios Logistics may not continue to succeed in developing and implementing policies and strategies that will be effective in each location where it does business. Furthermore, the occurrence of any of the foregoing factors may have a material adverse effect on its business and results of operations.</w:t>
      </w:r>
    </w:p>
    <w:p>
      <w:pPr>
        <w:spacing w:after="0" w:line="296"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b w:val="1"/>
          <w:bCs w:val="1"/>
          <w:i w:val="1"/>
          <w:iCs w:val="1"/>
          <w:color w:val="auto"/>
        </w:rPr>
        <w:t>Changes in rules and regulations with respect to cabotage or their interpretation in the markets in which Navios Logistics’ operate could have a material adverse effect on its results of operations.</w:t>
      </w:r>
    </w:p>
    <w:p>
      <w:pPr>
        <w:spacing w:after="0" w:line="62"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In the markets in which Navios Logistics currently operates, in cabotage or regional trades, it is subject to restrictive rules and regulations on a region by region basis. Its operations currently benefit from these rules and regulations or their interpretation. For instance, preferential treatment is extended in Argentine cabotage for Argentine flagged vessels or foreign flagged vessels operated by local established operators with sufficient Argentine tonnage, in accordance with applicable local law, under one to three years’ licenses, including its Argentine cabotage vessels. Changes in cabotage rules and regulations or in their interpretation may have an adverse effect on Navios Logistics’ current or future cabotage operations, either by becoming more restrictive (which could result in limitations to the utilization of some of its vessels in those trades) or less restrictive (which could result in increased competition in these markets).</w:t>
      </w:r>
    </w:p>
    <w:p>
      <w:pPr>
        <w:spacing w:after="0" w:line="303" w:lineRule="exact"/>
        <w:rPr>
          <w:sz w:val="20"/>
          <w:szCs w:val="20"/>
          <w:color w:val="auto"/>
        </w:rPr>
      </w:pPr>
    </w:p>
    <w:p>
      <w:pPr>
        <w:ind w:left="120" w:right="220"/>
        <w:spacing w:after="0" w:line="342" w:lineRule="auto"/>
        <w:rPr>
          <w:sz w:val="20"/>
          <w:szCs w:val="20"/>
          <w:color w:val="auto"/>
        </w:rPr>
      </w:pPr>
      <w:r>
        <w:rPr>
          <w:rFonts w:ascii="Arial" w:cs="Arial" w:eastAsia="Arial" w:hAnsi="Arial"/>
          <w:sz w:val="16"/>
          <w:szCs w:val="16"/>
          <w:b w:val="1"/>
          <w:bCs w:val="1"/>
          <w:i w:val="1"/>
          <w:iCs w:val="1"/>
          <w:color w:val="auto"/>
        </w:rPr>
        <w:t>Because Navios Logistics generates the majority of its revenues in U.S. dollars but incurs a significant portion of its expenses in other currencies, exchange rate fluctuations could cause it to suffer exchange rate losses, thereby increasing expenses and reducing income.</w:t>
      </w:r>
    </w:p>
    <w:p>
      <w:pPr>
        <w:spacing w:after="0" w:line="16" w:lineRule="exact"/>
        <w:rPr>
          <w:sz w:val="20"/>
          <w:szCs w:val="20"/>
          <w:color w:val="auto"/>
        </w:rPr>
      </w:pPr>
    </w:p>
    <w:p>
      <w:pPr>
        <w:ind w:left="120" w:right="100" w:firstLine="440"/>
        <w:spacing w:after="0" w:line="269" w:lineRule="auto"/>
        <w:rPr>
          <w:sz w:val="20"/>
          <w:szCs w:val="20"/>
          <w:color w:val="auto"/>
        </w:rPr>
      </w:pPr>
      <w:r>
        <w:rPr>
          <w:rFonts w:ascii="Arial" w:cs="Arial" w:eastAsia="Arial" w:hAnsi="Arial"/>
          <w:sz w:val="17"/>
          <w:szCs w:val="17"/>
          <w:color w:val="auto"/>
        </w:rPr>
        <w:t>Navios Logistics engages in regional commerce with a variety of entities. Additionally, Navios Logistics’ South American subsidiaries transact certain operations in Uruguayan pesos, Paraguayan guaraníes, Argentine pesos and Brazilian reais; however, all of the subsidiaries’ primary cash flows are U.S. dollar-denominated. Currencies in Argentina and Brazil have fluctuated significantly against the U.S. dollar in the past. As of December 31, 2020, 2019 and 2018 approximately 47.8%, 53.4% and 48.6%, respectively, of its expenses were incurred in currencies other than U.S. dollars. Transactions in currencies other than the functional currency are translated at the exchange rate in effect at the date of each transaction. Expenses incurred in foreign currencies against which the U.S. dollar falls in value can increase, thereby decreasing Navios Logistics’ income. A greater percentage of Navios Logistics’ transactions and expenses in the future may be denominated in currencies other than U.S. dollars. As part of its overall risk management policy, Navios Logistics may attempt to hedge these risks in exchange rate fluctuations from time to time but cannot guarantee it will be successful in these hedging activities. Future fluctuations in the value of local currencies relative to the U.S. dollar in the countries in which it operates may occur, and if such fluctuations were to occur in one or a combination of the countries in which it operates, its results of operations or financial condition could be materially and adversely affected.</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00"/>
          </w:cols>
          <w:pgMar w:left="320" w:top="459" w:right="4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 Risks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earn U.S. source income that is subject to tax, thereby adversely affecting our results of operations and cash flows.</w:t>
      </w:r>
    </w:p>
    <w:p>
      <w:pPr>
        <w:spacing w:after="0" w:line="117"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Under the Internal Revenue Code, or the Code, 50.0% of the gross shipping income of a vessel owning or chartering corporation that is attributable to transportation that either begins or ends, but that does not both begin and end, in the U.S. is characterized as U.S.-source shipping income. U.S.-source shipping income generally is subject to a 4.0% U.S. federal income tax without allowance for deduction or, if such U.S.-source shipping income is effectively connected with the conduct of a trade or business in the U.S., U.S. federal corporate income tax (the statutory rate presently is 21.0%) as well as a branch profits tax (presently imposed at a 30.0% rate on effectively connected earnings), unless that corporation qualifies for exemption from tax under Section 883 of the Code. We believe that we and each of our subsidiaries qualifies and will continue to qualify for the foreseeable future for this statutory tax exemption under Section 883 with respect to our U.S.-source shipping income, provided that our common stock continues to be listed on the NYSE and represents more than 50.0% of the total combined voting power of all classes of our stock entitled to vote and of the total value of our stock, and less than 50.0% of our common stock is owned, actually or constructively under specified stock attribution rules, on more than half the number of days in the relevant year by persons who each own 5.0% or more of the vote and value of our common stock. Our ability to qualify for the exemption at any given time will depend upon circumstances related to the ownership of our common stock at such time and thus are beyond our control. Furthermore, our board of directors could determine that it is in our best interests to take an action that would result in this tax exemption not applying to us in the future. Accordingly, we can give no assurance that we would qualify for the exemption under Section 883 with respect to any such income we earn. If we were not entitled to the Section 883 exemption for any taxable year, we generally would be subject to a 4.0% U.S. federal gross income tax with respect to our U.S.-source shipping income or, if such U.S. source shipping income were effectively connected with the conduct of a trade or business in the U.S., U.S. federal corporate income tax as well as a branch profits tax for those years. As a result, depending on the trading patterns of our vessels, we could become liable for tax, and our net income and cash flow could be adversely affected. Please see the discussion under “Taxation—Material U.S. Federal Income Tax Considerations—U.S. Federal Income Taxation of the Company—Taxation of Our Shipping Income.”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Navios Holdings may be taxed as a U.S. corporation.</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purchase by International Shipping Enterprises Inc. (“ISE”), our predecessor, of all of the outstanding shares of common stock of Navios Holdings, and the subsequent downstream merger of ISE with and into Navios Holdings took place on August 25, 2005. Navios Holdings is incorporated under the laws of the Republic of the Marshall Islands. ISE received an opinion from its counsel for the merger transaction that, while there is no direct authority that governs the tax treatment of the transaction, it was more likely than not that Navios Holdings would be taxed by the U.S. as a foreign corporation. Accordingly, we take the position that Navios Holdings will be taxed as a foreign corporation by the U.S. If Navios Holdings were to be taxed as a U.S. corporation, its taxes would be significantly higher than they are currently.</w:t>
      </w:r>
    </w:p>
    <w:p>
      <w:pPr>
        <w:spacing w:after="0" w:line="286" w:lineRule="exact"/>
        <w:rPr>
          <w:sz w:val="20"/>
          <w:szCs w:val="20"/>
          <w:color w:val="auto"/>
        </w:rPr>
      </w:pPr>
    </w:p>
    <w:p>
      <w:pPr>
        <w:ind w:left="120" w:right="100"/>
        <w:spacing w:after="0" w:line="342" w:lineRule="auto"/>
        <w:rPr>
          <w:sz w:val="20"/>
          <w:szCs w:val="20"/>
          <w:color w:val="auto"/>
        </w:rPr>
      </w:pPr>
      <w:r>
        <w:rPr>
          <w:rFonts w:ascii="Arial" w:cs="Arial" w:eastAsia="Arial" w:hAnsi="Arial"/>
          <w:sz w:val="16"/>
          <w:szCs w:val="16"/>
          <w:b w:val="1"/>
          <w:bCs w:val="1"/>
          <w:i w:val="1"/>
          <w:iCs w:val="1"/>
          <w:color w:val="auto"/>
        </w:rPr>
        <w:t>A change in tax laws, treaties or regulations, or their interpretation, of any country in which we operate our business could result in a high tax rate on our worldwide earnings, which could result in a significant negative impact on our earnings and cash flows from operations.</w:t>
      </w:r>
    </w:p>
    <w:p>
      <w:pPr>
        <w:spacing w:after="0" w:line="16"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We are an international company that conducts business throughout the world. Tax laws and regulations are highly complex and subject to interpretation. Consequently, we are subject to changing tax laws, treaties and regulations in and between countries in which we operate. Our income tax expense is based upon our interpretation of tax laws in effect in various countries at the time that the expense was incurred. A change in these tax laws, treaties or regulations, or in the interpretation thereof, or in the valuation of our deferred tax assets, could result in a materially higher tax expense or a higher effective tax rate on our worldwide earnings, and such change could be significant to our financial results. If any tax authority successfully challenges our operational structure, intercompany pricing policies or the taxable presence of our key subsidiaries in certain countries, or if the terms of certain income tax treaties are interpreted in a manner that is adverse to our structure, or if we lose a material tax dispute in any country, our effective tax rate on our worldwide earnings from our operations could increase substantially and our earnings and cash flows from these operations could be materially adversely affected. For example, in accordance with the currently applicable Greek law, foreign flagged vessels that are managed by Greek or foreign ship management companies having established an office in Greece are subject to duties towards the Greek state, which are calculated on the basis of the relevant vessel’s tonnage. The payment of said duties exhausts the tax liability of the foreign ship owning company and the relevant manager against any tax, duty, charge or contribution payable on income from the exploitation of the foreign flagged vessel.</w:t>
      </w:r>
    </w:p>
    <w:p>
      <w:pPr>
        <w:spacing w:after="0" w:line="168"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We and our subsidiaries may be subject to taxation in the jurisdictions in which we and our subsidiaries conduct business. Such taxation would result in decreased earnings available to our stockholders.</w:t>
      </w:r>
    </w:p>
    <w:p>
      <w:pPr>
        <w:spacing w:after="0" w:line="170"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Investors are encouraged to consult their own tax advisors concerning the overall tax consequences of the ownership of our common stock arising in an investor’s particular situation under U.S. federal, state, local and foreign law.</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U.S. tax authorities could treat us as a “passive foreign investment company,” which could have adverse U.S. federal income tax consequences to U.S. holders.</w:t>
      </w:r>
    </w:p>
    <w:p>
      <w:pPr>
        <w:spacing w:after="0" w:line="62" w:lineRule="exact"/>
        <w:rPr>
          <w:sz w:val="20"/>
          <w:szCs w:val="20"/>
          <w:color w:val="auto"/>
        </w:rPr>
      </w:pPr>
    </w:p>
    <w:p>
      <w:pPr>
        <w:ind w:left="120" w:right="120" w:firstLine="440"/>
        <w:spacing w:after="0" w:line="272" w:lineRule="auto"/>
        <w:rPr>
          <w:sz w:val="20"/>
          <w:szCs w:val="20"/>
          <w:color w:val="auto"/>
        </w:rPr>
      </w:pPr>
      <w:r>
        <w:rPr>
          <w:rFonts w:ascii="Arial" w:cs="Arial" w:eastAsia="Arial" w:hAnsi="Arial"/>
          <w:sz w:val="17"/>
          <w:szCs w:val="17"/>
          <w:color w:val="auto"/>
        </w:rPr>
        <w:t>A foreign corporation will be treated as a passive foreign investment company, or PFIC, for U.S. federal income tax purposes if either (1) at least 75% of its gross income for any taxable year consists of certain types of “passive income” or (2) at least 50% of the quarterly average value of the corporation’s assets produce or are held for the production of those types of “passive income.” For purposes of these tests, “passive income” includes dividends, interest, capital gains and rents (other than rents derived other than in the active conduct of a rental business). For purposes of these tests, income derived from the performance of services does not constitute “passive income.” U.S. stockholders of a PFIC are subject to a disadvantageous U.S. federal income tax regime with respect to the income derived by the PFIC, the distributions they receive from the PFIC and the gain, if any, they derive from the sale or other disposition of their shares in the PFIC and additional tax filing obligations.</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Based upon our actual and projected income, assets and activities, we believe that we should not be a PFIC for our taxable year ended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December 31, 2020 or for subsequent taxable years. Based upon our operations as described herein, our income from time charters should not be treated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as passive income for purposes of determining whether we are a PFIC. Accordingly, our income from our time chartering activities should not constitute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“passive income,” and the assets that we own and operate in connection with the production of that income should not constitute passive assets.</w:t>
      </w:r>
    </w:p>
    <w:p>
      <w:pPr>
        <w:spacing w:after="0" w:line="222"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color w:val="auto"/>
        </w:rPr>
        <w:t>There is substantial legal authority supporting this position consisting of case law and U.S. Internal Revenue Service, or IRS, pronouncements concerning the characterization of income derived from time charters and voyage charters as services income for other tax purposes. However, it should be noted that there is also authority, which characterizes time charter income as rental income rather than services income for other tax purposes. Accordingly, no assurance can be given that the IRS or a court of law will accept this position and there is a risk that the IRS or a court of law could determine that we are a PFIC. In addition, no assurance can be given as to our current and future PFIC status, because such status requires an annual factual determination based upon the composition of our income and assets for the entire taxable year. The PFIC determination also depends on the application of complex U.S. federal income tax rules concerning the classification of our income and assets for this purpose, and there are legal uncertainties involved in determining whether the income derived from our chartering activities and from our logistics activities constitutes rental income or income derived from the performance of services. We have not sought, and we do not expect to seek, an IRS ruling on this issue. As a result, the IRS or a court could disagree with our position. In addition, although we intend to conduct our affairs in a manner to avoid, to the extent possible, being classified as a PFIC with respect to any taxable year, we cannot assure you that the nature of our operations, or the nature or composition of our income or assets, will not change in the future, or that we can avoid PFIC status in the future.</w:t>
      </w:r>
    </w:p>
    <w:p>
      <w:pPr>
        <w:spacing w:after="0" w:line="168"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If the IRS were to find that we are or have been a PFIC for any taxable year, our U.S. stockholders would face adverse U.S. federal income tax consequences and certain information reporting requirements. Under the PFIC rules, unless those stockholders make an election available under the Code (which election could itself have adverse consequences for such stockholders, and which election may not be available if our common stock were to cease to be listed on the NYSE), such stockholders would be liable to pay U.S. federal income tax at the then prevailing ordinary income tax rates, plus interest, upon excess distributions and upon any gain from the disposition of their shares of common stock, as if the excess distribution or gain had been recognized ratably over the stockholder’s holding period of the common stock. In addition, for each year during which we are treated as a PFIC and you actually or constructively own our common stock you generally will be required to file IRS Form 8621 with your U.S. federal income tax return to report certain information concerning your ownership of our common stock. Please see the discussion under “Taxation—Material U.S. Federal Income Tax Considerations — Taxation of U.S. Holders of our Common Stock — Passive Foreign Investment Company Status.”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 Information on the Company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 History and Development of the Company</w:t>
      </w:r>
    </w:p>
    <w:p>
      <w:pPr>
        <w:spacing w:after="0" w:line="117"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The legal and commercial name of the Company is Navios Maritime Holdings Inc. The Company is a corporation incorporated under the BCA and the laws of the Republic of the Marshall Islands. The Company’s office and principal place of business is located at Strathvale House, 90 N Church Street, P.O. Box 309, Grand Cayman, KY1-1104 Cayman Islands, and its telephone number is +1 345 232 3067.</w:t>
      </w:r>
    </w:p>
    <w:p>
      <w:pPr>
        <w:spacing w:after="0" w:line="165"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On August 25, 2005, pursuant to a Stock Purchase Agreement dated February 28, 2005, as amended, by and among ISE, Navios Holdings, and all the shareholders of Navios Holdings, ISE acquired Navios Holdings through the purchase of all of the outstanding shares of common stock of Navios Holdings. As a result of this acquisition, Navios Holdings became a wholly-owned subsidiary of ISE. In addition, on August 25, 2005, simultaneously with the acquisition of Navios Holdings, ISE effected a reincorporation from the State of Delaware to the Republic of the Marshall Islands through a downstream merger with and into its newly acquired wholly-owned subsidiary, whose name was and continued to be Navios Maritime Holdings Inc.</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The Company operates a fleet of owned Capesize, Panamax, Ultra Handymax and Handysize vessels and a fleet of time chartered Capesize, Panamax, Ultra Handymax and Handysize vessels that are employed to provide worldwide transportation of bulk commodities. Navios Holdings is a global seaborne shipping and logistics company focused on the transport and transshipment of dry bulk commodities including iron ore, coal and grain. For over 60 years, producers of raw materials, agricultural traders and exporters, industrial end-users, ship owners charterers, ship and derivative brokers, agents, and financial business partners have relied on Navios Holdings’ expertise and innovation.</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Navios Logistics</w:t>
      </w:r>
    </w:p>
    <w:p>
      <w:pPr>
        <w:spacing w:after="0" w:line="121" w:lineRule="exact"/>
        <w:rPr>
          <w:sz w:val="20"/>
          <w:szCs w:val="20"/>
          <w:color w:val="auto"/>
        </w:rPr>
      </w:pPr>
    </w:p>
    <w:p>
      <w:pPr>
        <w:ind w:left="120" w:right="140" w:firstLine="440"/>
        <w:spacing w:after="0" w:line="269" w:lineRule="auto"/>
        <w:rPr>
          <w:sz w:val="20"/>
          <w:szCs w:val="20"/>
          <w:color w:val="auto"/>
        </w:rPr>
      </w:pPr>
      <w:r>
        <w:rPr>
          <w:rFonts w:ascii="Arial" w:cs="Arial" w:eastAsia="Arial" w:hAnsi="Arial"/>
          <w:sz w:val="17"/>
          <w:szCs w:val="17"/>
          <w:color w:val="auto"/>
        </w:rPr>
        <w:t>Navios Logistics, a consolidated subsidiary of the Company, was incorporated under the laws of the Republic of the Marshall Islands on December 17, 2007. Navios Logistics believes it is one of the largest infrastructure and logistics companies in the Hidrovia Region of South America, the main navigable river system in the region, and on the cabotage trades along the eastern coast of South America. Navios Logistics is focused on providing its customers integrated transportation, storage and related services through its strategically located port facilities, its large, versatile fleet of dry and liquid cargo barges and its product tankers. Navios Logistics serves the needs of a number of growing South American industries, including mineral and grain commodity providers as well as users of refined petroleum products. Navios Logistics serve its customers in the Hidrovia Region through its three port storage and transfer facilities, one for agricultural, forest-related exports, one for mineral related exports both located in Nueva Palmira Free Zone, Uruguay, and one for refined petroleum products in San Antonio, Paraguay. Navios Logistics complements its three Port Terminals with a diverse fleet of 359 barges and pushboats and eight vessels, including six tankers, one bunker vessel and one river and estuary tanker vessel which operate in our Cabotage Business. Navios Logistics provides transportation for dry cargo (cereals, cotton pellets, soybeans, wheat, limestone (clinker), mineral iron, and rolling stones) and liquid cargo (hydrocarbons such as crude oil, gas oil, naphtha, fuel oil and vegetable oils) and liquefied cargo (liquefied petroleum gas or LPG).</w:t>
      </w:r>
    </w:p>
    <w:p>
      <w:pPr>
        <w:spacing w:after="0" w:line="179"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On January 1, 2008, pursuant to a share purchase agreement, Navios Holdings contributed cash, and the authorized capital stock of its wholly-owned subsidiary Corporacion Navios Sociedad Anonima (“CNSA”) in exchange for the issuance and delivery of 63.8% of Navios Logistics’ outstanding stock. Navios Logistics acquired all ownership interests in the Horamar Group (“Horamar”) in exchange for cash, and the issuance of 36.2% of Navios Logistics’ outstanding stock. As of December 31, 2020, Navios Holdings owned 63.8% of Navios Logistics.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Affiliate companies (not consolidated under Navios Holdings)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Navios Partners</w:t>
      </w:r>
    </w:p>
    <w:p>
      <w:pPr>
        <w:spacing w:after="0" w:line="117"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Navios Partners (NYSE:NMM) is an international owner and operator of dry cargo vessels and is engaged in the seaborne transportation services of a wide range of dry cargo commodities including iron ore, coal, grain, fertilizer and also containerships, chartering its vessels under medium to long-term charters.</w:t>
      </w:r>
    </w:p>
    <w:p>
      <w:pPr>
        <w:spacing w:after="0" w:line="184"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On August 7, 2007, Navios Holdings formed Navios Partners under the laws of Marshall Islands. Navios GP L.L.C., a wholly-owned subsidiary of Navios Holdings, was also formed on that date to act as the general partner of Navios Partners and received a 2.0% general partner interest in Navios Partners. In August 2019, Navios GP L.L.C. ceased to be Navios Partners’ general partner.</w:t>
      </w:r>
    </w:p>
    <w:p>
      <w:pPr>
        <w:spacing w:after="0" w:line="184"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On or prior to the closing of Navios Partners’ initial public offering in November 2007, Navios Holdings entered into certain agreements with Navios Partners: (a) a management agreement with Navios Partners pursuant to which the Manager, provided Navios Partners with commercial and technical management services; (b) an administrative services agreement with the Manager pursuant to which the Manager provided Navios Partners administrative services; and (c) an omnibus agreement with Navios Partners, governing, among other things, when Navios Partners and Navios Holdings may compete against each other as well as rights of first offer on certain dry bulk carriers.</w:t>
      </w:r>
    </w:p>
    <w:p>
      <w:pPr>
        <w:spacing w:after="0" w:line="176"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Since the formation of Navios Partners, Navios Holdings has from time to time sold certain vessels to Navios Partners in exchange of cash and/or common units of Navios Partners.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one-for-15 reverse stock split of all outstanding common units of Navios Partners became effective on May 21, 2019.</w:t>
      </w:r>
    </w:p>
    <w:p>
      <w:pPr>
        <w:spacing w:after="0" w:line="225" w:lineRule="exact"/>
        <w:rPr>
          <w:sz w:val="20"/>
          <w:szCs w:val="20"/>
          <w:color w:val="auto"/>
        </w:rPr>
      </w:pPr>
    </w:p>
    <w:p>
      <w:pPr>
        <w:ind w:left="120" w:right="200" w:firstLine="440"/>
        <w:spacing w:after="0" w:line="311" w:lineRule="auto"/>
        <w:rPr>
          <w:sz w:val="20"/>
          <w:szCs w:val="20"/>
          <w:color w:val="auto"/>
        </w:rPr>
      </w:pPr>
      <w:r>
        <w:rPr>
          <w:rFonts w:ascii="Arial" w:cs="Arial" w:eastAsia="Arial" w:hAnsi="Arial"/>
          <w:sz w:val="16"/>
          <w:szCs w:val="16"/>
          <w:color w:val="auto"/>
        </w:rPr>
        <w:t>As of December 31, 2020 and following the sale of Navios Partners general partnership interest, referred to in Note 3 included elsewhere in this Annual Report, Navios Holdings had a 17.9% ownership interest in Navios Partners. Incentive distribution rights are held by Navios GP L.L.C. On March 31, 2021, Navios Partners completed the acquisition of Navios Containers, referred to in Note 9 included elsewhere in this Annual Report.</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Navios Acquisition</w:t>
      </w:r>
    </w:p>
    <w:p>
      <w:pPr>
        <w:spacing w:after="0" w:line="117"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Navios Acquisition (NYSE:NNA) is an owner and operator of tanker vessels focusing on the transportation of petroleum products (clean and dirty) and bulk liquid chemicals.</w:t>
      </w:r>
    </w:p>
    <w:p>
      <w:pPr>
        <w:spacing w:after="0" w:line="170"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On July 1, 2008, Navios Acquisition completed its IPO. On May 28, 2010, Navios Acquisition consummated the vessel acquisition, which constituted its initial business combination. Following such transaction, Navios Acquisition commenced its operations as an operating company. On that date, Navios Holdings acquired control over Navios Acquisition, and consequently concluded a business combination had occurred and consolidated the results of Navios Acquisition from that date until March 30, 2011.</w:t>
      </w:r>
    </w:p>
    <w:p>
      <w:pPr>
        <w:spacing w:after="0" w:line="187"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On May 28, 2010, Navios Holdings entered into (a) a management agreement with Navios Acquisition pursuant to which Navios Tankers Management Inc. (the “Tankers Manager”) provided Navios Acquisition commercial and technical management services; (b) an administrative services agreement with the Tankers Manager pursuant to which the Tankers Manager provided Navios Acquisition administrative services and is in turn reimbursed for reasonable costs and expenses; and (c) an omnibus agreement with Navios Acquisition and Navios Partners (the “Acquisition Omnibus Agreement”) in connection with the closing of Navios Acquisition’s vessel acquisition, governing, among other things, competition and rights of first offer on certain types of vessels and businesses.</w:t>
      </w:r>
    </w:p>
    <w:p>
      <w:pPr>
        <w:spacing w:after="0" w:line="192"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On March 30, 2011, Navios Holdings exchanged 7,676,000 shares of Navios Acquisition common stock it held for 1,000 shares of non-voting Series C Convertible Preferred Stock of Navios Acquisition and had 45.0% of the voting power and 53.7% of the economic interest in Navios Acquisition, since the preferred stock is considered, in substance, common stock for accounting purposes. From March 30, 2011, Navios Acquisition has been considered as an affiliate entity of Navios Holdings and not as a controlled subsidiary of the Company.</w:t>
      </w:r>
    </w:p>
    <w:p>
      <w:pPr>
        <w:spacing w:after="0" w:line="171" w:lineRule="exact"/>
        <w:rPr>
          <w:sz w:val="20"/>
          <w:szCs w:val="20"/>
          <w:color w:val="auto"/>
        </w:rPr>
      </w:pPr>
    </w:p>
    <w:p>
      <w:pPr>
        <w:ind w:left="120" w:right="340" w:firstLine="440"/>
        <w:spacing w:after="0" w:line="257" w:lineRule="auto"/>
        <w:rPr>
          <w:sz w:val="20"/>
          <w:szCs w:val="20"/>
          <w:color w:val="auto"/>
        </w:rPr>
      </w:pPr>
      <w:r>
        <w:rPr>
          <w:rFonts w:ascii="Arial" w:cs="Arial" w:eastAsia="Arial" w:hAnsi="Arial"/>
          <w:sz w:val="18"/>
          <w:szCs w:val="18"/>
          <w:color w:val="auto"/>
        </w:rPr>
        <w:t>In February, May and September 2013, Navios Acquisition completed multiple offerings, including registered direct offerings and private placements to Navios Holdings and certain members of the management of Navios Acquisition, Navios Partners and Navios Holdings. A total of 94,097,529 shares were issued. As part of these offerings, Navios Holdings purchased in private placements an aggregate of 46,969,669 shares of Navios Acquisition common stock for $160.0 million. In February 2014, Navios Acquisition completed a public offering of 14,950,000 shares of its common stock.</w:t>
      </w:r>
    </w:p>
    <w:p>
      <w:pPr>
        <w:spacing w:after="0" w:line="188"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In February 2018, the Board of Directors of Navios Acquisition authorized a stock repurchase program for up to $25.0 million of Navios Acquisition’s common stock, for two years. Stock repurchases will be made from time to time for cash in open market transactions at prevailing market prices or in privately negotiated transactions. As of December 31, 2020, Navios Acquisition has repurchased its shares of common stock for a total cost of approximately $7.5 million.</w:t>
      </w:r>
    </w:p>
    <w:p>
      <w:pPr>
        <w:spacing w:after="0" w:line="18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On November 9, 2018, the Stockholders of Navios Acquisition approved a one-for-15 reverse stock split of all outstanding common stock shares of Navios Acquisition, which was effected on November 14, 2018.</w:t>
      </w:r>
    </w:p>
    <w:p>
      <w:pPr>
        <w:spacing w:after="0" w:line="170"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On December 13, 2018, Navios Acquisition completed the merger (the “Merger”) contemplated by the previously announced Agreement and Plan of Merger (the “Merger Agreement”), dated as of October 7, 2018, by and among Navios Acquisition, its direct wholly-owned subsidiary NMA Sub LLC (“Merger Sub”), Navios Maritime Midstream Partners L.P. (“Navios Midstream”) and Navios Midstream Partners GP LLC (the “NAP General Partner”). Pursuant to the Merger Agreement, Merger Sub merged with and into Navios Midstream, with Navios Midstream surviving as a wholly-owned subsidiary of Navios Acquisition.</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2020, Navios Holdings had a 29.5% economic interest in Navios Acquisition.</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Navios Containers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Navios Containers (NASDAQ: NMCI) is a growth-oriented international owner and operator of containerships.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On June 8, 2017, Navios Maritime Containers Inc. completed a private placement and Navios Holdings invested $5.0 million. Navios Maritime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Containers Inc. registered its shares on the Norwegian Over-The-Counter Market (N-OTC) on June 12, 2017 under the ticker “NMCI”. On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November 30, 2018, Navios Maritime Containers Inc. was converted into a limited partnership and commenced trading its common units on the Nasdaq</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Global Select Market (or “NASDAQ”) on December 10, 2018. In connection with the conversion, Navios Maritime Containers GP LLC, a Republic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Marshall Islands limited liability company and wholly-owned subsidiary of Navios Holdings, was admitted as Navios Containers’ general partner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and holds a non-economic interest that does not provide the holder with any rights to profits or losses of, or distribution by, the partnership. As a result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of holding the general partner interest, control was obtained by Navios Holdings. As of that date, Navios Holdings obtained control over Navios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Containers and consequently the results of operations of Navios Containers were consolidated under Navios Holdings. Following the sale of Navios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Containers’ general partnership interest effected on August 30, 2019, referred to in Note 3 included elsewhere in this Annual Report, Navios Holdings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lost control and deconsolidated Navios Containers from that date onwards. The results of operations of Navios Containers for the period consolidated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under Navios Holdings have been reported as discontinued operations for all the periods presented.</w:t>
      </w:r>
    </w:p>
    <w:p>
      <w:pPr>
        <w:sectPr>
          <w:pgSz w:w="11900" w:h="16838" w:orient="portrait"/>
          <w:cols w:equalWidth="0" w:num="1">
            <w:col w:w="11120"/>
          </w:cols>
          <w:pgMar w:left="320" w:top="459" w:right="459" w:bottom="1440" w:gutter="0" w:footer="0" w:header="0"/>
        </w:sectPr>
      </w:pP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120"/>
          </w:cols>
          <w:pgMar w:left="320" w:top="459" w:right="459" w:bottom="1440" w:gutter="0" w:footer="0" w:header="0"/>
          <w:type w:val="continuous"/>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As a result, since August 30, 2019, Navios Containers is not a controlled subsidiary of Navios Holdings and the investment in Navios Containers is accounted for under the equity method due to Navios Holdings’ significant influence over Navios Containers.</w:t>
      </w:r>
    </w:p>
    <w:p>
      <w:pPr>
        <w:spacing w:after="0" w:line="170"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On December 3, 2018, Navios Partners distributed approximately 2.5% of the outstanding equity of Navios Containers to the unitholders of Navios Partners in connection with the listing of Navios Containers on the NASDAQ. As of December 31, 2020, Navios Holdings had a 3.9% ownership interest in Navios Containers. On March 31, 2021, Navios Partners completed the acquisition of Navios Containers (refer to Note 9 included elsewhere in this Annual Report). As of the close of the market on March 31, 2021, Navios Containers’ common units were no longer listed for trading on NASDAQ.</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Navios Europe I</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Navios Europe I was engaged in the marine transportation industry through the ownership of five tanker and five container vessels.</w:t>
      </w:r>
    </w:p>
    <w:p>
      <w:pPr>
        <w:spacing w:after="0" w:line="22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On October 9, 2013, Navios Holdings, Navios Acquisition and Navios Partners established Navios Europe I under the laws of Marshall Islands and had economic interests of 47.5%, 47.5% and 5.0%, respectively, and effective from November 2014, voting interests of 50%, 50% and 0%, respectively. On December 18, 2013, Navios Europe I acquired ten vessels for aggregate consideration consisting of (i) cash (which was funded with the proceeds of senior loan facilities (the “Senior Loans I”) and loans aggregating to $10.0 million from Navios Holdings, Navios Acquisition and Navios Partners (in each case, in proportion to their economic interests in Navios Europe I) (collectively, the “Navios Term Loans I”) and (ii) the assumption of a junior participating loan facility (the “Junior Loan I”). In addition to the Navios Term Loans I, Navios Holdings, Navios Acquisition and Navios Partners also made available to Navios Europe I revolving loans of up to $24.1 million to fund working capital requirements (collectively, the “Navios Revolving Loans I”). In December 2018, the amount of the Navios Revolving Loans I increased by $30.0 million. On November 22, 2019, an agreement was reached to liquidate Navios Europe I. As of December 31, 2019, the Company received in cash all balances relating to Navios Europe I following the liquidation of the structure (refer to Note 16 included elsewhere in this Annual Report).</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Navios Europe II</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Navios Europe II was engaged in the marine transportation industry through the ownership of seven dry bulkers and seven containership vessels.</w:t>
      </w:r>
    </w:p>
    <w:p>
      <w:pPr>
        <w:spacing w:after="0" w:line="248"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On February 18, 2015, Navios Holdings, Navios Acquisition and Navios Partners had established Navios Europe II under the laws of Marshall Islands and had economic interests of 47.5%, 47.5% and 5.0%, respectively, and voting interests of 50.0%, 50.0% and 0%, respectively. From June 8, 2015 through December 31, 2015, Navios Europe II acquired 14 vessels for aggregate consideration consisting of: (i) cash (which was funded with the proceeds of a senior loan facility (the “Senior Loans II”) and loans aggregating to $14.0 million from Navios Holdings, Navios Acquisition and Navios Partners (in each case, in proportion to their economic interests in Navios Europe II) (collectively, the “Navios Term Loans II”) and (ii) the assumption of a junior participating loan facility (the “Junior Loan II”). In addition to the Navios Term Loans II, Navios Holdings, Navios Acquisition and Navios Partners would also have made available to Navios Europe II revolving loans up to $43.5 million to fund working capital requirements (collectively, the “Navios Revolving Loans II”). In March 2017, the amount of the Navios Revolving Loans II increased by $14.0 million. On April 21, 2020, Navios Europe II and the lenders agreed to fully release the liabilities under the Junior Loan II for $5.0 million. The structure was liquidated in June 2020. As of December 31, 2020, the Company received in cash all balances relating to Navios Europe II and acquired two Panamax vessels of Navios Europe II (Refer to Note 16 included elsewhere in this Annual Report).</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 Business overview</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Navios Holdings is a global seaborne shipping and logistics company focused on the transport and transshipment of dry bulk commodities including iron ore, coal and grain. For over 60 years, producers of raw materials, agricultural traders and exporters, industrial end-users, ship owners, charterers, ship and derivative brokers, agents, and financial business partners have relied on Navios Holdings’ expertise and innovation. In August 2019, Navios Holdings sold its ship management division, and the general partnership interests in Navios Partners (except for the incentive distribution rights) and Navios Containers GP LLC to NSM affiliated with Company’s Chairman and Chief Executive Officer, Angeliki Frangou. The Company received aggregate consideration of $20.0 million (including assumption of liabilities). See also “Item 7.B Related party transactions”.</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As a result of the Transaction the Company is a holding company owning dry bulk vessels and various investments in entities owning maritime and infrastructure assets. NSM owns all entities providing ship management services and employs all associated people. NSM owns the general partner interests in Navios Containers and Navios Partners (except for the incentive distribution rights still held by the Company). The Company deconsolidated Navios Containers from August 30, 2019 onwards. Following the sale of the management division effected on August 30, 2019, Navios Holdings’ owned fleet is commercially and technically managed by NSM utilizing the same commercial ship management expertise and relationships developed in prior years. Navios Holdings’ current core fleet (excluding the Navios Logistics fleet), the average age of which is approximately 8.2 years, basis fully delivered fleet, consists of a total of 45 vessels, aggregating approximately 5.0 million dwt. Navios Holdings owns 29 vessels (including five vessels under bareboat contracts), consisting of 13 Capesize vessels (169,000-182,000 dwt), 12 Panamax vessels (74,000-85,000 dwt), three modern Ultra Handymax vessels (50,000-59,000 dwt) and one Handysize vessel (28,000-38,000 dwt). It also time charters-in and operates a fleet of one Ultra Handymax, one Handysize, 11 Panamax, and three Capesize vessels under long-term time charters. Navios Holdings has options to acquire 11 time charter-in vessels (on one of which Navios Holdings holds an initial 50% purchase option) and five vessels under bareboat contracts.</w:t>
      </w:r>
    </w:p>
    <w:p>
      <w:pPr>
        <w:spacing w:after="0" w:line="172" w:lineRule="exact"/>
        <w:rPr>
          <w:sz w:val="20"/>
          <w:szCs w:val="20"/>
          <w:color w:val="auto"/>
        </w:rPr>
      </w:pPr>
    </w:p>
    <w:p>
      <w:pPr>
        <w:ind w:left="120" w:right="620" w:firstLine="440"/>
        <w:spacing w:after="0" w:line="308" w:lineRule="auto"/>
        <w:rPr>
          <w:sz w:val="20"/>
          <w:szCs w:val="20"/>
          <w:color w:val="auto"/>
        </w:rPr>
      </w:pPr>
      <w:r>
        <w:rPr>
          <w:rFonts w:ascii="Arial" w:cs="Arial" w:eastAsia="Arial" w:hAnsi="Arial"/>
          <w:sz w:val="17"/>
          <w:szCs w:val="17"/>
          <w:color w:val="auto"/>
        </w:rPr>
        <w:t>Navios Holdings also offered commercial and technical management services to the fleets of Navios Partners, Navios Acquisition, Navios Europe I, Navios Europe II and Navios Containers through August 30, 2019 (the date of the sale of the management division).</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Navios Holdings’ strategy and business model focuses on:</w:t>
      </w:r>
    </w:p>
    <w:p>
      <w:pPr>
        <w:spacing w:after="0" w:line="131" w:lineRule="exact"/>
        <w:rPr>
          <w:sz w:val="20"/>
          <w:szCs w:val="20"/>
          <w:color w:val="auto"/>
        </w:rPr>
      </w:pPr>
    </w:p>
    <w:p>
      <w:pPr>
        <w:ind w:left="1080" w:hanging="424"/>
        <w:spacing w:after="0" w:line="254"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Pursuing an appropriate balance between vessel ownership and a long-term charter-in fleet. </w:t>
      </w:r>
      <w:r>
        <w:rPr>
          <w:rFonts w:ascii="Arial" w:cs="Arial" w:eastAsia="Arial" w:hAnsi="Arial"/>
          <w:sz w:val="18"/>
          <w:szCs w:val="18"/>
          <w:color w:val="auto"/>
        </w:rPr>
        <w:t>Navios Holdings controls, through a</w:t>
      </w:r>
      <w:r>
        <w:rPr>
          <w:rFonts w:ascii="Arial" w:cs="Arial" w:eastAsia="Arial" w:hAnsi="Arial"/>
          <w:sz w:val="18"/>
          <w:szCs w:val="18"/>
          <w:i w:val="1"/>
          <w:iCs w:val="1"/>
          <w:color w:val="auto"/>
        </w:rPr>
        <w:t xml:space="preserve"> </w:t>
      </w:r>
      <w:r>
        <w:rPr>
          <w:rFonts w:ascii="Arial" w:cs="Arial" w:eastAsia="Arial" w:hAnsi="Arial"/>
          <w:sz w:val="18"/>
          <w:szCs w:val="18"/>
          <w:color w:val="auto"/>
        </w:rPr>
        <w:t>combination of vessel ownership and long-term time chartered vessels, a fleet with an average age of approximately 8.2 years, basis fully delivered fleet, and 5.0 million dwt in tonnage. Navios Holdings’ ability, through its long-standing relationships with various shipyards and trading houses, to charter-in vessels allows it to control additional shipping capacity without the capital expenditures required by new vessel acquisition. In addition, having purchase options on 10 time chartered vessels and five purchase options of the vessels under bareboat contracts permits Navios Holdings to determine when is the most commercially opportune time to own or charter-in vessels. Navios Holdings intends to monitor developments in the sales and purchase market to maintain the appropriate balance between owned and long-term time chartered vessels.</w:t>
      </w:r>
    </w:p>
    <w:p>
      <w:pPr>
        <w:spacing w:after="0" w:line="97" w:lineRule="exact"/>
        <w:rPr>
          <w:rFonts w:ascii="Arial" w:cs="Arial" w:eastAsia="Arial" w:hAnsi="Arial"/>
          <w:sz w:val="18"/>
          <w:szCs w:val="18"/>
          <w:color w:val="auto"/>
        </w:rPr>
      </w:pPr>
    </w:p>
    <w:p>
      <w:pPr>
        <w:ind w:left="1080" w:right="40" w:hanging="424"/>
        <w:spacing w:after="0" w:line="271" w:lineRule="auto"/>
        <w:tabs>
          <w:tab w:leader="none" w:pos="1080" w:val="left"/>
        </w:tabs>
        <w:numPr>
          <w:ilvl w:val="0"/>
          <w:numId w:val="46"/>
        </w:numPr>
        <w:rPr>
          <w:rFonts w:ascii="Arial" w:cs="Arial" w:eastAsia="Arial" w:hAnsi="Arial"/>
          <w:sz w:val="17"/>
          <w:szCs w:val="17"/>
          <w:color w:val="auto"/>
        </w:rPr>
      </w:pPr>
      <w:r>
        <w:rPr>
          <w:rFonts w:ascii="Arial" w:cs="Arial" w:eastAsia="Arial" w:hAnsi="Arial"/>
          <w:sz w:val="17"/>
          <w:szCs w:val="17"/>
          <w:i w:val="1"/>
          <w:iCs w:val="1"/>
          <w:color w:val="auto"/>
        </w:rPr>
        <w:t xml:space="preserve">Capitalize on Navios Holdings’ and the Manager’s established reputation. </w:t>
      </w:r>
      <w:r>
        <w:rPr>
          <w:rFonts w:ascii="Arial" w:cs="Arial" w:eastAsia="Arial" w:hAnsi="Arial"/>
          <w:sz w:val="17"/>
          <w:szCs w:val="17"/>
          <w:color w:val="auto"/>
        </w:rPr>
        <w:t>We intend to capitalize on the global network of relationships</w:t>
      </w:r>
      <w:r>
        <w:rPr>
          <w:rFonts w:ascii="Arial" w:cs="Arial" w:eastAsia="Arial" w:hAnsi="Arial"/>
          <w:sz w:val="17"/>
          <w:szCs w:val="17"/>
          <w:i w:val="1"/>
          <w:iCs w:val="1"/>
          <w:color w:val="auto"/>
        </w:rPr>
        <w:t xml:space="preserve"> </w:t>
      </w:r>
      <w:r>
        <w:rPr>
          <w:rFonts w:ascii="Arial" w:cs="Arial" w:eastAsia="Arial" w:hAnsi="Arial"/>
          <w:sz w:val="17"/>
          <w:szCs w:val="17"/>
          <w:color w:val="auto"/>
        </w:rPr>
        <w:t>that Navios Holdings and the Manager have developed during our long history of investing and operating in the marine transportation industry. This includes decades-long relationships with leading charterers, financing sources and key shipping industry players. When charter markets and vessel prices are depressed and vessel financing is difficult to obtain we believe the relationships and experience of Navios Holdings and the Manager and its management enhances our ability to acquire young, technically advanced vessels at cyclically low prices and employ them under attractive charters with leading charterers. Through our established reputation and relationships, Navios Holdings and the Manager have had access to opportunities not readily available to most other industry participants that lack Navios Holdings’ and the Manager’s brand recognition, credibility and track record.</w:t>
      </w:r>
    </w:p>
    <w:p>
      <w:pPr>
        <w:spacing w:after="0" w:line="83" w:lineRule="exact"/>
        <w:rPr>
          <w:rFonts w:ascii="Arial" w:cs="Arial" w:eastAsia="Arial" w:hAnsi="Arial"/>
          <w:sz w:val="17"/>
          <w:szCs w:val="17"/>
          <w:color w:val="auto"/>
        </w:rPr>
      </w:pPr>
    </w:p>
    <w:p>
      <w:pPr>
        <w:jc w:val="both"/>
        <w:ind w:left="1080" w:right="300" w:hanging="424"/>
        <w:spacing w:after="0" w:line="263"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Utilize industry expertise to take advantage of market volatility. </w:t>
      </w:r>
      <w:r>
        <w:rPr>
          <w:rFonts w:ascii="Arial" w:cs="Arial" w:eastAsia="Arial" w:hAnsi="Arial"/>
          <w:sz w:val="18"/>
          <w:szCs w:val="18"/>
          <w:color w:val="auto"/>
        </w:rPr>
        <w:t>The dry bulk shipping market is cyclical and volatile. Navios Holdings</w:t>
      </w:r>
      <w:r>
        <w:rPr>
          <w:rFonts w:ascii="Arial" w:cs="Arial" w:eastAsia="Arial" w:hAnsi="Arial"/>
          <w:sz w:val="18"/>
          <w:szCs w:val="18"/>
          <w:i w:val="1"/>
          <w:iCs w:val="1"/>
          <w:color w:val="auto"/>
        </w:rPr>
        <w:t xml:space="preserve"> </w:t>
      </w:r>
      <w:r>
        <w:rPr>
          <w:rFonts w:ascii="Arial" w:cs="Arial" w:eastAsia="Arial" w:hAnsi="Arial"/>
          <w:sz w:val="18"/>
          <w:szCs w:val="18"/>
          <w:color w:val="auto"/>
        </w:rPr>
        <w:t>uses its experience, as executed on its behalf by the Manager, in the industry, sensitivity to trends, and knowledge and expertise in risk management to hedge against, and in some cases, to generate profit from, such volatility.</w:t>
      </w:r>
    </w:p>
    <w:p>
      <w:pPr>
        <w:spacing w:after="0" w:line="89" w:lineRule="exact"/>
        <w:rPr>
          <w:rFonts w:ascii="Arial" w:cs="Arial" w:eastAsia="Arial" w:hAnsi="Arial"/>
          <w:sz w:val="18"/>
          <w:szCs w:val="18"/>
          <w:color w:val="auto"/>
        </w:rPr>
      </w:pPr>
    </w:p>
    <w:p>
      <w:pPr>
        <w:ind w:left="1080" w:right="200" w:hanging="424"/>
        <w:spacing w:after="0" w:line="263"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Maintain customer focus and reputation for service and safety. </w:t>
      </w:r>
      <w:r>
        <w:rPr>
          <w:rFonts w:ascii="Arial" w:cs="Arial" w:eastAsia="Arial" w:hAnsi="Arial"/>
          <w:sz w:val="18"/>
          <w:szCs w:val="18"/>
          <w:color w:val="auto"/>
        </w:rPr>
        <w:t>Navios Holdings is recognized by its customers for the high quality of its</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and safety record. Navios Holdings’ high standards for performance, reliability, and safety provide Navios Holdings with an advantageous competitive profile.</w:t>
      </w:r>
    </w:p>
    <w:p>
      <w:pPr>
        <w:spacing w:after="0" w:line="89" w:lineRule="exact"/>
        <w:rPr>
          <w:rFonts w:ascii="Arial" w:cs="Arial" w:eastAsia="Arial" w:hAnsi="Arial"/>
          <w:sz w:val="18"/>
          <w:szCs w:val="18"/>
          <w:color w:val="auto"/>
        </w:rPr>
      </w:pPr>
    </w:p>
    <w:p>
      <w:pPr>
        <w:ind w:left="1080" w:right="40" w:hanging="424"/>
        <w:spacing w:after="0" w:line="253"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Benefit from the Manager’s Risk Management Practices and Corporate Managerial Support. </w:t>
      </w:r>
      <w:r>
        <w:rPr>
          <w:rFonts w:ascii="Arial" w:cs="Arial" w:eastAsia="Arial" w:hAnsi="Arial"/>
          <w:sz w:val="18"/>
          <w:szCs w:val="18"/>
          <w:color w:val="auto"/>
        </w:rPr>
        <w:t>Risk management requires the balancing of a</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factors in a cyclical and potentially volatile environment. In part, this requires a view of the overall health of the market, as well as an understanding of capital costs and returns. Navios Holdings actively engages in assessing financial and other risks associated with fluctuating market rates, fuel prices, credit risks, interest rates and foreign exchange rates. Navios Holdings closely monitors its credit exposure to customers and other counterparties. Navios Holdings has entered into the management agreement with the Manager, pursuant to which the Manager agreed to provide commercial and technical management services to Navios Holdings. When negotiating on behalf of Navios Holdings’ various vessel employment contracts, the Manager has established policies designed to ensure that contracts are entered into with counterparties that have appropriate credit history. We believe that Navios Holdings benefits from these established policies.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line="270" w:lineRule="auto"/>
        <w:tabs>
          <w:tab w:leader="none" w:pos="1080" w:val="left"/>
        </w:tabs>
        <w:numPr>
          <w:ilvl w:val="0"/>
          <w:numId w:val="47"/>
        </w:numPr>
        <w:rPr>
          <w:rFonts w:ascii="Arial" w:cs="Arial" w:eastAsia="Arial" w:hAnsi="Arial"/>
          <w:sz w:val="17"/>
          <w:szCs w:val="17"/>
          <w:color w:val="auto"/>
        </w:rPr>
      </w:pPr>
      <w:r>
        <w:rPr>
          <w:rFonts w:ascii="Arial" w:cs="Arial" w:eastAsia="Arial" w:hAnsi="Arial"/>
          <w:sz w:val="17"/>
          <w:szCs w:val="17"/>
          <w:i w:val="1"/>
          <w:iCs w:val="1"/>
          <w:color w:val="auto"/>
        </w:rPr>
        <w:t xml:space="preserve">Sustain a Competitive Cost Structure. </w:t>
      </w:r>
      <w:r>
        <w:rPr>
          <w:rFonts w:ascii="Arial" w:cs="Arial" w:eastAsia="Arial" w:hAnsi="Arial"/>
          <w:sz w:val="17"/>
          <w:szCs w:val="17"/>
          <w:color w:val="auto"/>
        </w:rPr>
        <w:t>Pursuant to our management agreement with the Manager, the Manager coordinates and oversees the</w:t>
      </w:r>
      <w:r>
        <w:rPr>
          <w:rFonts w:ascii="Arial" w:cs="Arial" w:eastAsia="Arial" w:hAnsi="Arial"/>
          <w:sz w:val="17"/>
          <w:szCs w:val="17"/>
          <w:i w:val="1"/>
          <w:iCs w:val="1"/>
          <w:color w:val="auto"/>
        </w:rPr>
        <w:t xml:space="preserve"> </w:t>
      </w:r>
      <w:r>
        <w:rPr>
          <w:rFonts w:ascii="Arial" w:cs="Arial" w:eastAsia="Arial" w:hAnsi="Arial"/>
          <w:sz w:val="17"/>
          <w:szCs w:val="17"/>
          <w:color w:val="auto"/>
        </w:rPr>
        <w:t>commercial, technical and administrative management of our fleet. We believe that the Manager is able to do so at rates competitive with those that would be available to us through independent vessel management companies. For example, pursuant to our management agreement with the Manager, management fees for vessel operating expenses of our vessels are fixed through August 2021. We believe this external management arrangement will enhance the scalability of our business by allowing us to grow our fleet without incurring significant additional overhead costs. We believe that we will be able to leverage the economies of scale of the Manager and manage operating, maintenance and corporate costs. At the same time, we believe the young age and high-quality of the vessels in our fleet, coupled with the Manager’s safety and environmental record, will position us favorably within the drybulk transportation sector with our customers and for future business opportunities.</w:t>
      </w:r>
    </w:p>
    <w:p>
      <w:pPr>
        <w:spacing w:after="0" w:line="86" w:lineRule="exact"/>
        <w:rPr>
          <w:rFonts w:ascii="Arial" w:cs="Arial" w:eastAsia="Arial" w:hAnsi="Arial"/>
          <w:sz w:val="17"/>
          <w:szCs w:val="17"/>
          <w:color w:val="auto"/>
        </w:rPr>
      </w:pPr>
    </w:p>
    <w:p>
      <w:pPr>
        <w:ind w:left="1080" w:right="780" w:hanging="424"/>
        <w:spacing w:after="0" w:line="277"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Enhance vessel utilization and profitability through a mix of spot charters, time charters, and COAs. </w:t>
      </w:r>
      <w:r>
        <w:rPr>
          <w:rFonts w:ascii="Arial" w:cs="Arial" w:eastAsia="Arial" w:hAnsi="Arial"/>
          <w:sz w:val="18"/>
          <w:szCs w:val="18"/>
          <w:color w:val="auto"/>
        </w:rPr>
        <w:t>Specifically, this strategy is</w:t>
      </w:r>
      <w:r>
        <w:rPr>
          <w:rFonts w:ascii="Arial" w:cs="Arial" w:eastAsia="Arial" w:hAnsi="Arial"/>
          <w:sz w:val="18"/>
          <w:szCs w:val="18"/>
          <w:i w:val="1"/>
          <w:iCs w:val="1"/>
          <w:color w:val="auto"/>
        </w:rPr>
        <w:t xml:space="preserve"> </w:t>
      </w:r>
      <w:r>
        <w:rPr>
          <w:rFonts w:ascii="Arial" w:cs="Arial" w:eastAsia="Arial" w:hAnsi="Arial"/>
          <w:sz w:val="18"/>
          <w:szCs w:val="18"/>
          <w:color w:val="auto"/>
        </w:rPr>
        <w:t>implemented as follows:</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operation of voyage charters or spot fixtures for the carriage of a single cargo from load port to discharge port;</w:t>
      </w:r>
    </w:p>
    <w:p>
      <w:pPr>
        <w:spacing w:after="0" w:line="130" w:lineRule="exact"/>
        <w:rPr>
          <w:rFonts w:ascii="Arial" w:cs="Arial" w:eastAsia="Arial" w:hAnsi="Arial"/>
          <w:sz w:val="18"/>
          <w:szCs w:val="18"/>
          <w:color w:val="auto"/>
        </w:rPr>
      </w:pPr>
    </w:p>
    <w:p>
      <w:pPr>
        <w:ind w:left="1540" w:right="80" w:hanging="331"/>
        <w:spacing w:after="0" w:line="263" w:lineRule="auto"/>
        <w:tabs>
          <w:tab w:leader="none" w:pos="15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operation of time charters (whether with a fixed rate or a floating rate based on a Baltic index or other commonly published index), whereby the vessel is hired out for a predetermined period but without any specification as to voyages to be performed, with the ship owner being responsible for operating costs and the charterer for voyage costs;</w:t>
      </w:r>
    </w:p>
    <w:p>
      <w:pPr>
        <w:spacing w:after="0" w:line="89" w:lineRule="exact"/>
        <w:rPr>
          <w:rFonts w:ascii="Arial" w:cs="Arial" w:eastAsia="Arial" w:hAnsi="Arial"/>
          <w:sz w:val="18"/>
          <w:szCs w:val="18"/>
          <w:color w:val="auto"/>
        </w:rPr>
      </w:pPr>
    </w:p>
    <w:p>
      <w:pPr>
        <w:ind w:left="1540" w:right="380" w:hanging="331"/>
        <w:spacing w:after="0" w:line="342" w:lineRule="auto"/>
        <w:tabs>
          <w:tab w:leader="none" w:pos="1540" w:val="left"/>
        </w:tabs>
        <w:numPr>
          <w:ilvl w:val="1"/>
          <w:numId w:val="47"/>
        </w:numPr>
        <w:rPr>
          <w:rFonts w:ascii="Arial" w:cs="Arial" w:eastAsia="Arial" w:hAnsi="Arial"/>
          <w:sz w:val="16"/>
          <w:szCs w:val="16"/>
          <w:color w:val="auto"/>
        </w:rPr>
      </w:pPr>
      <w:r>
        <w:rPr>
          <w:rFonts w:ascii="Arial" w:cs="Arial" w:eastAsia="Arial" w:hAnsi="Arial"/>
          <w:sz w:val="16"/>
          <w:szCs w:val="16"/>
          <w:color w:val="auto"/>
        </w:rPr>
        <w:t>The use of COAs, under which Navios Holdings contracts to carry a given quantity of cargo between certain load and discharge ports within a stipulated time frame, but does not specify in advance which vessels will be used to perform the voyages; and</w:t>
      </w:r>
    </w:p>
    <w:p>
      <w:pPr>
        <w:spacing w:after="0" w:line="29" w:lineRule="exact"/>
        <w:rPr>
          <w:rFonts w:ascii="Arial" w:cs="Arial" w:eastAsia="Arial" w:hAnsi="Arial"/>
          <w:sz w:val="16"/>
          <w:szCs w:val="16"/>
          <w:color w:val="auto"/>
        </w:rPr>
      </w:pPr>
    </w:p>
    <w:p>
      <w:pPr>
        <w:jc w:val="both"/>
        <w:ind w:left="1540" w:right="240" w:hanging="331"/>
        <w:spacing w:after="0" w:line="263" w:lineRule="auto"/>
        <w:tabs>
          <w:tab w:leader="none" w:pos="15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Ensuring a high fleet utilization: The shipping industry uses fleet utilization to measure a company’s efficiency in finding suitable employment for its vessels and minimizing the days its vessels are off-hire. At 98.9% as of December 31, 2020, Navios Holdings believes that it has one of the highest fleet utilization rates in the industry.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Competitive Advantages</w:t>
      </w:r>
    </w:p>
    <w:p>
      <w:pPr>
        <w:spacing w:after="0" w:line="121"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Navios Holdings controls approximately 5.0 million dwt (excluding Navios Logistics) in dry bulk tonnage. Management believes that Navios Holdings occupies a competitive position within the industry in that its reputation in the global dry bulk markets permits it to enter into at any time, and take on spot, medium or long-term freight commitments, depending on its view of future market trends. In addition, many of the long-term charter deals may be brought to the attention of Navios Holdings prior to even being quoted in the open market. Even in the open market, Navios Holdings’ solid reputation allows it to take in (or put out) large amounts of tonnage on a short, medium, or long-term basis on very short notice. This ability is possessed by relatively few ship owners and operators and is a direct consequence of Navios Holdings’ market reputation for reliability in the performance of its obligations in each of its roles as a ship owner, COA operator, and charterer. Navios Holdings, therefore, has much greater flexibility than a traditional ship owner or charterer to quickly go “long” or “short” relative to the dry bulk markets.</w:t>
      </w:r>
    </w:p>
    <w:p>
      <w:pPr>
        <w:spacing w:after="0" w:line="17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Navios Holdings’ long involvement and reputation for reliability in the Asian Pacific region have also allowed it to develop privileged relationships with many of the largest trading houses in Japan, such as Marubeni Corporation and Mitsui &amp; Co. Through these institutional relationships, Navios Holdings has obtained long-term charter-in deals, with options to extend time charters and options to purchase the majority of the vessels. Through its established reputation and relationships, Navios Holdings has access to opportunities not readily available to most other industry participants who lack Navios Holdings’ brand recognition, credibility, and track record.</w:t>
      </w:r>
    </w:p>
    <w:p>
      <w:pPr>
        <w:spacing w:after="0" w:line="188"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In addition to its long-standing reputation and flexible business model, management believes that Navios Holdings is well-positioned in the dry bulk market on the basis of the following factors:</w:t>
      </w:r>
    </w:p>
    <w:p>
      <w:pPr>
        <w:spacing w:after="0" w:line="76" w:lineRule="exact"/>
        <w:rPr>
          <w:sz w:val="20"/>
          <w:szCs w:val="20"/>
          <w:color w:val="auto"/>
        </w:rPr>
      </w:pPr>
    </w:p>
    <w:p>
      <w:pPr>
        <w:ind w:left="1080" w:right="80" w:hanging="424"/>
        <w:spacing w:after="0" w:line="263"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high-quality, modern fleet of vessels that provides a variety of operational advantages, such as higher levels of productivity, as well as a competitive advantage over owners of older fleets, especially in the time charter market, where age, fuel economy and quality of a vessel are of significant importance in competing for business;</w:t>
      </w:r>
    </w:p>
    <w:p>
      <w:pPr>
        <w:spacing w:after="0" w:line="89" w:lineRule="exact"/>
        <w:rPr>
          <w:rFonts w:ascii="Arial" w:cs="Arial" w:eastAsia="Arial" w:hAnsi="Arial"/>
          <w:sz w:val="18"/>
          <w:szCs w:val="18"/>
          <w:color w:val="auto"/>
        </w:rPr>
      </w:pPr>
    </w:p>
    <w:p>
      <w:pPr>
        <w:jc w:val="both"/>
        <w:ind w:left="1080" w:right="280" w:hanging="424"/>
        <w:spacing w:after="0" w:line="263"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core fleet which has been chartered-in (some through 2030, assuming minimum available charter extension periods are exercised) on terms generally that allow Navios Holdings to charter-out the vessels at an attractive spread during strong markets and to weather down cycles in the market while maintaining low costs;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320" w:hanging="424"/>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Strong commercial relationships with both freight customers and Japanese trading houses and ship owners, providing Navios Holdings with access to future attractive long-term time charters on newbuildings with valuable purchase options;</w:t>
      </w:r>
    </w:p>
    <w:p>
      <w:pPr>
        <w:spacing w:after="0" w:line="75" w:lineRule="exact"/>
        <w:rPr>
          <w:rFonts w:ascii="Arial" w:cs="Arial" w:eastAsia="Arial" w:hAnsi="Arial"/>
          <w:sz w:val="18"/>
          <w:szCs w:val="18"/>
          <w:color w:val="auto"/>
        </w:rPr>
      </w:pPr>
    </w:p>
    <w:p>
      <w:pPr>
        <w:ind w:left="1080" w:right="80" w:hanging="424"/>
        <w:spacing w:after="0" w:line="311" w:lineRule="auto"/>
        <w:tabs>
          <w:tab w:leader="none" w:pos="10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Strong commercial and technical management team provided by the Manager who oversee every step of the technical management, from the construction of the vessels to subsequent shipping operations throughout the life of a vessel, including the superintendence of maintenance, repairs and drydocking, providing cost visibility, economies of scale, efficiency in Navios Holdings’ owned fleet operations;</w:t>
      </w:r>
    </w:p>
    <w:p>
      <w:pPr>
        <w:spacing w:after="0" w:line="54" w:lineRule="exact"/>
        <w:rPr>
          <w:rFonts w:ascii="Arial" w:cs="Arial" w:eastAsia="Arial" w:hAnsi="Arial"/>
          <w:sz w:val="16"/>
          <w:szCs w:val="16"/>
          <w:color w:val="auto"/>
        </w:rPr>
      </w:pPr>
    </w:p>
    <w:p>
      <w:pPr>
        <w:ind w:left="1080" w:hanging="424"/>
        <w:spacing w:after="0"/>
        <w:tabs>
          <w:tab w:leader="none" w:pos="10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Visibility into worldwide commodity flows through its physical shipping operations and port terminal operations in South America; and</w:t>
      </w:r>
    </w:p>
    <w:p>
      <w:pPr>
        <w:spacing w:after="0" w:line="142" w:lineRule="exact"/>
        <w:rPr>
          <w:rFonts w:ascii="Arial" w:cs="Arial" w:eastAsia="Arial" w:hAnsi="Arial"/>
          <w:sz w:val="17"/>
          <w:szCs w:val="17"/>
          <w:color w:val="auto"/>
        </w:rPr>
      </w:pPr>
    </w:p>
    <w:p>
      <w:pPr>
        <w:ind w:left="1080" w:right="320" w:hanging="424"/>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 experienced management team with a strong track record and a strong brand having a well established reputation for reliability and performance.</w:t>
      </w:r>
    </w:p>
    <w:p>
      <w:pPr>
        <w:spacing w:after="0" w:line="170"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Management intends to maintain and build on these qualitative advantages, while at the same time continuing to benefit from Navios Holdings’ reputation and the Manager’s expertise.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Shipping Operations</w:t>
      </w:r>
    </w:p>
    <w:p>
      <w:pPr>
        <w:spacing w:after="0" w:line="117" w:lineRule="exact"/>
        <w:rPr>
          <w:sz w:val="20"/>
          <w:szCs w:val="20"/>
          <w:color w:val="auto"/>
        </w:rPr>
      </w:pPr>
    </w:p>
    <w:p>
      <w:pPr>
        <w:ind w:left="120" w:firstLine="440"/>
        <w:spacing w:after="0" w:line="282" w:lineRule="auto"/>
        <w:rPr>
          <w:sz w:val="20"/>
          <w:szCs w:val="20"/>
          <w:color w:val="auto"/>
        </w:rPr>
      </w:pPr>
      <w:r>
        <w:rPr>
          <w:rFonts w:ascii="Arial" w:cs="Arial" w:eastAsia="Arial" w:hAnsi="Arial"/>
          <w:sz w:val="18"/>
          <w:szCs w:val="18"/>
          <w:b w:val="1"/>
          <w:bCs w:val="1"/>
          <w:color w:val="auto"/>
        </w:rPr>
        <w:t xml:space="preserve">Navios Holdings’ Fleet. </w:t>
      </w:r>
      <w:r>
        <w:rPr>
          <w:rFonts w:ascii="Arial" w:cs="Arial" w:eastAsia="Arial" w:hAnsi="Arial"/>
          <w:sz w:val="18"/>
          <w:szCs w:val="18"/>
          <w:color w:val="auto"/>
        </w:rPr>
        <w:t>Navios Holdings currently controls a core fleet of 29 owned vessels (including five bareboat chartered-in vessels and one</w:t>
      </w:r>
      <w:r>
        <w:rPr>
          <w:rFonts w:ascii="Arial" w:cs="Arial" w:eastAsia="Arial" w:hAnsi="Arial"/>
          <w:sz w:val="18"/>
          <w:szCs w:val="18"/>
          <w:b w:val="1"/>
          <w:bCs w:val="1"/>
          <w:color w:val="auto"/>
        </w:rPr>
        <w:t xml:space="preserve"> </w:t>
      </w:r>
      <w:r>
        <w:rPr>
          <w:rFonts w:ascii="Arial" w:cs="Arial" w:eastAsia="Arial" w:hAnsi="Arial"/>
          <w:sz w:val="18"/>
          <w:szCs w:val="18"/>
          <w:color w:val="auto"/>
        </w:rPr>
        <w:t>vessel agreed to be sold) and 16 charter-in vessels. The average age of the fleet is 8.2 years.</w:t>
      </w:r>
    </w:p>
    <w:p>
      <w:pPr>
        <w:spacing w:after="0" w:line="166"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b w:val="1"/>
          <w:bCs w:val="1"/>
          <w:i w:val="1"/>
          <w:iCs w:val="1"/>
          <w:color w:val="auto"/>
        </w:rPr>
        <w:t xml:space="preserve">Owned Fleet. </w:t>
      </w:r>
      <w:r>
        <w:rPr>
          <w:rFonts w:ascii="Arial" w:cs="Arial" w:eastAsia="Arial" w:hAnsi="Arial"/>
          <w:sz w:val="18"/>
          <w:szCs w:val="18"/>
          <w:color w:val="auto"/>
        </w:rPr>
        <w:t>Navios Holdings currently owns and operates a fleet comprised of 13 Capesize vessels, 12 Panamax vessels (including five vessels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bareboat contracts), three Ultra Handymax vessels and one Handysize vessel (agreed to be sold).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Owned Vessels</w:t>
      </w:r>
    </w:p>
    <w:p>
      <w:pPr>
        <w:spacing w:after="0" w:line="235"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87"/>
              </w:rPr>
              <w:t>Vessel Name</w:t>
            </w:r>
          </w:p>
        </w:tc>
        <w:tc>
          <w:tcPr>
            <w:tcW w:w="2740" w:type="dxa"/>
            <w:vAlign w:val="bottom"/>
            <w:vMerge w:val="restart"/>
          </w:tcPr>
          <w:p>
            <w:pPr>
              <w:spacing w:after="0"/>
              <w:rPr>
                <w:sz w:val="14"/>
                <w:szCs w:val="14"/>
                <w:color w:val="auto"/>
              </w:rPr>
            </w:pPr>
          </w:p>
        </w:tc>
        <w:tc>
          <w:tcPr>
            <w:tcW w:w="2120" w:type="dxa"/>
            <w:vAlign w:val="bottom"/>
          </w:tcPr>
          <w:p>
            <w:pPr>
              <w:spacing w:after="0"/>
              <w:rPr>
                <w:sz w:val="14"/>
                <w:szCs w:val="14"/>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Vessel Type</w:t>
            </w: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Year Built</w:t>
            </w:r>
          </w:p>
        </w:tc>
        <w:tc>
          <w:tcPr>
            <w:tcW w:w="400" w:type="dxa"/>
            <w:vAlign w:val="bottom"/>
          </w:tcPr>
          <w:p>
            <w:pPr>
              <w:spacing w:after="0"/>
              <w:rPr>
                <w:sz w:val="14"/>
                <w:szCs w:val="14"/>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Deadweight</w:t>
            </w:r>
          </w:p>
        </w:tc>
        <w:tc>
          <w:tcPr>
            <w:tcW w:w="0" w:type="dxa"/>
            <w:vAlign w:val="bottom"/>
          </w:tcPr>
          <w:p>
            <w:pPr>
              <w:spacing w:after="0"/>
              <w:rPr>
                <w:sz w:val="1"/>
                <w:szCs w:val="1"/>
                <w:color w:val="auto"/>
              </w:rPr>
            </w:pPr>
          </w:p>
        </w:tc>
      </w:tr>
      <w:tr>
        <w:trPr>
          <w:trHeight w:val="178"/>
        </w:trPr>
        <w:tc>
          <w:tcPr>
            <w:tcW w:w="780" w:type="dxa"/>
            <w:vAlign w:val="bottom"/>
            <w:tcBorders>
              <w:bottom w:val="single" w:sz="8" w:color="auto"/>
            </w:tcBorders>
            <w:vMerge w:val="continue"/>
          </w:tcPr>
          <w:p>
            <w:pPr>
              <w:spacing w:after="0"/>
              <w:rPr>
                <w:sz w:val="15"/>
                <w:szCs w:val="15"/>
                <w:color w:val="auto"/>
              </w:rPr>
            </w:pPr>
          </w:p>
        </w:tc>
        <w:tc>
          <w:tcPr>
            <w:tcW w:w="2740" w:type="dxa"/>
            <w:vAlign w:val="bottom"/>
            <w:vMerge w:val="continue"/>
          </w:tcPr>
          <w:p>
            <w:pPr>
              <w:spacing w:after="0"/>
              <w:rPr>
                <w:sz w:val="15"/>
                <w:szCs w:val="15"/>
                <w:color w:val="auto"/>
              </w:rPr>
            </w:pPr>
          </w:p>
        </w:tc>
        <w:tc>
          <w:tcPr>
            <w:tcW w:w="212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400" w:type="dxa"/>
            <w:vAlign w:val="bottom"/>
            <w:gridSpan w:val="3"/>
          </w:tcPr>
          <w:p>
            <w:pPr>
              <w:jc w:val="center"/>
              <w:ind w:left="231"/>
              <w:spacing w:after="0" w:line="158" w:lineRule="exact"/>
              <w:rPr>
                <w:sz w:val="20"/>
                <w:szCs w:val="20"/>
                <w:color w:val="auto"/>
              </w:rPr>
            </w:pPr>
            <w:r>
              <w:rPr>
                <w:rFonts w:ascii="Arial" w:cs="Arial" w:eastAsia="Arial" w:hAnsi="Arial"/>
                <w:sz w:val="14"/>
                <w:szCs w:val="14"/>
                <w:b w:val="1"/>
                <w:bCs w:val="1"/>
                <w:color w:val="auto"/>
                <w:w w:val="94"/>
              </w:rPr>
              <w:t>(in metric tons)</w:t>
            </w:r>
          </w:p>
        </w:tc>
        <w:tc>
          <w:tcPr>
            <w:tcW w:w="0" w:type="dxa"/>
            <w:vAlign w:val="bottom"/>
          </w:tcPr>
          <w:p>
            <w:pPr>
              <w:spacing w:after="0"/>
              <w:rPr>
                <w:sz w:val="1"/>
                <w:szCs w:val="1"/>
                <w:color w:val="auto"/>
              </w:rPr>
            </w:pPr>
          </w:p>
        </w:tc>
      </w:tr>
      <w:tr>
        <w:trPr>
          <w:trHeight w:val="203"/>
        </w:trPr>
        <w:tc>
          <w:tcPr>
            <w:tcW w:w="35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 xml:space="preserve">Navios Serenity </w:t>
            </w:r>
            <w:r>
              <w:rPr>
                <w:rFonts w:ascii="Arial" w:cs="Arial" w:eastAsia="Arial" w:hAnsi="Arial"/>
                <w:sz w:val="15"/>
                <w:szCs w:val="15"/>
                <w:color w:val="auto"/>
              </w:rPr>
              <w:t>(1)</w:t>
            </w:r>
          </w:p>
        </w:tc>
        <w:tc>
          <w:tcPr>
            <w:tcW w:w="21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Handysize</w:t>
            </w:r>
          </w:p>
        </w:tc>
        <w:tc>
          <w:tcPr>
            <w:tcW w:w="3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2011</w:t>
            </w:r>
          </w:p>
        </w:tc>
        <w:tc>
          <w:tcPr>
            <w:tcW w:w="4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34,690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Navios Ulysses</w:t>
            </w:r>
          </w:p>
        </w:tc>
        <w:tc>
          <w:tcPr>
            <w:tcW w:w="3340" w:type="dxa"/>
            <w:vAlign w:val="bottom"/>
            <w:gridSpan w:val="2"/>
          </w:tcPr>
          <w:p>
            <w:pPr>
              <w:jc w:val="center"/>
              <w:ind w:left="2030"/>
              <w:spacing w:after="0"/>
              <w:rPr>
                <w:sz w:val="20"/>
                <w:szCs w:val="20"/>
                <w:color w:val="auto"/>
              </w:rPr>
            </w:pPr>
            <w:r>
              <w:rPr>
                <w:rFonts w:ascii="Arial" w:cs="Arial" w:eastAsia="Arial" w:hAnsi="Arial"/>
                <w:sz w:val="18"/>
                <w:szCs w:val="18"/>
                <w:color w:val="auto"/>
                <w:w w:val="94"/>
              </w:rPr>
              <w:t>Ultra Handymax</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2007</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55,728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Navios Celestial</w:t>
            </w:r>
          </w:p>
        </w:tc>
        <w:tc>
          <w:tcPr>
            <w:tcW w:w="3340" w:type="dxa"/>
            <w:vAlign w:val="bottom"/>
            <w:gridSpan w:val="2"/>
            <w:shd w:val="clear" w:color="auto" w:fill="CCEEFF"/>
          </w:tcPr>
          <w:p>
            <w:pPr>
              <w:jc w:val="center"/>
              <w:ind w:left="2030"/>
              <w:spacing w:after="0"/>
              <w:rPr>
                <w:sz w:val="20"/>
                <w:szCs w:val="20"/>
                <w:color w:val="auto"/>
              </w:rPr>
            </w:pPr>
            <w:r>
              <w:rPr>
                <w:rFonts w:ascii="Arial" w:cs="Arial" w:eastAsia="Arial" w:hAnsi="Arial"/>
                <w:sz w:val="18"/>
                <w:szCs w:val="18"/>
                <w:color w:val="auto"/>
                <w:w w:val="94"/>
              </w:rPr>
              <w:t>Ultra Handymax</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58,063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Navios Vega</w:t>
            </w:r>
          </w:p>
        </w:tc>
        <w:tc>
          <w:tcPr>
            <w:tcW w:w="3340" w:type="dxa"/>
            <w:vAlign w:val="bottom"/>
            <w:gridSpan w:val="2"/>
          </w:tcPr>
          <w:p>
            <w:pPr>
              <w:jc w:val="center"/>
              <w:ind w:left="2030"/>
              <w:spacing w:after="0"/>
              <w:rPr>
                <w:sz w:val="20"/>
                <w:szCs w:val="20"/>
                <w:color w:val="auto"/>
              </w:rPr>
            </w:pPr>
            <w:r>
              <w:rPr>
                <w:rFonts w:ascii="Arial" w:cs="Arial" w:eastAsia="Arial" w:hAnsi="Arial"/>
                <w:sz w:val="18"/>
                <w:szCs w:val="18"/>
                <w:color w:val="auto"/>
                <w:w w:val="94"/>
              </w:rPr>
              <w:t>Ultra Handymax</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2009</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58,792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Navios Taurus</w:t>
            </w:r>
          </w:p>
        </w:tc>
        <w:tc>
          <w:tcPr>
            <w:tcW w:w="21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Panamax</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2005</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76,596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Navios Asteriks</w:t>
            </w:r>
          </w:p>
        </w:tc>
        <w:tc>
          <w:tcPr>
            <w:tcW w:w="2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6"/>
              </w:rPr>
              <w:t>Panamax</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2005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76,801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 Amalthia</w:t>
            </w:r>
          </w:p>
        </w:tc>
        <w:tc>
          <w:tcPr>
            <w:tcW w:w="21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Panamax</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75,318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Navios Galileo</w:t>
            </w:r>
          </w:p>
        </w:tc>
        <w:tc>
          <w:tcPr>
            <w:tcW w:w="2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6"/>
              </w:rPr>
              <w:t>Panamax</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2006</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76,596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 Bonanza</w:t>
            </w:r>
          </w:p>
        </w:tc>
        <w:tc>
          <w:tcPr>
            <w:tcW w:w="21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Panamax</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76,596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Jupiter N</w:t>
            </w:r>
          </w:p>
        </w:tc>
        <w:tc>
          <w:tcPr>
            <w:tcW w:w="2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6"/>
              </w:rPr>
              <w:t>Panamax</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2011</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93,062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Rainbow N</w:t>
            </w:r>
          </w:p>
        </w:tc>
        <w:tc>
          <w:tcPr>
            <w:tcW w:w="21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Panamax</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79,642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Navios Stellar</w:t>
            </w:r>
          </w:p>
        </w:tc>
        <w:tc>
          <w:tcPr>
            <w:tcW w:w="2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7"/>
              </w:rPr>
              <w:t>Capesize</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2009</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169,001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Navios Bonavis</w:t>
            </w:r>
          </w:p>
        </w:tc>
        <w:tc>
          <w:tcPr>
            <w:tcW w:w="21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Capesize</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180,022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Navios Happiness</w:t>
            </w:r>
          </w:p>
        </w:tc>
        <w:tc>
          <w:tcPr>
            <w:tcW w:w="2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7"/>
              </w:rPr>
              <w:t>Capesize</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2009</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180,022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Navios Phoenix</w:t>
            </w:r>
          </w:p>
        </w:tc>
        <w:tc>
          <w:tcPr>
            <w:tcW w:w="21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Capesize</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180,242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Navios Lumen</w:t>
            </w:r>
          </w:p>
        </w:tc>
        <w:tc>
          <w:tcPr>
            <w:tcW w:w="2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7"/>
              </w:rPr>
              <w:t>Capesize</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2009</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180,661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Navios Antares</w:t>
            </w:r>
          </w:p>
        </w:tc>
        <w:tc>
          <w:tcPr>
            <w:tcW w:w="21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Capesize</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169,059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Navios Etoile</w:t>
            </w:r>
          </w:p>
        </w:tc>
        <w:tc>
          <w:tcPr>
            <w:tcW w:w="2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7"/>
              </w:rPr>
              <w:t>Capesize</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2010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179,234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Navios Bonheur</w:t>
            </w:r>
          </w:p>
        </w:tc>
        <w:tc>
          <w:tcPr>
            <w:tcW w:w="21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Capesize</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179,259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Navios Altamira</w:t>
            </w:r>
          </w:p>
        </w:tc>
        <w:tc>
          <w:tcPr>
            <w:tcW w:w="2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7"/>
              </w:rPr>
              <w:t>Capesize</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2011</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179,165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Navios Azimuth</w:t>
            </w:r>
          </w:p>
        </w:tc>
        <w:tc>
          <w:tcPr>
            <w:tcW w:w="21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Capesize</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179,169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Navios Ray</w:t>
            </w:r>
          </w:p>
        </w:tc>
        <w:tc>
          <w:tcPr>
            <w:tcW w:w="2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7"/>
              </w:rPr>
              <w:t>Capesize</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2012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179,515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Navios Canary</w:t>
            </w:r>
          </w:p>
        </w:tc>
        <w:tc>
          <w:tcPr>
            <w:tcW w:w="21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Capesize</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180,528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20" w:type="dxa"/>
            <w:vAlign w:val="bottom"/>
            <w:gridSpan w:val="2"/>
          </w:tcPr>
          <w:p>
            <w:pPr>
              <w:spacing w:after="0"/>
              <w:rPr>
                <w:sz w:val="20"/>
                <w:szCs w:val="20"/>
                <w:color w:val="auto"/>
              </w:rPr>
            </w:pPr>
            <w:r>
              <w:rPr>
                <w:rFonts w:ascii="Arial" w:cs="Arial" w:eastAsia="Arial" w:hAnsi="Arial"/>
                <w:sz w:val="18"/>
                <w:szCs w:val="18"/>
                <w:color w:val="auto"/>
              </w:rPr>
              <w:t>Navios Corali</w:t>
            </w:r>
          </w:p>
        </w:tc>
        <w:tc>
          <w:tcPr>
            <w:tcW w:w="21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7"/>
              </w:rPr>
              <w:t>Capesize</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2015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181,249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color w:val="auto"/>
        </w:rPr>
        <w:t>(1)</w:t>
        <w:tab/>
        <w:t>Vessel agreed to be sold.</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Long-term Bareboat chartered-in Fleet in Operation</w:t>
      </w:r>
    </w:p>
    <w:p>
      <w:pPr>
        <w:spacing w:after="0" w:line="23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87"/>
              </w:rPr>
              <w:t>Vessel Name</w:t>
            </w:r>
          </w:p>
        </w:tc>
        <w:tc>
          <w:tcPr>
            <w:tcW w:w="2400" w:type="dxa"/>
            <w:vAlign w:val="bottom"/>
            <w:vMerge w:val="restart"/>
          </w:tcPr>
          <w:p>
            <w:pPr>
              <w:spacing w:after="0"/>
              <w:rPr>
                <w:sz w:val="14"/>
                <w:szCs w:val="14"/>
                <w:color w:val="auto"/>
              </w:rPr>
            </w:pPr>
          </w:p>
        </w:tc>
        <w:tc>
          <w:tcPr>
            <w:tcW w:w="2740" w:type="dxa"/>
            <w:vAlign w:val="bottom"/>
          </w:tcPr>
          <w:p>
            <w:pPr>
              <w:spacing w:after="0"/>
              <w:rPr>
                <w:sz w:val="14"/>
                <w:szCs w:val="14"/>
                <w:color w:val="auto"/>
              </w:rPr>
            </w:pPr>
          </w:p>
        </w:tc>
        <w:tc>
          <w:tcPr>
            <w:tcW w:w="1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Vessel Type</w:t>
            </w: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Delivery</w:t>
            </w:r>
          </w:p>
        </w:tc>
        <w:tc>
          <w:tcPr>
            <w:tcW w:w="13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Deadweight</w:t>
            </w: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w w:val="98"/>
              </w:rPr>
              <w:t>Purchase</w:t>
            </w:r>
          </w:p>
        </w:tc>
        <w:tc>
          <w:tcPr>
            <w:tcW w:w="0" w:type="dxa"/>
            <w:vAlign w:val="bottom"/>
          </w:tcPr>
          <w:p>
            <w:pPr>
              <w:spacing w:after="0"/>
              <w:rPr>
                <w:sz w:val="1"/>
                <w:szCs w:val="1"/>
                <w:color w:val="auto"/>
              </w:rPr>
            </w:pPr>
          </w:p>
        </w:tc>
      </w:tr>
      <w:tr>
        <w:trPr>
          <w:trHeight w:val="178"/>
        </w:trPr>
        <w:tc>
          <w:tcPr>
            <w:tcW w:w="780" w:type="dxa"/>
            <w:vAlign w:val="bottom"/>
            <w:tcBorders>
              <w:bottom w:val="single" w:sz="8" w:color="auto"/>
            </w:tcBorders>
            <w:vMerge w:val="continue"/>
          </w:tcPr>
          <w:p>
            <w:pPr>
              <w:spacing w:after="0"/>
              <w:rPr>
                <w:sz w:val="15"/>
                <w:szCs w:val="15"/>
                <w:color w:val="auto"/>
              </w:rPr>
            </w:pPr>
          </w:p>
        </w:tc>
        <w:tc>
          <w:tcPr>
            <w:tcW w:w="2400" w:type="dxa"/>
            <w:vAlign w:val="bottom"/>
            <w:vMerge w:val="continue"/>
          </w:tcPr>
          <w:p>
            <w:pPr>
              <w:spacing w:after="0"/>
              <w:rPr>
                <w:sz w:val="15"/>
                <w:szCs w:val="15"/>
                <w:color w:val="auto"/>
              </w:rPr>
            </w:pPr>
          </w:p>
        </w:tc>
        <w:tc>
          <w:tcPr>
            <w:tcW w:w="27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100" w:type="dxa"/>
            <w:vAlign w:val="bottom"/>
            <w:gridSpan w:val="2"/>
          </w:tcPr>
          <w:p>
            <w:pPr>
              <w:ind w:left="200"/>
              <w:spacing w:after="0" w:line="158" w:lineRule="exact"/>
              <w:rPr>
                <w:sz w:val="20"/>
                <w:szCs w:val="20"/>
                <w:color w:val="auto"/>
              </w:rPr>
            </w:pPr>
            <w:r>
              <w:rPr>
                <w:rFonts w:ascii="Arial" w:cs="Arial" w:eastAsia="Arial" w:hAnsi="Arial"/>
                <w:sz w:val="14"/>
                <w:szCs w:val="14"/>
                <w:b w:val="1"/>
                <w:bCs w:val="1"/>
                <w:color w:val="auto"/>
              </w:rPr>
              <w:t>Date</w:t>
            </w:r>
          </w:p>
        </w:tc>
        <w:tc>
          <w:tcPr>
            <w:tcW w:w="1360" w:type="dxa"/>
            <w:vAlign w:val="bottom"/>
            <w:gridSpan w:val="2"/>
          </w:tcPr>
          <w:p>
            <w:pPr>
              <w:jc w:val="right"/>
              <w:ind w:right="420"/>
              <w:spacing w:after="0" w:line="158" w:lineRule="exact"/>
              <w:rPr>
                <w:sz w:val="20"/>
                <w:szCs w:val="20"/>
                <w:color w:val="auto"/>
              </w:rPr>
            </w:pPr>
            <w:r>
              <w:rPr>
                <w:rFonts w:ascii="Arial" w:cs="Arial" w:eastAsia="Arial" w:hAnsi="Arial"/>
                <w:sz w:val="14"/>
                <w:szCs w:val="14"/>
                <w:b w:val="1"/>
                <w:bCs w:val="1"/>
                <w:color w:val="auto"/>
                <w:w w:val="90"/>
              </w:rPr>
              <w:t>(in metric tons)</w:t>
            </w:r>
          </w:p>
        </w:tc>
        <w:tc>
          <w:tcPr>
            <w:tcW w:w="660" w:type="dxa"/>
            <w:vAlign w:val="bottom"/>
            <w:gridSpan w:val="2"/>
          </w:tcPr>
          <w:p>
            <w:pPr>
              <w:jc w:val="right"/>
              <w:ind w:right="40"/>
              <w:spacing w:after="0" w:line="158" w:lineRule="exact"/>
              <w:rPr>
                <w:sz w:val="20"/>
                <w:szCs w:val="20"/>
                <w:color w:val="auto"/>
              </w:rPr>
            </w:pPr>
            <w:r>
              <w:rPr>
                <w:rFonts w:ascii="Arial" w:cs="Arial" w:eastAsia="Arial" w:hAnsi="Arial"/>
                <w:sz w:val="14"/>
                <w:szCs w:val="14"/>
                <w:b w:val="1"/>
                <w:bCs w:val="1"/>
                <w:color w:val="auto"/>
                <w:w w:val="94"/>
              </w:rPr>
              <w:t xml:space="preserve">Option </w:t>
            </w:r>
            <w:r>
              <w:rPr>
                <w:rFonts w:ascii="Arial" w:cs="Arial" w:eastAsia="Arial" w:hAnsi="Arial"/>
                <w:sz w:val="12"/>
                <w:szCs w:val="12"/>
                <w:b w:val="1"/>
                <w:bCs w:val="1"/>
                <w:color w:val="auto"/>
                <w:w w:val="94"/>
              </w:rPr>
              <w:t>(1)</w:t>
            </w:r>
          </w:p>
        </w:tc>
        <w:tc>
          <w:tcPr>
            <w:tcW w:w="0" w:type="dxa"/>
            <w:vAlign w:val="bottom"/>
          </w:tcPr>
          <w:p>
            <w:pPr>
              <w:spacing w:after="0"/>
              <w:rPr>
                <w:sz w:val="1"/>
                <w:szCs w:val="1"/>
                <w:color w:val="auto"/>
              </w:rPr>
            </w:pPr>
          </w:p>
        </w:tc>
      </w:tr>
      <w:tr>
        <w:trPr>
          <w:trHeight w:val="203"/>
        </w:trPr>
        <w:tc>
          <w:tcPr>
            <w:tcW w:w="31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Navios Herakles I</w:t>
            </w:r>
          </w:p>
        </w:tc>
        <w:tc>
          <w:tcPr>
            <w:tcW w:w="27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ind w:left="20"/>
              <w:spacing w:after="0" w:line="203" w:lineRule="exact"/>
              <w:rPr>
                <w:sz w:val="20"/>
                <w:szCs w:val="20"/>
                <w:color w:val="auto"/>
              </w:rPr>
            </w:pPr>
            <w:r>
              <w:rPr>
                <w:rFonts w:ascii="Arial" w:cs="Arial" w:eastAsia="Arial" w:hAnsi="Arial"/>
                <w:sz w:val="18"/>
                <w:szCs w:val="18"/>
                <w:color w:val="auto"/>
                <w:w w:val="86"/>
              </w:rPr>
              <w:t>Panamax</w:t>
            </w:r>
          </w:p>
        </w:tc>
        <w:tc>
          <w:tcPr>
            <w:tcW w:w="3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6"/>
              </w:rPr>
              <w:t>Q3 2019</w:t>
            </w:r>
          </w:p>
        </w:tc>
        <w:tc>
          <w:tcPr>
            <w:tcW w:w="4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82,036</w:t>
            </w:r>
          </w:p>
        </w:tc>
        <w:tc>
          <w:tcPr>
            <w:tcW w:w="4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Yes</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Navios Uranus</w:t>
            </w:r>
          </w:p>
        </w:tc>
        <w:tc>
          <w:tcPr>
            <w:tcW w:w="2740" w:type="dxa"/>
            <w:vAlign w:val="bottom"/>
          </w:tcPr>
          <w:p>
            <w:pPr>
              <w:spacing w:after="0"/>
              <w:rPr>
                <w:sz w:val="18"/>
                <w:szCs w:val="18"/>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Panamax</w:t>
            </w:r>
          </w:p>
        </w:tc>
        <w:tc>
          <w:tcPr>
            <w:tcW w:w="1100" w:type="dxa"/>
            <w:vAlign w:val="bottom"/>
            <w:gridSpan w:val="2"/>
          </w:tcPr>
          <w:p>
            <w:pPr>
              <w:ind w:left="60"/>
              <w:spacing w:after="0"/>
              <w:rPr>
                <w:sz w:val="20"/>
                <w:szCs w:val="20"/>
                <w:color w:val="auto"/>
              </w:rPr>
            </w:pPr>
            <w:r>
              <w:rPr>
                <w:rFonts w:ascii="Arial" w:cs="Arial" w:eastAsia="Arial" w:hAnsi="Arial"/>
                <w:sz w:val="18"/>
                <w:szCs w:val="18"/>
                <w:color w:val="auto"/>
              </w:rPr>
              <w:t>Q4 2019</w:t>
            </w: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81,516</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Yes</w:t>
            </w: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Navios Galaxy II</w:t>
            </w:r>
          </w:p>
        </w:tc>
        <w:tc>
          <w:tcPr>
            <w:tcW w:w="27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Panamax</w:t>
            </w:r>
          </w:p>
        </w:tc>
        <w:tc>
          <w:tcPr>
            <w:tcW w:w="11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Q1 2020</w:t>
            </w: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81,789</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Yes</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Navios Felicity I</w:t>
            </w:r>
          </w:p>
        </w:tc>
        <w:tc>
          <w:tcPr>
            <w:tcW w:w="2740" w:type="dxa"/>
            <w:vAlign w:val="bottom"/>
          </w:tcPr>
          <w:p>
            <w:pPr>
              <w:spacing w:after="0"/>
              <w:rPr>
                <w:sz w:val="18"/>
                <w:szCs w:val="18"/>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Panamax</w:t>
            </w:r>
          </w:p>
        </w:tc>
        <w:tc>
          <w:tcPr>
            <w:tcW w:w="1100" w:type="dxa"/>
            <w:vAlign w:val="bottom"/>
            <w:gridSpan w:val="2"/>
          </w:tcPr>
          <w:p>
            <w:pPr>
              <w:ind w:left="60"/>
              <w:spacing w:after="0"/>
              <w:rPr>
                <w:sz w:val="20"/>
                <w:szCs w:val="20"/>
                <w:color w:val="auto"/>
              </w:rPr>
            </w:pPr>
            <w:r>
              <w:rPr>
                <w:rFonts w:ascii="Arial" w:cs="Arial" w:eastAsia="Arial" w:hAnsi="Arial"/>
                <w:sz w:val="18"/>
                <w:szCs w:val="18"/>
                <w:color w:val="auto"/>
              </w:rPr>
              <w:t>Q1 2020</w:t>
            </w: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81,946</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Yes</w:t>
            </w: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Navios Magellan II</w:t>
            </w:r>
          </w:p>
        </w:tc>
        <w:tc>
          <w:tcPr>
            <w:tcW w:w="27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Panamax</w:t>
            </w:r>
          </w:p>
        </w:tc>
        <w:tc>
          <w:tcPr>
            <w:tcW w:w="11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Q2 2020</w:t>
            </w: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82,037</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Yes</w:t>
            </w:r>
          </w:p>
        </w:tc>
        <w:tc>
          <w:tcPr>
            <w:tcW w:w="0" w:type="dxa"/>
            <w:vAlign w:val="bottom"/>
          </w:tcPr>
          <w:p>
            <w:pPr>
              <w:spacing w:after="0"/>
              <w:rPr>
                <w:sz w:val="1"/>
                <w:szCs w:val="1"/>
                <w:color w:val="auto"/>
              </w:rPr>
            </w:pPr>
          </w:p>
        </w:tc>
      </w:tr>
      <w:tr>
        <w:trPr>
          <w:trHeight w:val="364"/>
        </w:trPr>
        <w:tc>
          <w:tcPr>
            <w:tcW w:w="7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740" w:type="dxa"/>
            <w:vAlign w:val="bottom"/>
          </w:tcPr>
          <w:p>
            <w:pPr>
              <w:jc w:val="right"/>
              <w:ind w:right="670"/>
              <w:spacing w:after="0"/>
              <w:rPr>
                <w:sz w:val="20"/>
                <w:szCs w:val="20"/>
                <w:color w:val="auto"/>
              </w:rPr>
            </w:pPr>
            <w:r>
              <w:rPr>
                <w:rFonts w:ascii="Arial" w:cs="Arial" w:eastAsia="Arial" w:hAnsi="Arial"/>
                <w:sz w:val="18"/>
                <w:szCs w:val="18"/>
                <w:color w:val="auto"/>
              </w:rPr>
              <w:t>63</w:t>
            </w: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80"/>
          </w:cols>
          <w:pgMar w:left="320" w:top="459" w:right="89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00" w:firstLine="440"/>
        <w:spacing w:after="0" w:line="308" w:lineRule="auto"/>
        <w:rPr>
          <w:sz w:val="20"/>
          <w:szCs w:val="20"/>
          <w:color w:val="auto"/>
        </w:rPr>
      </w:pPr>
      <w:r>
        <w:rPr>
          <w:rFonts w:ascii="Arial" w:cs="Arial" w:eastAsia="Arial" w:hAnsi="Arial"/>
          <w:sz w:val="17"/>
          <w:szCs w:val="17"/>
          <w:b w:val="1"/>
          <w:bCs w:val="1"/>
          <w:i w:val="1"/>
          <w:iCs w:val="1"/>
          <w:color w:val="auto"/>
        </w:rPr>
        <w:t xml:space="preserve">Long-Term Fleet. </w:t>
      </w:r>
      <w:r>
        <w:rPr>
          <w:rFonts w:ascii="Arial" w:cs="Arial" w:eastAsia="Arial" w:hAnsi="Arial"/>
          <w:sz w:val="17"/>
          <w:szCs w:val="17"/>
          <w:color w:val="auto"/>
        </w:rPr>
        <w:t>In addition to the 29 owned vessels, Navios Holdings currently controls a fleet of three Capesize, 11 Panamax, one Ultra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Handymax, and one Handysize vessels under long-term time charters, having an average age of approximately 5.6 years.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Long-term Charter-in Fleet in Operation</w:t>
      </w:r>
    </w:p>
    <w:p>
      <w:pPr>
        <w:spacing w:after="0" w:line="23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87"/>
              </w:rPr>
              <w:t>Vessel Name</w:t>
            </w:r>
          </w:p>
        </w:tc>
        <w:tc>
          <w:tcPr>
            <w:tcW w:w="4720" w:type="dxa"/>
            <w:vAlign w:val="bottom"/>
            <w:vMerge w:val="restart"/>
          </w:tcPr>
          <w:p>
            <w:pPr>
              <w:spacing w:after="0"/>
              <w:rPr>
                <w:sz w:val="14"/>
                <w:szCs w:val="14"/>
                <w:color w:val="auto"/>
              </w:rPr>
            </w:pPr>
          </w:p>
        </w:tc>
        <w:tc>
          <w:tcPr>
            <w:tcW w:w="15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6"/>
              </w:rPr>
              <w:t>Vessel Type</w:t>
            </w: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w:t>
            </w:r>
          </w:p>
        </w:tc>
        <w:tc>
          <w:tcPr>
            <w:tcW w:w="13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Deadweight</w:t>
            </w:r>
          </w:p>
        </w:tc>
        <w:tc>
          <w:tcPr>
            <w:tcW w:w="840" w:type="dxa"/>
            <w:vAlign w:val="bottom"/>
            <w:gridSpan w:val="2"/>
          </w:tcPr>
          <w:p>
            <w:pPr>
              <w:jc w:val="right"/>
              <w:ind w:right="184"/>
              <w:spacing w:after="0"/>
              <w:rPr>
                <w:sz w:val="20"/>
                <w:szCs w:val="20"/>
                <w:color w:val="auto"/>
              </w:rPr>
            </w:pPr>
            <w:r>
              <w:rPr>
                <w:rFonts w:ascii="Arial" w:cs="Arial" w:eastAsia="Arial" w:hAnsi="Arial"/>
                <w:sz w:val="14"/>
                <w:szCs w:val="14"/>
                <w:b w:val="1"/>
                <w:bCs w:val="1"/>
                <w:color w:val="auto"/>
                <w:w w:val="88"/>
              </w:rPr>
              <w:t>Purchase</w:t>
            </w:r>
          </w:p>
        </w:tc>
        <w:tc>
          <w:tcPr>
            <w:tcW w:w="0" w:type="dxa"/>
            <w:vAlign w:val="bottom"/>
          </w:tcPr>
          <w:p>
            <w:pPr>
              <w:spacing w:after="0"/>
              <w:rPr>
                <w:sz w:val="1"/>
                <w:szCs w:val="1"/>
                <w:color w:val="auto"/>
              </w:rPr>
            </w:pPr>
          </w:p>
        </w:tc>
      </w:tr>
      <w:tr>
        <w:trPr>
          <w:trHeight w:val="178"/>
        </w:trPr>
        <w:tc>
          <w:tcPr>
            <w:tcW w:w="780" w:type="dxa"/>
            <w:vAlign w:val="bottom"/>
            <w:tcBorders>
              <w:bottom w:val="single" w:sz="8" w:color="auto"/>
            </w:tcBorders>
            <w:vMerge w:val="continue"/>
          </w:tcPr>
          <w:p>
            <w:pPr>
              <w:spacing w:after="0"/>
              <w:rPr>
                <w:sz w:val="15"/>
                <w:szCs w:val="15"/>
                <w:color w:val="auto"/>
              </w:rPr>
            </w:pPr>
          </w:p>
        </w:tc>
        <w:tc>
          <w:tcPr>
            <w:tcW w:w="4720" w:type="dxa"/>
            <w:vAlign w:val="bottom"/>
            <w:vMerge w:val="continue"/>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84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Built</w:t>
            </w:r>
          </w:p>
        </w:tc>
        <w:tc>
          <w:tcPr>
            <w:tcW w:w="136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92"/>
              </w:rPr>
              <w:t>(in metric tons)</w:t>
            </w:r>
          </w:p>
        </w:tc>
        <w:tc>
          <w:tcPr>
            <w:tcW w:w="840" w:type="dxa"/>
            <w:vAlign w:val="bottom"/>
            <w:gridSpan w:val="2"/>
          </w:tcPr>
          <w:p>
            <w:pPr>
              <w:jc w:val="right"/>
              <w:ind w:right="144"/>
              <w:spacing w:after="0" w:line="158" w:lineRule="exact"/>
              <w:rPr>
                <w:sz w:val="20"/>
                <w:szCs w:val="20"/>
                <w:color w:val="auto"/>
              </w:rPr>
            </w:pPr>
            <w:r>
              <w:rPr>
                <w:rFonts w:ascii="Arial" w:cs="Arial" w:eastAsia="Arial" w:hAnsi="Arial"/>
                <w:sz w:val="14"/>
                <w:szCs w:val="14"/>
                <w:b w:val="1"/>
                <w:bCs w:val="1"/>
                <w:color w:val="auto"/>
                <w:w w:val="94"/>
              </w:rPr>
              <w:t xml:space="preserve">Option </w:t>
            </w:r>
            <w:r>
              <w:rPr>
                <w:rFonts w:ascii="Arial" w:cs="Arial" w:eastAsia="Arial" w:hAnsi="Arial"/>
                <w:sz w:val="12"/>
                <w:szCs w:val="12"/>
                <w:color w:val="auto"/>
                <w:w w:val="94"/>
              </w:rPr>
              <w:t>(1)</w:t>
            </w:r>
          </w:p>
        </w:tc>
        <w:tc>
          <w:tcPr>
            <w:tcW w:w="0" w:type="dxa"/>
            <w:vAlign w:val="bottom"/>
          </w:tcPr>
          <w:p>
            <w:pPr>
              <w:spacing w:after="0"/>
              <w:rPr>
                <w:sz w:val="1"/>
                <w:szCs w:val="1"/>
                <w:color w:val="auto"/>
              </w:rPr>
            </w:pPr>
          </w:p>
        </w:tc>
      </w:tr>
      <w:tr>
        <w:trPr>
          <w:trHeight w:val="203"/>
        </w:trPr>
        <w:tc>
          <w:tcPr>
            <w:tcW w:w="55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Navios Lyra</w:t>
            </w:r>
          </w:p>
        </w:tc>
        <w:tc>
          <w:tcPr>
            <w:tcW w:w="12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Handysize</w:t>
            </w:r>
          </w:p>
        </w:tc>
        <w:tc>
          <w:tcPr>
            <w:tcW w:w="3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2012</w:t>
            </w:r>
          </w:p>
        </w:tc>
        <w:tc>
          <w:tcPr>
            <w:tcW w:w="4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34,718</w:t>
            </w:r>
          </w:p>
        </w:tc>
        <w:tc>
          <w:tcPr>
            <w:tcW w:w="4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Yes</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7"/>
              </w:rPr>
              <w:t>(2)</w:t>
            </w: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Navios Venus</w:t>
            </w:r>
          </w:p>
        </w:tc>
        <w:tc>
          <w:tcPr>
            <w:tcW w:w="158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Ultra Handymax</w:t>
            </w:r>
          </w:p>
        </w:tc>
        <w:tc>
          <w:tcPr>
            <w:tcW w:w="840" w:type="dxa"/>
            <w:vAlign w:val="bottom"/>
            <w:gridSpan w:val="2"/>
          </w:tcPr>
          <w:p>
            <w:pPr>
              <w:ind w:left="60"/>
              <w:spacing w:after="0"/>
              <w:rPr>
                <w:sz w:val="20"/>
                <w:szCs w:val="20"/>
                <w:color w:val="auto"/>
              </w:rPr>
            </w:pPr>
            <w:r>
              <w:rPr>
                <w:rFonts w:ascii="Arial" w:cs="Arial" w:eastAsia="Arial" w:hAnsi="Arial"/>
                <w:sz w:val="18"/>
                <w:szCs w:val="18"/>
                <w:color w:val="auto"/>
              </w:rPr>
              <w:t>2015</w:t>
            </w: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61,339</w:t>
            </w:r>
          </w:p>
        </w:tc>
        <w:tc>
          <w:tcPr>
            <w:tcW w:w="840" w:type="dxa"/>
            <w:vAlign w:val="bottom"/>
            <w:gridSpan w:val="2"/>
          </w:tcPr>
          <w:p>
            <w:pPr>
              <w:jc w:val="right"/>
              <w:ind w:right="144"/>
              <w:spacing w:after="0"/>
              <w:rPr>
                <w:sz w:val="20"/>
                <w:szCs w:val="20"/>
                <w:color w:val="auto"/>
              </w:rPr>
            </w:pPr>
            <w:r>
              <w:rPr>
                <w:rFonts w:ascii="Arial" w:cs="Arial" w:eastAsia="Arial" w:hAnsi="Arial"/>
                <w:sz w:val="18"/>
                <w:szCs w:val="18"/>
                <w:color w:val="auto"/>
              </w:rPr>
              <w:t>Yes</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Navios Marco Polo</w:t>
            </w:r>
          </w:p>
        </w:tc>
        <w:tc>
          <w:tcPr>
            <w:tcW w:w="158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86"/>
              </w:rPr>
              <w:t>Panamax</w:t>
            </w:r>
          </w:p>
        </w:tc>
        <w:tc>
          <w:tcPr>
            <w:tcW w:w="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2011</w:t>
            </w: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80,647</w:t>
            </w:r>
          </w:p>
        </w:tc>
        <w:tc>
          <w:tcPr>
            <w:tcW w:w="840" w:type="dxa"/>
            <w:vAlign w:val="bottom"/>
            <w:gridSpan w:val="2"/>
            <w:shd w:val="clear" w:color="auto" w:fill="CCEEFF"/>
          </w:tcPr>
          <w:p>
            <w:pPr>
              <w:jc w:val="right"/>
              <w:ind w:right="144"/>
              <w:spacing w:after="0"/>
              <w:rPr>
                <w:sz w:val="20"/>
                <w:szCs w:val="20"/>
                <w:color w:val="auto"/>
              </w:rPr>
            </w:pPr>
            <w:r>
              <w:rPr>
                <w:rFonts w:ascii="Arial" w:cs="Arial" w:eastAsia="Arial" w:hAnsi="Arial"/>
                <w:sz w:val="18"/>
                <w:szCs w:val="18"/>
                <w:color w:val="auto"/>
              </w:rPr>
              <w:t>Yes</w:t>
            </w: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Elsa S</w:t>
            </w: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Panamax</w:t>
            </w:r>
          </w:p>
        </w:tc>
        <w:tc>
          <w:tcPr>
            <w:tcW w:w="840" w:type="dxa"/>
            <w:vAlign w:val="bottom"/>
            <w:gridSpan w:val="2"/>
          </w:tcPr>
          <w:p>
            <w:pPr>
              <w:ind w:left="60"/>
              <w:spacing w:after="0"/>
              <w:rPr>
                <w:sz w:val="20"/>
                <w:szCs w:val="20"/>
                <w:color w:val="auto"/>
              </w:rPr>
            </w:pPr>
            <w:r>
              <w:rPr>
                <w:rFonts w:ascii="Arial" w:cs="Arial" w:eastAsia="Arial" w:hAnsi="Arial"/>
                <w:sz w:val="18"/>
                <w:szCs w:val="18"/>
                <w:color w:val="auto"/>
              </w:rPr>
              <w:t>2015</w:t>
            </w: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80,954</w:t>
            </w:r>
          </w:p>
        </w:tc>
        <w:tc>
          <w:tcPr>
            <w:tcW w:w="840" w:type="dxa"/>
            <w:vAlign w:val="bottom"/>
            <w:gridSpan w:val="2"/>
          </w:tcPr>
          <w:p>
            <w:pPr>
              <w:jc w:val="right"/>
              <w:ind w:right="144"/>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Navios Amber</w:t>
            </w:r>
          </w:p>
        </w:tc>
        <w:tc>
          <w:tcPr>
            <w:tcW w:w="158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86"/>
              </w:rPr>
              <w:t>Panamax</w:t>
            </w:r>
          </w:p>
        </w:tc>
        <w:tc>
          <w:tcPr>
            <w:tcW w:w="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2015</w:t>
            </w: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80,994</w:t>
            </w:r>
          </w:p>
        </w:tc>
        <w:tc>
          <w:tcPr>
            <w:tcW w:w="840" w:type="dxa"/>
            <w:vAlign w:val="bottom"/>
            <w:gridSpan w:val="2"/>
            <w:shd w:val="clear" w:color="auto" w:fill="CCEEFF"/>
          </w:tcPr>
          <w:p>
            <w:pPr>
              <w:jc w:val="right"/>
              <w:ind w:right="144"/>
              <w:spacing w:after="0"/>
              <w:rPr>
                <w:sz w:val="20"/>
                <w:szCs w:val="20"/>
                <w:color w:val="auto"/>
              </w:rPr>
            </w:pPr>
            <w:r>
              <w:rPr>
                <w:rFonts w:ascii="Arial" w:cs="Arial" w:eastAsia="Arial" w:hAnsi="Arial"/>
                <w:sz w:val="18"/>
                <w:szCs w:val="18"/>
                <w:color w:val="auto"/>
              </w:rPr>
              <w:t>Yes</w:t>
            </w: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Navios Sky</w:t>
            </w: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Panamax</w:t>
            </w:r>
          </w:p>
        </w:tc>
        <w:tc>
          <w:tcPr>
            <w:tcW w:w="840" w:type="dxa"/>
            <w:vAlign w:val="bottom"/>
            <w:gridSpan w:val="2"/>
          </w:tcPr>
          <w:p>
            <w:pPr>
              <w:ind w:left="60"/>
              <w:spacing w:after="0"/>
              <w:rPr>
                <w:sz w:val="20"/>
                <w:szCs w:val="20"/>
                <w:color w:val="auto"/>
              </w:rPr>
            </w:pPr>
            <w:r>
              <w:rPr>
                <w:rFonts w:ascii="Arial" w:cs="Arial" w:eastAsia="Arial" w:hAnsi="Arial"/>
                <w:sz w:val="18"/>
                <w:szCs w:val="18"/>
                <w:color w:val="auto"/>
              </w:rPr>
              <w:t>2015</w:t>
            </w: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82,056</w:t>
            </w:r>
          </w:p>
        </w:tc>
        <w:tc>
          <w:tcPr>
            <w:tcW w:w="840" w:type="dxa"/>
            <w:vAlign w:val="bottom"/>
            <w:gridSpan w:val="2"/>
          </w:tcPr>
          <w:p>
            <w:pPr>
              <w:jc w:val="right"/>
              <w:ind w:right="144"/>
              <w:spacing w:after="0"/>
              <w:rPr>
                <w:sz w:val="20"/>
                <w:szCs w:val="20"/>
                <w:color w:val="auto"/>
              </w:rPr>
            </w:pPr>
            <w:r>
              <w:rPr>
                <w:rFonts w:ascii="Arial" w:cs="Arial" w:eastAsia="Arial" w:hAnsi="Arial"/>
                <w:sz w:val="18"/>
                <w:szCs w:val="18"/>
                <w:color w:val="auto"/>
              </w:rPr>
              <w:t>Yes</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Navios Coral</w:t>
            </w:r>
          </w:p>
        </w:tc>
        <w:tc>
          <w:tcPr>
            <w:tcW w:w="158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86"/>
              </w:rPr>
              <w:t>Panamax</w:t>
            </w:r>
          </w:p>
        </w:tc>
        <w:tc>
          <w:tcPr>
            <w:tcW w:w="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2016</w:t>
            </w: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84,904</w:t>
            </w:r>
          </w:p>
        </w:tc>
        <w:tc>
          <w:tcPr>
            <w:tcW w:w="840" w:type="dxa"/>
            <w:vAlign w:val="bottom"/>
            <w:gridSpan w:val="2"/>
            <w:shd w:val="clear" w:color="auto" w:fill="CCEEFF"/>
          </w:tcPr>
          <w:p>
            <w:pPr>
              <w:jc w:val="right"/>
              <w:ind w:right="144"/>
              <w:spacing w:after="0"/>
              <w:rPr>
                <w:sz w:val="20"/>
                <w:szCs w:val="20"/>
                <w:color w:val="auto"/>
              </w:rPr>
            </w:pPr>
            <w:r>
              <w:rPr>
                <w:rFonts w:ascii="Arial" w:cs="Arial" w:eastAsia="Arial" w:hAnsi="Arial"/>
                <w:sz w:val="18"/>
                <w:szCs w:val="18"/>
                <w:color w:val="auto"/>
              </w:rPr>
              <w:t>Yes</w:t>
            </w: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Navios Citrine</w:t>
            </w: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Panamax</w:t>
            </w:r>
          </w:p>
        </w:tc>
        <w:tc>
          <w:tcPr>
            <w:tcW w:w="840" w:type="dxa"/>
            <w:vAlign w:val="bottom"/>
            <w:gridSpan w:val="2"/>
          </w:tcPr>
          <w:p>
            <w:pPr>
              <w:ind w:left="60"/>
              <w:spacing w:after="0"/>
              <w:rPr>
                <w:sz w:val="20"/>
                <w:szCs w:val="20"/>
                <w:color w:val="auto"/>
              </w:rPr>
            </w:pPr>
            <w:r>
              <w:rPr>
                <w:rFonts w:ascii="Arial" w:cs="Arial" w:eastAsia="Arial" w:hAnsi="Arial"/>
                <w:sz w:val="18"/>
                <w:szCs w:val="18"/>
                <w:color w:val="auto"/>
              </w:rPr>
              <w:t>2017</w:t>
            </w: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81,626</w:t>
            </w:r>
          </w:p>
        </w:tc>
        <w:tc>
          <w:tcPr>
            <w:tcW w:w="840" w:type="dxa"/>
            <w:vAlign w:val="bottom"/>
            <w:gridSpan w:val="2"/>
          </w:tcPr>
          <w:p>
            <w:pPr>
              <w:jc w:val="right"/>
              <w:ind w:right="144"/>
              <w:spacing w:after="0"/>
              <w:rPr>
                <w:sz w:val="20"/>
                <w:szCs w:val="20"/>
                <w:color w:val="auto"/>
              </w:rPr>
            </w:pPr>
            <w:r>
              <w:rPr>
                <w:rFonts w:ascii="Arial" w:cs="Arial" w:eastAsia="Arial" w:hAnsi="Arial"/>
                <w:sz w:val="18"/>
                <w:szCs w:val="18"/>
                <w:color w:val="auto"/>
              </w:rPr>
              <w:t>Yes</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Navios Dolphin</w:t>
            </w:r>
          </w:p>
        </w:tc>
        <w:tc>
          <w:tcPr>
            <w:tcW w:w="158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86"/>
              </w:rPr>
              <w:t>Panamax</w:t>
            </w:r>
          </w:p>
        </w:tc>
        <w:tc>
          <w:tcPr>
            <w:tcW w:w="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2017</w:t>
            </w: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81,630</w:t>
            </w:r>
          </w:p>
        </w:tc>
        <w:tc>
          <w:tcPr>
            <w:tcW w:w="840" w:type="dxa"/>
            <w:vAlign w:val="bottom"/>
            <w:gridSpan w:val="2"/>
            <w:shd w:val="clear" w:color="auto" w:fill="CCEEFF"/>
          </w:tcPr>
          <w:p>
            <w:pPr>
              <w:jc w:val="right"/>
              <w:ind w:right="144"/>
              <w:spacing w:after="0"/>
              <w:rPr>
                <w:sz w:val="20"/>
                <w:szCs w:val="20"/>
                <w:color w:val="auto"/>
              </w:rPr>
            </w:pPr>
            <w:r>
              <w:rPr>
                <w:rFonts w:ascii="Arial" w:cs="Arial" w:eastAsia="Arial" w:hAnsi="Arial"/>
                <w:sz w:val="18"/>
                <w:szCs w:val="18"/>
                <w:color w:val="auto"/>
              </w:rPr>
              <w:t>Yes</w:t>
            </w: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Mont Blanc Hawk</w:t>
            </w: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Panamax</w:t>
            </w:r>
          </w:p>
        </w:tc>
        <w:tc>
          <w:tcPr>
            <w:tcW w:w="840" w:type="dxa"/>
            <w:vAlign w:val="bottom"/>
            <w:gridSpan w:val="2"/>
          </w:tcPr>
          <w:p>
            <w:pPr>
              <w:ind w:left="60"/>
              <w:spacing w:after="0"/>
              <w:rPr>
                <w:sz w:val="20"/>
                <w:szCs w:val="20"/>
                <w:color w:val="auto"/>
              </w:rPr>
            </w:pPr>
            <w:r>
              <w:rPr>
                <w:rFonts w:ascii="Arial" w:cs="Arial" w:eastAsia="Arial" w:hAnsi="Arial"/>
                <w:sz w:val="18"/>
                <w:szCs w:val="18"/>
                <w:color w:val="auto"/>
              </w:rPr>
              <w:t>2017</w:t>
            </w: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81,638</w:t>
            </w:r>
          </w:p>
        </w:tc>
        <w:tc>
          <w:tcPr>
            <w:tcW w:w="840" w:type="dxa"/>
            <w:vAlign w:val="bottom"/>
            <w:gridSpan w:val="2"/>
          </w:tcPr>
          <w:p>
            <w:pPr>
              <w:jc w:val="right"/>
              <w:ind w:right="144"/>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Cassiopeia Ocean</w:t>
            </w:r>
          </w:p>
        </w:tc>
        <w:tc>
          <w:tcPr>
            <w:tcW w:w="158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86"/>
              </w:rPr>
              <w:t>Panamax</w:t>
            </w:r>
          </w:p>
        </w:tc>
        <w:tc>
          <w:tcPr>
            <w:tcW w:w="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2018</w:t>
            </w: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82,069</w:t>
            </w:r>
          </w:p>
        </w:tc>
        <w:tc>
          <w:tcPr>
            <w:tcW w:w="840" w:type="dxa"/>
            <w:vAlign w:val="bottom"/>
            <w:gridSpan w:val="2"/>
            <w:shd w:val="clear" w:color="auto" w:fill="CCEEFF"/>
          </w:tcPr>
          <w:p>
            <w:pPr>
              <w:jc w:val="right"/>
              <w:ind w:right="144"/>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Navios Gemini</w:t>
            </w: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Panamax</w:t>
            </w:r>
          </w:p>
        </w:tc>
        <w:tc>
          <w:tcPr>
            <w:tcW w:w="840" w:type="dxa"/>
            <w:vAlign w:val="bottom"/>
            <w:gridSpan w:val="2"/>
          </w:tcPr>
          <w:p>
            <w:pPr>
              <w:ind w:left="60"/>
              <w:spacing w:after="0"/>
              <w:rPr>
                <w:sz w:val="20"/>
                <w:szCs w:val="20"/>
                <w:color w:val="auto"/>
              </w:rPr>
            </w:pPr>
            <w:r>
              <w:rPr>
                <w:rFonts w:ascii="Arial" w:cs="Arial" w:eastAsia="Arial" w:hAnsi="Arial"/>
                <w:sz w:val="18"/>
                <w:szCs w:val="18"/>
                <w:color w:val="auto"/>
              </w:rPr>
              <w:t>2018</w:t>
            </w: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81,704</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No</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Navios Horizon I</w:t>
            </w:r>
          </w:p>
        </w:tc>
        <w:tc>
          <w:tcPr>
            <w:tcW w:w="158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86"/>
              </w:rPr>
              <w:t>Panamax</w:t>
            </w:r>
          </w:p>
        </w:tc>
        <w:tc>
          <w:tcPr>
            <w:tcW w:w="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2019</w:t>
            </w: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81,692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No</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Navios Koyo</w:t>
            </w:r>
          </w:p>
        </w:tc>
        <w:tc>
          <w:tcPr>
            <w:tcW w:w="1580" w:type="dxa"/>
            <w:vAlign w:val="bottom"/>
            <w:gridSpan w:val="2"/>
          </w:tcPr>
          <w:p>
            <w:pPr>
              <w:jc w:val="center"/>
              <w:ind w:right="380"/>
              <w:spacing w:after="0"/>
              <w:rPr>
                <w:sz w:val="20"/>
                <w:szCs w:val="20"/>
                <w:color w:val="auto"/>
              </w:rPr>
            </w:pPr>
            <w:r>
              <w:rPr>
                <w:rFonts w:ascii="Arial" w:cs="Arial" w:eastAsia="Arial" w:hAnsi="Arial"/>
                <w:sz w:val="18"/>
                <w:szCs w:val="18"/>
                <w:color w:val="auto"/>
                <w:w w:val="85"/>
              </w:rPr>
              <w:t>Capesize</w:t>
            </w:r>
          </w:p>
        </w:tc>
        <w:tc>
          <w:tcPr>
            <w:tcW w:w="840" w:type="dxa"/>
            <w:vAlign w:val="bottom"/>
            <w:gridSpan w:val="2"/>
          </w:tcPr>
          <w:p>
            <w:pPr>
              <w:ind w:left="60"/>
              <w:spacing w:after="0"/>
              <w:rPr>
                <w:sz w:val="20"/>
                <w:szCs w:val="20"/>
                <w:color w:val="auto"/>
              </w:rPr>
            </w:pPr>
            <w:r>
              <w:rPr>
                <w:rFonts w:ascii="Arial" w:cs="Arial" w:eastAsia="Arial" w:hAnsi="Arial"/>
                <w:sz w:val="18"/>
                <w:szCs w:val="18"/>
                <w:color w:val="auto"/>
              </w:rPr>
              <w:t>2011</w:t>
            </w: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181,415</w:t>
            </w:r>
          </w:p>
        </w:tc>
        <w:tc>
          <w:tcPr>
            <w:tcW w:w="840" w:type="dxa"/>
            <w:vAlign w:val="bottom"/>
            <w:gridSpan w:val="2"/>
          </w:tcPr>
          <w:p>
            <w:pPr>
              <w:jc w:val="right"/>
              <w:ind w:right="144"/>
              <w:spacing w:after="0"/>
              <w:rPr>
                <w:sz w:val="20"/>
                <w:szCs w:val="20"/>
                <w:color w:val="auto"/>
              </w:rPr>
            </w:pPr>
            <w:r>
              <w:rPr>
                <w:rFonts w:ascii="Arial" w:cs="Arial" w:eastAsia="Arial" w:hAnsi="Arial"/>
                <w:sz w:val="18"/>
                <w:szCs w:val="18"/>
                <w:color w:val="auto"/>
              </w:rPr>
              <w:t>Yes</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Navios Felix</w:t>
            </w:r>
          </w:p>
        </w:tc>
        <w:tc>
          <w:tcPr>
            <w:tcW w:w="158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85"/>
              </w:rPr>
              <w:t>Capesize</w:t>
            </w:r>
          </w:p>
        </w:tc>
        <w:tc>
          <w:tcPr>
            <w:tcW w:w="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2016</w:t>
            </w: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181,221</w:t>
            </w:r>
          </w:p>
        </w:tc>
        <w:tc>
          <w:tcPr>
            <w:tcW w:w="840" w:type="dxa"/>
            <w:vAlign w:val="bottom"/>
            <w:gridSpan w:val="2"/>
            <w:shd w:val="clear" w:color="auto" w:fill="CCEEFF"/>
          </w:tcPr>
          <w:p>
            <w:pPr>
              <w:jc w:val="right"/>
              <w:ind w:right="144"/>
              <w:spacing w:after="0"/>
              <w:rPr>
                <w:sz w:val="20"/>
                <w:szCs w:val="20"/>
                <w:color w:val="auto"/>
              </w:rPr>
            </w:pPr>
            <w:r>
              <w:rPr>
                <w:rFonts w:ascii="Arial" w:cs="Arial" w:eastAsia="Arial" w:hAnsi="Arial"/>
                <w:sz w:val="18"/>
                <w:szCs w:val="18"/>
                <w:color w:val="auto"/>
              </w:rPr>
              <w:t>Yes</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Kleimar Controlled Fleet</w:t>
      </w:r>
    </w:p>
    <w:p>
      <w:pPr>
        <w:spacing w:after="0" w:line="23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87"/>
              </w:rPr>
              <w:t>Vessel Name</w:t>
            </w:r>
          </w:p>
        </w:tc>
        <w:tc>
          <w:tcPr>
            <w:tcW w:w="5360" w:type="dxa"/>
            <w:vAlign w:val="bottom"/>
            <w:vMerge w:val="restart"/>
          </w:tcPr>
          <w:p>
            <w:pPr>
              <w:spacing w:after="0"/>
              <w:rPr>
                <w:sz w:val="13"/>
                <w:szCs w:val="13"/>
                <w:color w:val="auto"/>
              </w:rPr>
            </w:pPr>
          </w:p>
        </w:tc>
        <w:tc>
          <w:tcPr>
            <w:tcW w:w="10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6"/>
              </w:rPr>
              <w:t>Vessel Type</w:t>
            </w: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w:t>
            </w: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Deadweight</w:t>
            </w: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w w:val="98"/>
              </w:rPr>
              <w:t>Purchase</w:t>
            </w:r>
          </w:p>
        </w:tc>
        <w:tc>
          <w:tcPr>
            <w:tcW w:w="0" w:type="dxa"/>
            <w:vAlign w:val="bottom"/>
          </w:tcPr>
          <w:p>
            <w:pPr>
              <w:spacing w:after="0"/>
              <w:rPr>
                <w:sz w:val="1"/>
                <w:szCs w:val="1"/>
                <w:color w:val="auto"/>
              </w:rPr>
            </w:pPr>
          </w:p>
        </w:tc>
      </w:tr>
      <w:tr>
        <w:trPr>
          <w:trHeight w:val="178"/>
        </w:trPr>
        <w:tc>
          <w:tcPr>
            <w:tcW w:w="780" w:type="dxa"/>
            <w:vAlign w:val="bottom"/>
            <w:tcBorders>
              <w:bottom w:val="single" w:sz="8" w:color="auto"/>
            </w:tcBorders>
            <w:vMerge w:val="continue"/>
          </w:tcPr>
          <w:p>
            <w:pPr>
              <w:spacing w:after="0"/>
              <w:rPr>
                <w:sz w:val="15"/>
                <w:szCs w:val="15"/>
                <w:color w:val="auto"/>
              </w:rPr>
            </w:pPr>
          </w:p>
        </w:tc>
        <w:tc>
          <w:tcPr>
            <w:tcW w:w="5360" w:type="dxa"/>
            <w:vAlign w:val="bottom"/>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86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Built</w:t>
            </w:r>
          </w:p>
        </w:tc>
        <w:tc>
          <w:tcPr>
            <w:tcW w:w="1380" w:type="dxa"/>
            <w:vAlign w:val="bottom"/>
            <w:gridSpan w:val="2"/>
          </w:tcPr>
          <w:p>
            <w:pPr>
              <w:jc w:val="right"/>
              <w:ind w:right="440"/>
              <w:spacing w:after="0" w:line="158" w:lineRule="exact"/>
              <w:rPr>
                <w:sz w:val="20"/>
                <w:szCs w:val="20"/>
                <w:color w:val="auto"/>
              </w:rPr>
            </w:pPr>
            <w:r>
              <w:rPr>
                <w:rFonts w:ascii="Arial" w:cs="Arial" w:eastAsia="Arial" w:hAnsi="Arial"/>
                <w:sz w:val="14"/>
                <w:szCs w:val="14"/>
                <w:b w:val="1"/>
                <w:bCs w:val="1"/>
                <w:color w:val="auto"/>
                <w:w w:val="90"/>
              </w:rPr>
              <w:t>(in metric tons)</w:t>
            </w:r>
          </w:p>
        </w:tc>
        <w:tc>
          <w:tcPr>
            <w:tcW w:w="660" w:type="dxa"/>
            <w:vAlign w:val="bottom"/>
            <w:gridSpan w:val="2"/>
          </w:tcPr>
          <w:p>
            <w:pPr>
              <w:jc w:val="right"/>
              <w:ind w:right="60"/>
              <w:spacing w:after="0" w:line="158" w:lineRule="exact"/>
              <w:rPr>
                <w:sz w:val="20"/>
                <w:szCs w:val="20"/>
                <w:color w:val="auto"/>
              </w:rPr>
            </w:pPr>
            <w:r>
              <w:rPr>
                <w:rFonts w:ascii="Arial" w:cs="Arial" w:eastAsia="Arial" w:hAnsi="Arial"/>
                <w:sz w:val="14"/>
                <w:szCs w:val="14"/>
                <w:b w:val="1"/>
                <w:bCs w:val="1"/>
                <w:color w:val="auto"/>
                <w:w w:val="91"/>
              </w:rPr>
              <w:t xml:space="preserve">Option </w:t>
            </w:r>
            <w:r>
              <w:rPr>
                <w:rFonts w:ascii="Arial" w:cs="Arial" w:eastAsia="Arial" w:hAnsi="Arial"/>
                <w:sz w:val="12"/>
                <w:szCs w:val="12"/>
                <w:color w:val="auto"/>
                <w:w w:val="91"/>
              </w:rPr>
              <w:t>(1)</w:t>
            </w:r>
          </w:p>
        </w:tc>
        <w:tc>
          <w:tcPr>
            <w:tcW w:w="0" w:type="dxa"/>
            <w:vAlign w:val="bottom"/>
          </w:tcPr>
          <w:p>
            <w:pPr>
              <w:spacing w:after="0"/>
              <w:rPr>
                <w:sz w:val="1"/>
                <w:szCs w:val="1"/>
                <w:color w:val="auto"/>
              </w:rPr>
            </w:pPr>
          </w:p>
        </w:tc>
      </w:tr>
      <w:tr>
        <w:trPr>
          <w:trHeight w:val="203"/>
        </w:trPr>
        <w:tc>
          <w:tcPr>
            <w:tcW w:w="61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Navios Obeliks</w:t>
            </w:r>
          </w:p>
        </w:tc>
        <w:tc>
          <w:tcPr>
            <w:tcW w:w="7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Capesize</w:t>
            </w:r>
          </w:p>
        </w:tc>
        <w:tc>
          <w:tcPr>
            <w:tcW w:w="3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2012</w:t>
            </w:r>
          </w:p>
        </w:tc>
        <w:tc>
          <w:tcPr>
            <w:tcW w:w="44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181,415</w:t>
            </w:r>
          </w:p>
        </w:tc>
        <w:tc>
          <w:tcPr>
            <w:tcW w:w="4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Yes</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Generally, Navios Holdings may exercise its purchase option after three to five years of service.</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Navios Holdings holds the initial 50% purchase option on the vessel.</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Navios Holdings has the right of first refusal and profit share on sale of vessel.</w:t>
      </w:r>
    </w:p>
    <w:p>
      <w:pPr>
        <w:spacing w:after="0" w:line="211"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Many of Navios Holdings’ current long-term charter-in vessels are chartered from ship owners with whom Navios Holdings has long-standing relationships. Navios Holdings pays these ship owners daily rates of hire for such vessels, and then charters out these vessels to other parties, who pay Navios Holdings a daily rate of hire. Navios Holdings also enters into COAs pursuant to which Navios Holdings has agreed to carry cargoes, typically for industrial customers, who export or import dry bulk cargoes. Further, Navios Holdings enters into spot market voyage contracts, where Navios Holdings is paid a rate per ton to carry a specified cargo from point A to point B.</w:t>
      </w:r>
    </w:p>
    <w:p>
      <w:pPr>
        <w:spacing w:after="0" w:line="176"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b w:val="1"/>
          <w:bCs w:val="1"/>
          <w:i w:val="1"/>
          <w:iCs w:val="1"/>
          <w:color w:val="auto"/>
        </w:rPr>
        <w:t xml:space="preserve">Short-Term Fleet: </w:t>
      </w:r>
      <w:r>
        <w:rPr>
          <w:rFonts w:ascii="Arial" w:cs="Arial" w:eastAsia="Arial" w:hAnsi="Arial"/>
          <w:sz w:val="16"/>
          <w:szCs w:val="16"/>
          <w:color w:val="auto"/>
        </w:rPr>
        <w:t>Navios Holdings’ “short-term fleet” is comprised of Capesize, Panamax and Ultra Handymax vessels charter-in for duration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less than 12 months. The number of short-term vessels varies from time to time. These vessels are not included in the “core fleet” of the Company.</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Exercise of Vessel Purchase Options</w:t>
      </w:r>
    </w:p>
    <w:p>
      <w:pPr>
        <w:spacing w:after="0" w:line="121"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Navios Holdings has executed purchase options for seven Ultra Handymax, seven Panamax and three Capesize vessels, which were delivered on various dates from November 30, 2005 until February 2020. Navios Holdings currently has options to acquire 10 charter-in vessels currently in operation and five bareboat chartered-in vessels.</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80"/>
          </w:cols>
          <w:pgMar w:left="320" w:top="459" w:right="49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Navios Logistics Fleet Summary (owned)</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is the current core fleet of Navios Logistics as presented in Navios Logistics’ 20-F filed with SEC.</w:t>
      </w:r>
    </w:p>
    <w:p>
      <w:pPr>
        <w:spacing w:after="0" w:line="24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1900" w:type="dxa"/>
            <w:vAlign w:val="bottom"/>
            <w:gridSpan w:val="3"/>
          </w:tcPr>
          <w:p>
            <w:pPr>
              <w:spacing w:after="0"/>
              <w:rPr>
                <w:sz w:val="20"/>
                <w:szCs w:val="20"/>
                <w:color w:val="auto"/>
              </w:rPr>
            </w:pPr>
            <w:r>
              <w:rPr>
                <w:rFonts w:ascii="Arial" w:cs="Arial" w:eastAsia="Arial" w:hAnsi="Arial"/>
                <w:sz w:val="14"/>
                <w:szCs w:val="14"/>
                <w:b w:val="1"/>
                <w:bCs w:val="1"/>
                <w:color w:val="auto"/>
                <w:w w:val="94"/>
              </w:rPr>
              <w:t>Pushboats/ Barges/ Inland Oil</w:t>
            </w:r>
          </w:p>
        </w:tc>
        <w:tc>
          <w:tcPr>
            <w:tcW w:w="34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Number of</w:t>
            </w:r>
          </w:p>
        </w:tc>
        <w:tc>
          <w:tcPr>
            <w:tcW w:w="320" w:type="dxa"/>
            <w:vAlign w:val="bottom"/>
          </w:tcPr>
          <w:p>
            <w:pPr>
              <w:spacing w:after="0"/>
              <w:rPr>
                <w:sz w:val="14"/>
                <w:szCs w:val="14"/>
                <w:color w:val="auto"/>
              </w:rPr>
            </w:pPr>
          </w:p>
        </w:tc>
        <w:tc>
          <w:tcPr>
            <w:tcW w:w="1120" w:type="dxa"/>
            <w:vAlign w:val="bottom"/>
            <w:gridSpan w:val="4"/>
            <w:vMerge w:val="restart"/>
          </w:tcPr>
          <w:p>
            <w:pPr>
              <w:jc w:val="right"/>
              <w:ind w:right="140"/>
              <w:spacing w:after="0"/>
              <w:rPr>
                <w:sz w:val="20"/>
                <w:szCs w:val="20"/>
                <w:color w:val="auto"/>
              </w:rPr>
            </w:pPr>
            <w:r>
              <w:rPr>
                <w:rFonts w:ascii="Arial" w:cs="Arial" w:eastAsia="Arial" w:hAnsi="Arial"/>
                <w:sz w:val="14"/>
                <w:szCs w:val="14"/>
                <w:b w:val="1"/>
                <w:bCs w:val="1"/>
                <w:color w:val="auto"/>
              </w:rPr>
              <w:t>Capacity/BHP</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0" w:type="dxa"/>
            <w:vAlign w:val="bottom"/>
            <w:vMerge w:val="restart"/>
          </w:tcPr>
          <w:p>
            <w:pPr>
              <w:ind w:left="7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2"/>
        </w:trPr>
        <w:tc>
          <w:tcPr>
            <w:tcW w:w="1900" w:type="dxa"/>
            <w:vAlign w:val="bottom"/>
            <w:gridSpan w:val="3"/>
          </w:tcPr>
          <w:p>
            <w:pPr>
              <w:spacing w:after="0"/>
              <w:rPr>
                <w:sz w:val="20"/>
                <w:szCs w:val="20"/>
                <w:color w:val="auto"/>
              </w:rPr>
            </w:pPr>
            <w:r>
              <w:rPr>
                <w:rFonts w:ascii="Arial" w:cs="Arial" w:eastAsia="Arial" w:hAnsi="Arial"/>
                <w:sz w:val="14"/>
                <w:szCs w:val="14"/>
                <w:b w:val="1"/>
                <w:bCs w:val="1"/>
                <w:color w:val="auto"/>
              </w:rPr>
              <w:t>Tankers Fleet</w:t>
            </w:r>
          </w:p>
        </w:tc>
        <w:tc>
          <w:tcPr>
            <w:tcW w:w="272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9"/>
              </w:rPr>
              <w:t>Vessels</w:t>
            </w:r>
          </w:p>
        </w:tc>
        <w:tc>
          <w:tcPr>
            <w:tcW w:w="320" w:type="dxa"/>
            <w:vAlign w:val="bottom"/>
          </w:tcPr>
          <w:p>
            <w:pPr>
              <w:spacing w:after="0"/>
              <w:rPr>
                <w:sz w:val="15"/>
                <w:szCs w:val="15"/>
                <w:color w:val="auto"/>
              </w:rPr>
            </w:pPr>
          </w:p>
        </w:tc>
        <w:tc>
          <w:tcPr>
            <w:tcW w:w="1120" w:type="dxa"/>
            <w:vAlign w:val="bottom"/>
            <w:gridSpan w:val="4"/>
            <w:vMerge w:val="continue"/>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80" w:type="dxa"/>
            <w:vAlign w:val="bottom"/>
            <w:tcBorders>
              <w:top w:val="single" w:sz="8" w:color="auto"/>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Pushboat Fleet</w:t>
            </w:r>
          </w:p>
        </w:tc>
        <w:tc>
          <w:tcPr>
            <w:tcW w:w="27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30</w:t>
            </w:r>
          </w:p>
        </w:tc>
        <w:tc>
          <w:tcPr>
            <w:tcW w:w="3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rPr>
              <w:t>107,920 BHP</w:t>
            </w: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220" w:type="dxa"/>
            <w:vAlign w:val="bottom"/>
            <w:tcBorders>
              <w:top w:val="single" w:sz="8" w:color="auto"/>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w w:val="89"/>
              </w:rPr>
              <w:t>Various Sizes and Horsepower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80" w:type="dxa"/>
            <w:vAlign w:val="bottom"/>
            <w:gridSpan w:val="2"/>
          </w:tcPr>
          <w:p>
            <w:pPr>
              <w:spacing w:after="0"/>
              <w:rPr>
                <w:sz w:val="20"/>
                <w:szCs w:val="20"/>
                <w:color w:val="auto"/>
              </w:rPr>
            </w:pPr>
            <w:r>
              <w:rPr>
                <w:rFonts w:ascii="Arial" w:cs="Arial" w:eastAsia="Arial" w:hAnsi="Arial"/>
                <w:sz w:val="18"/>
                <w:szCs w:val="18"/>
                <w:color w:val="auto"/>
              </w:rPr>
              <w:t>Dry Barges</w:t>
            </w:r>
          </w:p>
        </w:tc>
        <w:tc>
          <w:tcPr>
            <w:tcW w:w="3400" w:type="dxa"/>
            <w:vAlign w:val="bottom"/>
            <w:gridSpan w:val="3"/>
          </w:tcPr>
          <w:p>
            <w:pPr>
              <w:jc w:val="right"/>
              <w:spacing w:after="0"/>
              <w:rPr>
                <w:sz w:val="20"/>
                <w:szCs w:val="20"/>
                <w:color w:val="auto"/>
              </w:rPr>
            </w:pPr>
            <w:r>
              <w:rPr>
                <w:rFonts w:ascii="Arial" w:cs="Arial" w:eastAsia="Arial" w:hAnsi="Arial"/>
                <w:sz w:val="18"/>
                <w:szCs w:val="18"/>
                <w:color w:val="auto"/>
              </w:rPr>
              <w:t>268</w:t>
            </w:r>
          </w:p>
        </w:tc>
        <w:tc>
          <w:tcPr>
            <w:tcW w:w="320" w:type="dxa"/>
            <w:vAlign w:val="bottom"/>
          </w:tcPr>
          <w:p>
            <w:pPr>
              <w:spacing w:after="0"/>
              <w:rPr>
                <w:sz w:val="18"/>
                <w:szCs w:val="18"/>
                <w:color w:val="auto"/>
              </w:rPr>
            </w:pPr>
          </w:p>
        </w:tc>
        <w:tc>
          <w:tcPr>
            <w:tcW w:w="1120" w:type="dxa"/>
            <w:vAlign w:val="bottom"/>
            <w:gridSpan w:val="4"/>
          </w:tcPr>
          <w:p>
            <w:pPr>
              <w:jc w:val="right"/>
              <w:ind w:right="20"/>
              <w:spacing w:after="0"/>
              <w:rPr>
                <w:sz w:val="20"/>
                <w:szCs w:val="20"/>
                <w:color w:val="auto"/>
              </w:rPr>
            </w:pPr>
            <w:r>
              <w:rPr>
                <w:rFonts w:ascii="Arial" w:cs="Arial" w:eastAsia="Arial" w:hAnsi="Arial"/>
                <w:sz w:val="18"/>
                <w:szCs w:val="18"/>
                <w:color w:val="auto"/>
                <w:w w:val="97"/>
              </w:rPr>
              <w:t>474,050 DWT</w:t>
            </w:r>
          </w:p>
        </w:tc>
        <w:tc>
          <w:tcPr>
            <w:tcW w:w="2520" w:type="dxa"/>
            <w:vAlign w:val="bottom"/>
            <w:gridSpan w:val="3"/>
          </w:tcPr>
          <w:p>
            <w:pPr>
              <w:ind w:left="300"/>
              <w:spacing w:after="0"/>
              <w:rPr>
                <w:sz w:val="20"/>
                <w:szCs w:val="20"/>
                <w:color w:val="auto"/>
              </w:rPr>
            </w:pPr>
            <w:r>
              <w:rPr>
                <w:rFonts w:ascii="Arial" w:cs="Arial" w:eastAsia="Arial" w:hAnsi="Arial"/>
                <w:sz w:val="18"/>
                <w:szCs w:val="18"/>
                <w:color w:val="auto"/>
              </w:rPr>
              <w:t>Dry Cargo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Tank Barges</w:t>
            </w:r>
          </w:p>
        </w:tc>
        <w:tc>
          <w:tcPr>
            <w:tcW w:w="3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3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178,948 m3</w:t>
            </w:r>
          </w:p>
        </w:tc>
        <w:tc>
          <w:tcPr>
            <w:tcW w:w="25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Liquid Cargo</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80" w:type="dxa"/>
            <w:vAlign w:val="bottom"/>
            <w:gridSpan w:val="2"/>
          </w:tcPr>
          <w:p>
            <w:pPr>
              <w:spacing w:after="0"/>
              <w:rPr>
                <w:sz w:val="20"/>
                <w:szCs w:val="20"/>
                <w:color w:val="auto"/>
              </w:rPr>
            </w:pPr>
            <w:r>
              <w:rPr>
                <w:rFonts w:ascii="Arial" w:cs="Arial" w:eastAsia="Arial" w:hAnsi="Arial"/>
                <w:sz w:val="18"/>
                <w:szCs w:val="18"/>
                <w:color w:val="auto"/>
              </w:rPr>
              <w:t>LPG Barges</w:t>
            </w:r>
          </w:p>
        </w:tc>
        <w:tc>
          <w:tcPr>
            <w:tcW w:w="2720" w:type="dxa"/>
            <w:vAlign w:val="bottom"/>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4,752 m3</w:t>
            </w:r>
          </w:p>
        </w:tc>
        <w:tc>
          <w:tcPr>
            <w:tcW w:w="2520" w:type="dxa"/>
            <w:vAlign w:val="bottom"/>
            <w:gridSpan w:val="3"/>
          </w:tcPr>
          <w:p>
            <w:pPr>
              <w:ind w:left="300"/>
              <w:spacing w:after="0"/>
              <w:rPr>
                <w:sz w:val="20"/>
                <w:szCs w:val="20"/>
                <w:color w:val="auto"/>
              </w:rPr>
            </w:pPr>
            <w:r>
              <w:rPr>
                <w:rFonts w:ascii="Arial" w:cs="Arial" w:eastAsia="Arial" w:hAnsi="Arial"/>
                <w:sz w:val="18"/>
                <w:szCs w:val="18"/>
                <w:color w:val="auto"/>
              </w:rPr>
              <w:t>LPG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720" w:type="dxa"/>
            <w:vAlign w:val="bottom"/>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359</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Product Tanker Fleet</w:t>
            </w:r>
          </w:p>
        </w:tc>
        <w:tc>
          <w:tcPr>
            <w:tcW w:w="27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1900" w:type="dxa"/>
            <w:vAlign w:val="bottom"/>
            <w:gridSpan w:val="3"/>
            <w:vMerge w:val="continue"/>
          </w:tcPr>
          <w:p>
            <w:pPr>
              <w:spacing w:after="0"/>
              <w:rPr>
                <w:sz w:val="24"/>
                <w:szCs w:val="24"/>
                <w:color w:val="auto"/>
              </w:rPr>
            </w:pPr>
          </w:p>
        </w:tc>
        <w:tc>
          <w:tcPr>
            <w:tcW w:w="2720" w:type="dxa"/>
            <w:vAlign w:val="bottom"/>
          </w:tcPr>
          <w:p>
            <w:pPr>
              <w:spacing w:after="0"/>
              <w:rPr>
                <w:sz w:val="24"/>
                <w:szCs w:val="24"/>
                <w:color w:val="auto"/>
              </w:rPr>
            </w:pPr>
          </w:p>
        </w:tc>
        <w:tc>
          <w:tcPr>
            <w:tcW w:w="1240" w:type="dxa"/>
            <w:vAlign w:val="bottom"/>
            <w:gridSpan w:val="4"/>
          </w:tcPr>
          <w:p>
            <w:pPr>
              <w:jc w:val="right"/>
              <w:spacing w:after="0"/>
              <w:rPr>
                <w:sz w:val="20"/>
                <w:szCs w:val="20"/>
                <w:color w:val="auto"/>
              </w:rPr>
            </w:pPr>
            <w:r>
              <w:rPr>
                <w:rFonts w:ascii="Arial" w:cs="Arial" w:eastAsia="Arial" w:hAnsi="Arial"/>
                <w:sz w:val="14"/>
                <w:szCs w:val="14"/>
                <w:b w:val="1"/>
                <w:bCs w:val="1"/>
                <w:color w:val="auto"/>
              </w:rPr>
              <w:t>Year Built</w:t>
            </w:r>
          </w:p>
        </w:tc>
        <w:tc>
          <w:tcPr>
            <w:tcW w:w="320" w:type="dxa"/>
            <w:vAlign w:val="bottom"/>
          </w:tcPr>
          <w:p>
            <w:pPr>
              <w:spacing w:after="0"/>
              <w:rPr>
                <w:sz w:val="24"/>
                <w:szCs w:val="2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DWT</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0" w:type="dxa"/>
            <w:vAlign w:val="bottom"/>
          </w:tcPr>
          <w:p>
            <w:pPr>
              <w:ind w:left="7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Estefania H</w:t>
            </w:r>
          </w:p>
        </w:tc>
        <w:tc>
          <w:tcPr>
            <w:tcW w:w="580" w:type="dxa"/>
            <w:vAlign w:val="bottom"/>
            <w:tcBorders>
              <w:top w:val="single" w:sz="8" w:color="CCEEFF"/>
            </w:tcBorders>
            <w:shd w:val="clear" w:color="auto" w:fill="CCEEFF"/>
          </w:tcPr>
          <w:p>
            <w:pPr>
              <w:spacing w:after="0"/>
              <w:rPr>
                <w:sz w:val="17"/>
                <w:szCs w:val="17"/>
                <w:color w:val="auto"/>
              </w:rPr>
            </w:pPr>
          </w:p>
        </w:tc>
        <w:tc>
          <w:tcPr>
            <w:tcW w:w="27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2008</w:t>
            </w:r>
          </w:p>
        </w:tc>
        <w:tc>
          <w:tcPr>
            <w:tcW w:w="3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12,000</w:t>
            </w:r>
          </w:p>
        </w:tc>
        <w:tc>
          <w:tcPr>
            <w:tcW w:w="3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1"/>
              </w:rPr>
              <w:t>Double-hulled Product Tanker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80" w:type="dxa"/>
            <w:vAlign w:val="bottom"/>
            <w:gridSpan w:val="2"/>
          </w:tcPr>
          <w:p>
            <w:pPr>
              <w:spacing w:after="0"/>
              <w:rPr>
                <w:sz w:val="20"/>
                <w:szCs w:val="20"/>
                <w:color w:val="auto"/>
              </w:rPr>
            </w:pPr>
            <w:r>
              <w:rPr>
                <w:rFonts w:ascii="Arial" w:cs="Arial" w:eastAsia="Arial" w:hAnsi="Arial"/>
                <w:sz w:val="18"/>
                <w:szCs w:val="18"/>
                <w:color w:val="auto"/>
              </w:rPr>
              <w:t>Malva H</w:t>
            </w:r>
          </w:p>
        </w:tc>
        <w:tc>
          <w:tcPr>
            <w:tcW w:w="2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2008</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8,974</w:t>
            </w:r>
          </w:p>
        </w:tc>
        <w:tc>
          <w:tcPr>
            <w:tcW w:w="300" w:type="dxa"/>
            <w:vAlign w:val="bottom"/>
          </w:tcPr>
          <w:p>
            <w:pPr>
              <w:spacing w:after="0"/>
              <w:rPr>
                <w:sz w:val="18"/>
                <w:szCs w:val="18"/>
                <w:color w:val="auto"/>
              </w:rPr>
            </w:pPr>
          </w:p>
        </w:tc>
        <w:tc>
          <w:tcPr>
            <w:tcW w:w="2220" w:type="dxa"/>
            <w:vAlign w:val="bottom"/>
            <w:gridSpan w:val="2"/>
          </w:tcPr>
          <w:p>
            <w:pPr>
              <w:ind w:left="20"/>
              <w:spacing w:after="0"/>
              <w:rPr>
                <w:sz w:val="20"/>
                <w:szCs w:val="20"/>
                <w:color w:val="auto"/>
              </w:rPr>
            </w:pPr>
            <w:r>
              <w:rPr>
                <w:rFonts w:ascii="Arial" w:cs="Arial" w:eastAsia="Arial" w:hAnsi="Arial"/>
                <w:sz w:val="18"/>
                <w:szCs w:val="18"/>
                <w:color w:val="auto"/>
                <w:w w:val="91"/>
              </w:rPr>
              <w:t>Double-hulled Product Tanker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Makenita H</w:t>
            </w:r>
          </w:p>
        </w:tc>
        <w:tc>
          <w:tcPr>
            <w:tcW w:w="2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17,508</w:t>
            </w:r>
          </w:p>
        </w:tc>
        <w:tc>
          <w:tcPr>
            <w:tcW w:w="30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1"/>
              </w:rPr>
              <w:t>Double-hulled Product Tanker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80" w:type="dxa"/>
            <w:vAlign w:val="bottom"/>
            <w:gridSpan w:val="2"/>
          </w:tcPr>
          <w:p>
            <w:pPr>
              <w:spacing w:after="0"/>
              <w:rPr>
                <w:sz w:val="20"/>
                <w:szCs w:val="20"/>
                <w:color w:val="auto"/>
              </w:rPr>
            </w:pPr>
            <w:r>
              <w:rPr>
                <w:rFonts w:ascii="Arial" w:cs="Arial" w:eastAsia="Arial" w:hAnsi="Arial"/>
                <w:sz w:val="18"/>
                <w:szCs w:val="18"/>
                <w:color w:val="auto"/>
              </w:rPr>
              <w:t>Sara H</w:t>
            </w:r>
          </w:p>
        </w:tc>
        <w:tc>
          <w:tcPr>
            <w:tcW w:w="2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2009</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9,000</w:t>
            </w:r>
          </w:p>
        </w:tc>
        <w:tc>
          <w:tcPr>
            <w:tcW w:w="300" w:type="dxa"/>
            <w:vAlign w:val="bottom"/>
          </w:tcPr>
          <w:p>
            <w:pPr>
              <w:spacing w:after="0"/>
              <w:rPr>
                <w:sz w:val="18"/>
                <w:szCs w:val="18"/>
                <w:color w:val="auto"/>
              </w:rPr>
            </w:pPr>
          </w:p>
        </w:tc>
        <w:tc>
          <w:tcPr>
            <w:tcW w:w="2220" w:type="dxa"/>
            <w:vAlign w:val="bottom"/>
            <w:gridSpan w:val="2"/>
          </w:tcPr>
          <w:p>
            <w:pPr>
              <w:ind w:left="20"/>
              <w:spacing w:after="0"/>
              <w:rPr>
                <w:sz w:val="20"/>
                <w:szCs w:val="20"/>
                <w:color w:val="auto"/>
              </w:rPr>
            </w:pPr>
            <w:r>
              <w:rPr>
                <w:rFonts w:ascii="Arial" w:cs="Arial" w:eastAsia="Arial" w:hAnsi="Arial"/>
                <w:sz w:val="18"/>
                <w:szCs w:val="18"/>
                <w:color w:val="auto"/>
                <w:w w:val="91"/>
              </w:rPr>
              <w:t>Double-hulled Product Tanker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San San H</w:t>
            </w:r>
          </w:p>
        </w:tc>
        <w:tc>
          <w:tcPr>
            <w:tcW w:w="2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16,871</w:t>
            </w:r>
          </w:p>
        </w:tc>
        <w:tc>
          <w:tcPr>
            <w:tcW w:w="30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1"/>
              </w:rPr>
              <w:t>Double-hulled Product Tanker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80" w:type="dxa"/>
            <w:vAlign w:val="bottom"/>
            <w:gridSpan w:val="2"/>
          </w:tcPr>
          <w:p>
            <w:pPr>
              <w:spacing w:after="0"/>
              <w:rPr>
                <w:sz w:val="20"/>
                <w:szCs w:val="20"/>
                <w:color w:val="auto"/>
              </w:rPr>
            </w:pPr>
            <w:r>
              <w:rPr>
                <w:rFonts w:ascii="Arial" w:cs="Arial" w:eastAsia="Arial" w:hAnsi="Arial"/>
                <w:sz w:val="18"/>
                <w:szCs w:val="18"/>
                <w:color w:val="auto"/>
              </w:rPr>
              <w:t>Ferni H</w:t>
            </w:r>
          </w:p>
        </w:tc>
        <w:tc>
          <w:tcPr>
            <w:tcW w:w="2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2010</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16,871</w:t>
            </w:r>
          </w:p>
        </w:tc>
        <w:tc>
          <w:tcPr>
            <w:tcW w:w="300" w:type="dxa"/>
            <w:vAlign w:val="bottom"/>
          </w:tcPr>
          <w:p>
            <w:pPr>
              <w:spacing w:after="0"/>
              <w:rPr>
                <w:sz w:val="18"/>
                <w:szCs w:val="18"/>
                <w:color w:val="auto"/>
              </w:rPr>
            </w:pPr>
          </w:p>
        </w:tc>
        <w:tc>
          <w:tcPr>
            <w:tcW w:w="2220" w:type="dxa"/>
            <w:vAlign w:val="bottom"/>
            <w:gridSpan w:val="2"/>
          </w:tcPr>
          <w:p>
            <w:pPr>
              <w:ind w:left="20"/>
              <w:spacing w:after="0"/>
              <w:rPr>
                <w:sz w:val="20"/>
                <w:szCs w:val="20"/>
                <w:color w:val="auto"/>
              </w:rPr>
            </w:pPr>
            <w:r>
              <w:rPr>
                <w:rFonts w:ascii="Arial" w:cs="Arial" w:eastAsia="Arial" w:hAnsi="Arial"/>
                <w:sz w:val="18"/>
                <w:szCs w:val="18"/>
                <w:color w:val="auto"/>
                <w:w w:val="91"/>
              </w:rPr>
              <w:t>Double-hulled Product Tanker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 Man H</w:t>
            </w:r>
          </w:p>
        </w:tc>
        <w:tc>
          <w:tcPr>
            <w:tcW w:w="2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1,693</w:t>
            </w:r>
          </w:p>
        </w:tc>
        <w:tc>
          <w:tcPr>
            <w:tcW w:w="30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3"/>
              </w:rPr>
              <w:t>Double-hulled Bunker Vessel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80" w:type="dxa"/>
            <w:vAlign w:val="bottom"/>
            <w:gridSpan w:val="2"/>
          </w:tcPr>
          <w:p>
            <w:pPr>
              <w:spacing w:after="0"/>
              <w:rPr>
                <w:sz w:val="20"/>
                <w:szCs w:val="20"/>
                <w:color w:val="auto"/>
              </w:rPr>
            </w:pPr>
            <w:r>
              <w:rPr>
                <w:rFonts w:ascii="Arial" w:cs="Arial" w:eastAsia="Arial" w:hAnsi="Arial"/>
                <w:sz w:val="18"/>
                <w:szCs w:val="18"/>
                <w:color w:val="auto"/>
              </w:rPr>
              <w:t>Elena H</w:t>
            </w:r>
          </w:p>
        </w:tc>
        <w:tc>
          <w:tcPr>
            <w:tcW w:w="2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2018</w:t>
            </w:r>
          </w:p>
        </w:tc>
        <w:tc>
          <w:tcPr>
            <w:tcW w:w="320" w:type="dxa"/>
            <w:vAlign w:val="bottom"/>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4,999</w:t>
            </w:r>
          </w:p>
        </w:tc>
        <w:tc>
          <w:tcPr>
            <w:tcW w:w="300" w:type="dxa"/>
            <w:vAlign w:val="bottom"/>
          </w:tcPr>
          <w:p>
            <w:pPr>
              <w:spacing w:after="0"/>
              <w:rPr>
                <w:sz w:val="19"/>
                <w:szCs w:val="19"/>
                <w:color w:val="auto"/>
              </w:rPr>
            </w:pPr>
          </w:p>
        </w:tc>
        <w:tc>
          <w:tcPr>
            <w:tcW w:w="2220" w:type="dxa"/>
            <w:vAlign w:val="bottom"/>
            <w:gridSpan w:val="2"/>
          </w:tcPr>
          <w:p>
            <w:pPr>
              <w:ind w:left="20"/>
              <w:spacing w:after="0"/>
              <w:rPr>
                <w:sz w:val="20"/>
                <w:szCs w:val="20"/>
                <w:color w:val="auto"/>
              </w:rPr>
            </w:pPr>
            <w:r>
              <w:rPr>
                <w:rFonts w:ascii="Arial" w:cs="Arial" w:eastAsia="Arial" w:hAnsi="Arial"/>
                <w:sz w:val="18"/>
                <w:szCs w:val="18"/>
                <w:color w:val="auto"/>
                <w:w w:val="91"/>
              </w:rPr>
              <w:t>Double-hulled Product Tanker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87,916</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Management of Ship Operations, Administration and Safety</w:t>
      </w:r>
    </w:p>
    <w:p>
      <w:pPr>
        <w:spacing w:after="0" w:line="121"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color w:val="auto"/>
        </w:rPr>
        <w:t>Following the sale of the management division effected on August 30, 2019, outlined in Note 3 included elsewhere in this Annual Report, the Manager oversees the commercial, administrative and technical management of our fleet. Pursuant to the Management Agreement and the Administrative Services Agreement, the Manager provides us with access to human resources, financial and other administrative functions, including:</w:t>
      </w:r>
    </w:p>
    <w:p>
      <w:pPr>
        <w:spacing w:after="0" w:line="54" w:lineRule="exact"/>
        <w:rPr>
          <w:sz w:val="20"/>
          <w:szCs w:val="20"/>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bookkeeping, audit and accounting services;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administrative and clerical services;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banking and financial services;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client and investor relations.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Technical management services are also provided, including:</w:t>
      </w:r>
    </w:p>
    <w:p>
      <w:pPr>
        <w:spacing w:after="0" w:line="131" w:lineRule="exact"/>
        <w:rPr>
          <w:sz w:val="20"/>
          <w:szCs w:val="20"/>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commercial management of the vessels;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operations of the vessels;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vessel maintenance and crewing;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purchasing and insurance;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shipyard supervision.</w:t>
      </w:r>
    </w:p>
    <w:p>
      <w:pPr>
        <w:spacing w:after="0" w:line="225"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b w:val="1"/>
          <w:bCs w:val="1"/>
          <w:i w:val="1"/>
          <w:iCs w:val="1"/>
          <w:color w:val="auto"/>
        </w:rPr>
        <w:t xml:space="preserve">Financial Risk Management: </w:t>
      </w:r>
      <w:r>
        <w:rPr>
          <w:rFonts w:ascii="Arial" w:cs="Arial" w:eastAsia="Arial" w:hAnsi="Arial"/>
          <w:sz w:val="18"/>
          <w:szCs w:val="18"/>
          <w:color w:val="auto"/>
        </w:rPr>
        <w:t>Navios Holdings actively engages in assessing financial risks associated with fluctuating future freight rates, daily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charter hire rates, fuel prices, credit risks, interest rates and foreign exchange rates. Financial risk management is carried out under policies approved and guidelines established by the Company’s executive management.</w:t>
      </w:r>
    </w:p>
    <w:p>
      <w:pPr>
        <w:spacing w:after="0" w:line="89" w:lineRule="exact"/>
        <w:rPr>
          <w:sz w:val="20"/>
          <w:szCs w:val="20"/>
          <w:color w:val="auto"/>
        </w:rPr>
      </w:pPr>
    </w:p>
    <w:p>
      <w:pPr>
        <w:ind w:left="1080" w:hanging="424"/>
        <w:spacing w:after="0" w:line="273" w:lineRule="auto"/>
        <w:tabs>
          <w:tab w:leader="none" w:pos="1080" w:val="left"/>
        </w:tabs>
        <w:numPr>
          <w:ilvl w:val="0"/>
          <w:numId w:val="53"/>
        </w:numPr>
        <w:rPr>
          <w:rFonts w:ascii="Arial" w:cs="Arial" w:eastAsia="Arial" w:hAnsi="Arial"/>
          <w:sz w:val="17"/>
          <w:szCs w:val="17"/>
          <w:color w:val="auto"/>
        </w:rPr>
      </w:pPr>
      <w:r>
        <w:rPr>
          <w:rFonts w:ascii="Arial" w:cs="Arial" w:eastAsia="Arial" w:hAnsi="Arial"/>
          <w:sz w:val="17"/>
          <w:szCs w:val="17"/>
          <w:i w:val="1"/>
          <w:iCs w:val="1"/>
          <w:color w:val="auto"/>
        </w:rPr>
        <w:t xml:space="preserve">Credit Risk: </w:t>
      </w:r>
      <w:r>
        <w:rPr>
          <w:rFonts w:ascii="Arial" w:cs="Arial" w:eastAsia="Arial" w:hAnsi="Arial"/>
          <w:sz w:val="17"/>
          <w:szCs w:val="17"/>
          <w:color w:val="auto"/>
        </w:rPr>
        <w:t>Navios Holdings closely monitors its credit exposure to customers and other counterparties. Navios Holdings has entered into</w:t>
      </w:r>
      <w:r>
        <w:rPr>
          <w:rFonts w:ascii="Arial" w:cs="Arial" w:eastAsia="Arial" w:hAnsi="Arial"/>
          <w:sz w:val="17"/>
          <w:szCs w:val="17"/>
          <w:i w:val="1"/>
          <w:iCs w:val="1"/>
          <w:color w:val="auto"/>
        </w:rPr>
        <w:t xml:space="preserve"> </w:t>
      </w:r>
      <w:r>
        <w:rPr>
          <w:rFonts w:ascii="Arial" w:cs="Arial" w:eastAsia="Arial" w:hAnsi="Arial"/>
          <w:sz w:val="17"/>
          <w:szCs w:val="17"/>
          <w:color w:val="auto"/>
        </w:rPr>
        <w:t>the management agreement with the Manager, pursuant to which the Manager agreed to provide commercial and technical management services to Navios Holdings. When negotiating on behalf of Navios Holdings’ various vessel employment contracts, the Manager has established policies, to ensure that contracts are entered into with counterparties that have appropriate credit history. Counterparties and cash transactions are limited to highly collateralized, high credit quality corporations and financial institutions. Most importantly, Navios Holdings has guidelines and policies that are designed to limit the amount of credit exposure.</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60"/>
          </w:cols>
          <w:pgMar w:left="320" w:top="459" w:right="51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0" w:hanging="424"/>
        <w:spacing w:after="0" w:line="279" w:lineRule="auto"/>
        <w:tabs>
          <w:tab w:leader="none" w:pos="1080" w:val="left"/>
        </w:tabs>
        <w:numPr>
          <w:ilvl w:val="0"/>
          <w:numId w:val="54"/>
        </w:numPr>
        <w:rPr>
          <w:rFonts w:ascii="Arial" w:cs="Arial" w:eastAsia="Arial" w:hAnsi="Arial"/>
          <w:sz w:val="17"/>
          <w:szCs w:val="17"/>
          <w:color w:val="auto"/>
        </w:rPr>
      </w:pPr>
      <w:r>
        <w:rPr>
          <w:rFonts w:ascii="Arial" w:cs="Arial" w:eastAsia="Arial" w:hAnsi="Arial"/>
          <w:sz w:val="17"/>
          <w:szCs w:val="17"/>
          <w:i w:val="1"/>
          <w:iCs w:val="1"/>
          <w:color w:val="auto"/>
        </w:rPr>
        <w:t xml:space="preserve">Foreign Exchange Risk: </w:t>
      </w:r>
      <w:r>
        <w:rPr>
          <w:rFonts w:ascii="Arial" w:cs="Arial" w:eastAsia="Arial" w:hAnsi="Arial"/>
          <w:sz w:val="17"/>
          <w:szCs w:val="17"/>
          <w:color w:val="auto"/>
        </w:rPr>
        <w:t>Although Navios Holdings’ revenues are U.S. dollar-based, 19.8% of its expenses from continuing operations,</w:t>
      </w:r>
      <w:r>
        <w:rPr>
          <w:rFonts w:ascii="Arial" w:cs="Arial" w:eastAsia="Arial" w:hAnsi="Arial"/>
          <w:sz w:val="17"/>
          <w:szCs w:val="17"/>
          <w:i w:val="1"/>
          <w:iCs w:val="1"/>
          <w:color w:val="auto"/>
        </w:rPr>
        <w:t xml:space="preserve"> </w:t>
      </w:r>
      <w:r>
        <w:rPr>
          <w:rFonts w:ascii="Arial" w:cs="Arial" w:eastAsia="Arial" w:hAnsi="Arial"/>
          <w:sz w:val="17"/>
          <w:szCs w:val="17"/>
          <w:color w:val="auto"/>
        </w:rPr>
        <w:t>related to its Navios Logistics segment, are in Uruguayan pesos, Argentinean pesos, Paraguayan Guaranies and Brazilian Reales. Navios Holdings monitors its Argentine Peso, Uruguayan Peso, Paraguayan Guarani and Brazilian Real exposure against long-term currency forecasts and enters into foreign currency contracts when considered appropriate.</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Customers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Dry Bulk Vessel Operations</w:t>
      </w:r>
    </w:p>
    <w:p>
      <w:pPr>
        <w:spacing w:after="0" w:line="121"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The international dry bulk shipping industry is highly fragmented and, as a result, there are numerous charterers. Navios Holdings’ assessment of a charterer’s financial condition and reliability is an important factor in negotiating employment of its vessels. Navios Holdings generally charters its vessels to major trading houses (including commodities traders), major producers and government-owned entities. Navios Holdings’ customers under charter parties, COAs, and other counterparties, include national, regional and international companies, such as Cargill International S.A., GIIC, Louis Dreyfus Commodities, Oldendorff Carriers, Swiss Marine, Rio Tinto and Mansel Ltd. (See also Item 3.D. “Risk Factors—We depend upon significant customers for part of our revenues. The loss of one or more of these customers or a decline in the financial capability of our customers could materially adversely affect our financial performance.”).</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Logistics Business Operations</w:t>
      </w:r>
    </w:p>
    <w:p>
      <w:pPr>
        <w:spacing w:after="0" w:line="12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Navios Logistics has a long history of operating in the Hidrovia Region of South America. Navios Logistics has consistent contract renewals and long-standing relationships with a diverse group of large customers, primarily comprised of major international agriculture and oil companies and their affiliates such as Archer Daniels Midland Company (“ADM”), Cargill International S.A. (“Cargill”), Louis Dreyfus Holding B.V. (“Louis Dreyfus”), Petropar SA (“Petropar”), YPF S.A. (“YPF”), Trafigura Group Pte Ltd (“Trafigura”),Vale and Vitol S.A. (“Vitol”). These long-term customer relationships arise from Navios Logistics’ reputation for reliability and high-quality service. In its grain terminal in Uruguay, Navios Logistics has been serving three of its key customers, ADM, Cargill and Louis Dreyfus, for 22 years on average. In its Liquid Port Terminal, liquid barge transportation and Cabotage Business, Navios Logistics has long-term relationships with its global petroleum customers of more than 18 years on average. In its Barge Business, Navios Logistics started its relationship with Vale in 2008 for iron ore transportation and has signed new contracts for storing and transshipping iron ore and other commodities since then. In addition, almost all of Navios Logistics’ contracts are U.S. dollar denominated and most of its dry port terminals’ contracts include minimum volume guarantees and built-in tariff escalators. This reduces Navios Logistics’ currency, volume and pricing risks, which enables Navios Logistics to have strong cash-flow visibility.</w:t>
      </w:r>
    </w:p>
    <w:p>
      <w:pPr>
        <w:spacing w:after="0" w:line="182" w:lineRule="exact"/>
        <w:rPr>
          <w:sz w:val="20"/>
          <w:szCs w:val="20"/>
          <w:color w:val="auto"/>
        </w:rPr>
      </w:pPr>
    </w:p>
    <w:p>
      <w:pPr>
        <w:ind w:left="120" w:right="260" w:firstLine="440"/>
        <w:spacing w:after="0" w:line="257" w:lineRule="auto"/>
        <w:rPr>
          <w:sz w:val="20"/>
          <w:szCs w:val="20"/>
          <w:color w:val="auto"/>
        </w:rPr>
      </w:pPr>
      <w:r>
        <w:rPr>
          <w:rFonts w:ascii="Arial" w:cs="Arial" w:eastAsia="Arial" w:hAnsi="Arial"/>
          <w:sz w:val="18"/>
          <w:szCs w:val="18"/>
          <w:color w:val="auto"/>
        </w:rPr>
        <w:t>Concentrations of credit risk with respect to accounts receivables are limited due to Navios Logistics’ large number of customers, who are established international operators and have an appropriate credit history. Due to these factors, management believes that no additional credit risk, beyond amounts provided for collection losses, is inherent in its trade receivables. (See also Item 3.D. “Risk Factors—Navios Logistics depends on a few significant customers for a large part of its revenues and the loss of one or more of these customers could materially and adversely affect its revenues.”).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20"/>
          </w:cols>
          <w:pgMar w:left="32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The dry bulk shipping markets are extensive, diversified, competitive and highly fragmented, divided among approximately 2,400 independent dry bulk carrier owners. The world’s active dry bulk fleet consists of approximately 12,400 vessels, aggregating approximately 920 million dwt as of April 1, 2021. As a general principle, the smaller the cargo carrying capacity of a dry bulk carrier, the more fragmented is its market, both with regard to charterers and vessel owner/operators. Even among the larger dry bulk owners and operators, whose vessels are mainly in the larger sizes, only ten companies are known to have fleets of 97 vessels or more: China COSCO Shipping, Nippon Yusen Kaisha, Wisdom Marine, China Merchants, the Fredriksen Group, Star Bulk Carriers, Pacific Basin Shipping, Kawasaki Kisen, Oldendorff Carriers and Mitsui O.S.K. Lines. There are about 40 owners known to have fleets of between 36 and 83 vessels. However, vessel ownership is not the only determinant of fleet control. Many owners of bulk carriers charter their vessels out for extended periods, not just to end users (owners of cargo), but also to other owner/operators and to tonnage pools. Such operators may, at any given time, control a fleet many times the size of their owned tonnage. Navios Holdings is one such operator; others include Cargill, Pacific Basin Shipping, Bocimar, Zodiac Maritime, Louis Dreyfus/Cetragpa, Cobelfret, Torvald Klaveness and Swiss Marine.</w:t>
      </w:r>
    </w:p>
    <w:p>
      <w:pPr>
        <w:spacing w:after="0" w:line="168"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It is likely that we will face substantial competition for long-term charter business from a number of experienced companies. Many of these competitors will have significantly greater financial resources than we do. It is also likely that we will face increased numbers of competitors entering into our transportation sectors, including in the dry bulk sector. Many of these competitors have strong reputations and extensive resources and experience. Increased competition may cause greater price competition, especially for long-term charters.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Navios Logistics</w:t>
      </w:r>
    </w:p>
    <w:p>
      <w:pPr>
        <w:spacing w:after="0" w:line="117"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Navios Logistics believes that it is one of the largest providers of infrastructure, logistics and marine transportation services in the Hidrovia Region, with the region’s second largest barge fleet and the third largest cabotage fleet in Argentina. Navios Logistics believes its ownership of river ports, including its port terminals in Uruguay that provides access to the ocean, allows it to offer a logistics solution superior to its competitors that also operate barges and pushboats. Navios Logistics also competes based on reliability, efficiency and price.</w:t>
      </w:r>
    </w:p>
    <w:p>
      <w:pPr>
        <w:spacing w:after="0" w:line="171"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With respect to loading, storage and ancillary services, the market is divided between transits and exports, depending on the cargo origin. In the case of transits there are other companies operating in the river system that are able to offer services similar to Navios Logistics. However, most of these companies are proprietary service providers that are focused on servicing their own cargo. Unlike these companies, Navios Logistics is an independent service provider in the market for transits. With respect to exports, its competitors are Montevideo Port in Montevideo, Ontur in Nueva Palmira, and TGU in Nueva Palmira. The main competitor of its liquid port terminal in Paraguay is Petropar, a Paraguayan state-owned entity. Other competitors include Copetrol, TLP, Trafigura Pte Ltd and Petrobras.</w:t>
      </w:r>
    </w:p>
    <w:p>
      <w:pPr>
        <w:spacing w:after="0" w:line="192"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Navios Logistics faces competition in its barge and cabotage businesses with transportation of oil and refined petroleum products from other independent shipowners and from vessel operators who primarily charter vessels to meet their cargo carrying needs. The charter markets in which Navios Logistics’ vessels compete are highly competitive. Key competitors include the successor of Atria Logistica S.A., Hidrovias do Brasil, Interbarge, P&amp;O, Imperial Shipping and Fluviomar. In addition, some of Navios Logistics’ customers, including ADM, Cargill, Louis Dreyfus and Vale, have some of their own dedicated barge capacity, which they can use to transport cargo in lieu of hiring a third party. Navios Logistics also competes indirectly with other forms of land-based transportation such as truck and rail. Competition is primarily based on prevailing market contract rates, vessel location and vessel manager know-how, reputation and credibility. These companies and other smaller entities are regular competitors of Navios Logistics in its primary tanker trading areas.</w:t>
      </w:r>
    </w:p>
    <w:p>
      <w:pPr>
        <w:spacing w:after="0" w:line="192"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Navios Logistics believes that its ability to combine its ports in Uruguay and Paraguay with its versatile fleet of barges, pushboats and tankers to offer integrated, end-to-end logistics solutions for both its dry and liquid customers seeking to transport mineral and grain commodities and liquid cargoes through the Hidrovia Region has allowed Navios Logistics to differentiate its business and offer superior services compared to its competitors.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Off-hire</w:t>
      </w:r>
    </w:p>
    <w:p>
      <w:pPr>
        <w:spacing w:after="0" w:line="121"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color w:val="auto"/>
        </w:rPr>
        <w:t>When the vessel is “off-hire” the charterer generally is not required to pay the basic hire rate, and we are responsible for all costs. Prolonged off-hire may lead to vessel substitution or termination of the time charter. A vessel generally will be deemed off-hire if there is a loss of time due to, among other things:</w:t>
      </w:r>
    </w:p>
    <w:p>
      <w:pPr>
        <w:spacing w:after="0" w:line="89" w:lineRule="exact"/>
        <w:rPr>
          <w:sz w:val="20"/>
          <w:szCs w:val="20"/>
          <w:color w:val="auto"/>
        </w:rPr>
      </w:pPr>
    </w:p>
    <w:p>
      <w:pPr>
        <w:ind w:left="1080" w:right="540" w:hanging="424"/>
        <w:spacing w:after="0" w:line="286" w:lineRule="auto"/>
        <w:tabs>
          <w:tab w:leader="none" w:pos="10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operational deficiencies; drydocking for repairs, maintenance or inspection; equipment breakdowns; or delays due to accidents or deviations from course, crewing strikes, labor boycotts, certain vessel detentions or similar problems, occurrence of hostilities in the vessel’s flag state or in the event of piracy, a natural or man-made event of force majeure; or</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40"/>
          </w:cols>
          <w:pgMar w:left="320" w:top="459"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80" w:hanging="424"/>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ship owner’s failure to maintain the vessel in compliance with its specifications and contractual standards or to provide the required crew.</w:t>
      </w:r>
    </w:p>
    <w:p>
      <w:pPr>
        <w:spacing w:after="0" w:line="170" w:lineRule="exact"/>
        <w:rPr>
          <w:sz w:val="20"/>
          <w:szCs w:val="20"/>
          <w:color w:val="auto"/>
        </w:rPr>
      </w:pPr>
    </w:p>
    <w:p>
      <w:pPr>
        <w:jc w:val="both"/>
        <w:ind w:left="120" w:right="580" w:firstLine="440"/>
        <w:spacing w:after="0" w:line="263" w:lineRule="auto"/>
        <w:rPr>
          <w:sz w:val="20"/>
          <w:szCs w:val="20"/>
          <w:color w:val="auto"/>
        </w:rPr>
      </w:pPr>
      <w:r>
        <w:rPr>
          <w:rFonts w:ascii="Arial" w:cs="Arial" w:eastAsia="Arial" w:hAnsi="Arial"/>
          <w:sz w:val="18"/>
          <w:szCs w:val="18"/>
          <w:color w:val="auto"/>
        </w:rPr>
        <w:t>Under some of our charters, the charterer is permitted to terminate the time charter if the vessel is off-hire for an extended period, which is generally defined as a period of 90 or more consecutive off-hire days. Under some circumstances, an event of force majeure may also permit the charterer to terminate the time charter or suspend payment of charter hire.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consider NAVIOS to be our proprietary trademark, service mark and trade name. We hold several trademark registrations in the U.S., E.U. and Monaco trademark registrations for our proprietary logos and the domain name registration for our website.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Governmental and Other Regulations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Sources of Applicable Maritime Laws and Standards</w:t>
      </w:r>
    </w:p>
    <w:p>
      <w:pPr>
        <w:spacing w:after="0" w:line="121" w:lineRule="exact"/>
        <w:rPr>
          <w:sz w:val="20"/>
          <w:szCs w:val="20"/>
          <w:color w:val="auto"/>
        </w:rPr>
      </w:pPr>
    </w:p>
    <w:p>
      <w:pPr>
        <w:ind w:left="120" w:right="180" w:firstLine="440"/>
        <w:spacing w:after="0" w:line="272" w:lineRule="auto"/>
        <w:rPr>
          <w:sz w:val="20"/>
          <w:szCs w:val="20"/>
          <w:color w:val="auto"/>
        </w:rPr>
      </w:pPr>
      <w:r>
        <w:rPr>
          <w:rFonts w:ascii="Arial" w:cs="Arial" w:eastAsia="Arial" w:hAnsi="Arial"/>
          <w:sz w:val="17"/>
          <w:szCs w:val="17"/>
          <w:color w:val="auto"/>
        </w:rPr>
        <w:t>Shipping is one of the world’s most heavily regulated industries, as it is subject to both Governmental regulation and industry standards. The Governmental regulation to which we are subject includes local and national laws, as well as international treaties and conventions, and regulations in force in jurisdictions where our vessels operate and are registered. We also are subject to regulation by ship classification societies and industry associations, which often have independent standards. In the United States and, increasingly, in Europe, the national, state, and local laws and regulations are more stringent than international conventions, as well as industry standards. Violations of these laws, regulations, treaties and other requirements could result in sanctions by regulators, including possible fines, penalties, delays, and detention. Compliance with these categories of regulation also impact the vetting process – non-compliances can result in vetting failures, as noted above.</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primary areas of maritime laws and standards to which we are subject include environment, safety, and security, as provided in detail below.</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International Conventions and Standards</w:t>
      </w:r>
    </w:p>
    <w:p>
      <w:pPr>
        <w:spacing w:after="0" w:line="117" w:lineRule="exact"/>
        <w:rPr>
          <w:sz w:val="20"/>
          <w:szCs w:val="20"/>
          <w:color w:val="auto"/>
        </w:rPr>
      </w:pPr>
    </w:p>
    <w:p>
      <w:pPr>
        <w:jc w:val="both"/>
        <w:ind w:left="120" w:right="280" w:firstLine="440"/>
        <w:spacing w:after="0" w:line="263" w:lineRule="auto"/>
        <w:rPr>
          <w:sz w:val="20"/>
          <w:szCs w:val="20"/>
          <w:color w:val="auto"/>
        </w:rPr>
      </w:pPr>
      <w:r>
        <w:rPr>
          <w:rFonts w:ascii="Arial" w:cs="Arial" w:eastAsia="Arial" w:hAnsi="Arial"/>
          <w:sz w:val="18"/>
          <w:szCs w:val="18"/>
          <w:color w:val="auto"/>
        </w:rPr>
        <w:t>The IMO is the United Nations agency with jurisdiction over maritime safety and the prevention of pollution by ships. The IMO has adopted a number of international conventions concerned with preventing, reducing, or managing pollution from ships; and ship safety and security. The most significant of these are described below.</w:t>
      </w:r>
    </w:p>
    <w:p>
      <w:pPr>
        <w:spacing w:after="0" w:line="207" w:lineRule="exact"/>
        <w:rPr>
          <w:sz w:val="20"/>
          <w:szCs w:val="20"/>
          <w:color w:val="auto"/>
        </w:rPr>
      </w:pPr>
    </w:p>
    <w:p>
      <w:pPr>
        <w:ind w:left="1080" w:hanging="424"/>
        <w:spacing w:after="0"/>
        <w:tabs>
          <w:tab w:leader="none" w:pos="108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MARPOL</w:t>
      </w:r>
    </w:p>
    <w:p>
      <w:pPr>
        <w:spacing w:after="0" w:line="12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International Convention for the Prevention of Pollution from Ships or “MARPOL” is the primary international convention governing vessel pollution prevention and response. MARPOL includes six annexes concerning operational pollution by oil, noxious liquid substances, harmful substances, sewage, garbage and air emissions. More specifically, these annexes contain regulations for the prevention of pollution by oil (Annex I), by noxious liquid substances in bulk (Annex II), by harmful substances in packaged forms within the scope of the International Maritime Dangerous Goods Code (Annex III), by sewage (Annex IV), by garbage (Annex V), and by air emissions, including sulfur oxides (“SOx”), nitrogen oxides (“NOx”), and particulate matter (Annex VI). The annexes also contain recordkeeping and inspection requirements.</w:t>
      </w:r>
    </w:p>
    <w:p>
      <w:pPr>
        <w:spacing w:after="0" w:line="178"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Under MARPOL, our ships are required to have an International Oil Pollution Prevention Certificate and a Shipboard Oil Pollution Emergency Plan; under Annex IV, an International Sewage Pollution Prevention Certificate; under Annex V, a Garbage Management Plan; and under Annex VI, an International Air Pollution Prevention Certificate issued by their flag States, among other requirements, some of which must be approved by their flag States. Certain jurisdictions in which we trade have not adopted all of the MARPOL annexes, but have established various national, regional, or local laws and regulations that apply to these areas.</w:t>
      </w:r>
    </w:p>
    <w:p>
      <w:pPr>
        <w:spacing w:after="0" w:line="188"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MARPOL Annex VI has been amended and was also designed to phase in increasingly stringent limits on sulfur emissions. On January 1, 2020, the emissions standard under MARPOL Annex VI for the reduction of sulfur oxides was lowered to 0.5% worldwide (down from the previous level of 3.5%). Current regulations also allow for special emissions control areas (“ECAs”) to be established with more stringent controls on emissions of 0.1% sulfur, particulate matter, and nitrogen oxide emissions. Depending on vessel specifics, transitioning to the use of low sulfur fuel as a means of compliance may have required fuel system modification and tank cleaning. Another means of compliance is the installation of pollution control equipment (exhaust gas cleaning systems or scrubbers), allowing the vessel to use the existing, less expensive, high sulfur content fuel.</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00"/>
          </w:cols>
          <w:pgMar w:left="320" w:top="459" w:right="4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Thus far, ECAs have been formally adopted for the Baltic Sea area (limits SOx emissions only); the North Sea area including the English Channel (limiting SOx emissions only); the North American ECA (limiting SOx, NOx and particulate matter emissions); and the U.S. Caribbean ECA (limiting SOx, NOx and particulates). The IMO approved, then adopted in 2017, the designation of the North Sea and Baltic Sea as ECAs for NOx under Annex VI as well, which took effect in January 2021 for new vessels constructed on or after January 1, 2021 or existing vessels that replace an engine with non-identical engines, or install an additional engine.</w:t>
      </w:r>
    </w:p>
    <w:p>
      <w:pPr>
        <w:spacing w:after="0" w:line="188"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Despite Annex VI’s extensive regulations, other jurisdictions have taken unilateral approaches to air emissions regulation. For example, the U.S. state of California adopted more stringent low sulfur fuel requirements within California-regulated waters, requiring marine gas oil, extending out to 24 nautical miles, which thus prohibits exhaust gas cleaning systems. China has also established local emissions control areas. While the Chinese areas are currently consistent with international standards in terms of sulfur content, certain Chinese local emissions control areas may become more stringent than international requirements in the future. Similarly, South Korea has established Port Air Quality Control Zones which cap the sulfur content of fuel at 0.1%. This provision took effect on September 1, 2020.</w:t>
      </w:r>
    </w:p>
    <w:p>
      <w:pPr>
        <w:spacing w:after="0" w:line="178"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Additionally, Annex II to MARPOL prescribes requirements for carriage of designated noxious liquid substances (“NLS”) in bulk. NLS are separated into three categories (X, Y, and Z) depending upon the seriousness of the hazard presented. Coastal or flag States may issue civil or criminal penalties for the discharge of NLS into the sea depending on the category discharged, the location of the discharge, and the conditions of discharge. Similar fines and penalties may be issued for violations of other of MARPOL’s Annexes.</w:t>
      </w:r>
    </w:p>
    <w:p>
      <w:pPr>
        <w:spacing w:after="0" w:line="18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Annex III contains general requirements for the prevention of pollution by harmful substances carried by sea in packaged form. This Annex contains requirements for safe handling of packaged substances that represent a serious risk to the environment, as well as guidelines for identification of harmful substances. For example, any relevant documents, such as the ship’s manifest, must identify the substances carried, if any, aboard our vessels. Violations of this Annex may also lead to applicable fines and penalties, as with all MARPOL annexes.</w:t>
      </w:r>
    </w:p>
    <w:p>
      <w:pPr>
        <w:spacing w:after="0" w:line="194" w:lineRule="exact"/>
        <w:rPr>
          <w:sz w:val="20"/>
          <w:szCs w:val="20"/>
          <w:color w:val="auto"/>
        </w:rPr>
      </w:pPr>
    </w:p>
    <w:p>
      <w:pPr>
        <w:ind w:left="1080" w:hanging="424"/>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Ballast Water</w:t>
      </w:r>
    </w:p>
    <w:p>
      <w:pPr>
        <w:spacing w:after="0" w:line="121"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The IMO, as well as jurisdictions worldwide acting outside the scope of the IMO, have implemented requirements relating to the management of ballast water to prevent the harmful effects of foreign invasive species. The IMO’s International Convention for the Control and Management of Ships’ Ballast Water and Sediments (the “BWM Convention”) entered into force on September 8, 2017. The BWM Convention requires ships to manage ballast water in a manner that removes, renders harmless, or avoids the uptake or discharge of aquatic organisms and pathogens within ballast water and sediment. As of April 19, 2021, the BWM Convention had 86 contracting states, representing 91.12% of world gross tonnage. The United States is not party to the BWM Convention, but has similar, though not identical, requirements.</w:t>
      </w:r>
    </w:p>
    <w:p>
      <w:pPr>
        <w:spacing w:after="0" w:line="178"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As amended, the BWM Convention requires, among other things, ballast water exchange, the maintenance of certain records, and the implementation of a Ballast Water and Sediments Management Plan. It also requires the installation of ballast water management systems for existing ships by certain deadlines, as described below.</w:t>
      </w:r>
    </w:p>
    <w:p>
      <w:pPr>
        <w:spacing w:after="0" w:line="184"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Ships constructed prior to September 8, 2017 must install ballast water management systems by the first renewal survey following September 8, 2017 and must comply with IMO discharge standards by the due date for their International Oil Pollution Prevention Certificate renewal survey under MARPOL Annex I. Ships constructed after September 8, 2017 are required to comply with the BWM Convention upon delivery. All ships must meet the IMO ballast water discharge standard by September 8, 2024, regardless of construction date. During the Marine Environmental Protection Committee’s (“MEPC”) session 75, held November 16-20, 2020, new amendments were adopted regarding testing and certification of ballast water management systems, which are expected to enter into force on June 1, 2022. The updated guidance for Ballast Water and Sediments Management Plan includes more robust testing and performance specifications.</w:t>
      </w:r>
    </w:p>
    <w:p>
      <w:pPr>
        <w:spacing w:after="0" w:line="200" w:lineRule="exact"/>
        <w:rPr>
          <w:sz w:val="20"/>
          <w:szCs w:val="20"/>
          <w:color w:val="auto"/>
        </w:rPr>
      </w:pPr>
    </w:p>
    <w:p>
      <w:pPr>
        <w:ind w:left="1080" w:right="120" w:hanging="424"/>
        <w:spacing w:after="0" w:line="282"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International Conventions for Civil Liability for Oil Pollution Damage and for Bunker Oil Pollution Damage and Other Pollution Liability Regimes</w:t>
      </w:r>
    </w:p>
    <w:p>
      <w:pPr>
        <w:spacing w:after="0" w:line="58" w:lineRule="exact"/>
        <w:rPr>
          <w:sz w:val="20"/>
          <w:szCs w:val="20"/>
          <w:color w:val="auto"/>
        </w:rPr>
      </w:pPr>
    </w:p>
    <w:p>
      <w:pPr>
        <w:ind w:left="120" w:right="80" w:firstLine="440"/>
        <w:spacing w:after="0" w:line="269" w:lineRule="auto"/>
        <w:rPr>
          <w:sz w:val="20"/>
          <w:szCs w:val="20"/>
          <w:color w:val="auto"/>
        </w:rPr>
      </w:pPr>
      <w:r>
        <w:rPr>
          <w:rFonts w:ascii="Arial" w:cs="Arial" w:eastAsia="Arial" w:hAnsi="Arial"/>
          <w:sz w:val="17"/>
          <w:szCs w:val="17"/>
          <w:color w:val="auto"/>
        </w:rPr>
        <w:t>Several international conventions impose and limit pollution liability from vessels. For example, the International Convention on Civil Liability for Bunker Oil Pollution Damage (the “Bunker Convention”) in addition to local and national environmental laws. The Bunker Convention entered into force in 2008 and imposes strict liability on shipowners for pollution damage and response costs incurred in contracting States caused by discharges, or threatened discharges, of bunker oil from all classes of ships not covered by the International Convention for Civil Liability for Oil Pollution Damage. The Bunker Convention also requires registered owners of ships over a certain tonnage to maintain insurance to cover their liability for pollution damage in an amount equal to the limits of liability under the applicable national or international limitation regime, including liability limits calculated in accordance with the Convention on Limitation of Liability for Maritime Claims 1976, as amended (the “1976 Convention”). As/ of April 19, 2021, the Bunker Convention had 100 contracting states, representing 95.06% of the gross tonnage of the world’s merchant fleet. In non-contracting States, such as the United States, liability for such bunker oil pollution typically is determined by the national or other domestic laws in the jurisdiction in which the spillage occurs.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20"/>
          </w:cols>
          <w:pgMar w:left="320" w:top="459" w:right="4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1976 Convention is the most widely applicable international regime limiting maritime pollution liability. Rights to limit liability under the 1976 Convention are forfeited where a spill is caused by a shipowner’s intentional or reckless conduct. Certain jurisdictions have ratified the IMO’s Protocol of 1996 to the 1976 Convention, referred to herein as the “Protocol of 1996”. The Protocol of 1996 provides for substantially higher liability limits in those jurisdictions than the limits set forth in the 1976 Convention. Finally, some jurisdictions, such as the United States, are not a party to either the 1976 Convention or the Protocol of 1996, and, therefore, a shipowner’s rights to limit liability for maritime pollution in such jurisdictions may be uncertain or subject to national and local law.</w:t>
      </w:r>
    </w:p>
    <w:p>
      <w:pPr>
        <w:spacing w:after="0" w:line="215" w:lineRule="exact"/>
        <w:rPr>
          <w:sz w:val="20"/>
          <w:szCs w:val="20"/>
          <w:color w:val="auto"/>
        </w:rPr>
      </w:pPr>
    </w:p>
    <w:p>
      <w:pPr>
        <w:ind w:left="1080" w:hanging="424"/>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International Convention for the Safety of Life at Sea and the International Safety Management Code</w:t>
      </w:r>
    </w:p>
    <w:p>
      <w:pPr>
        <w:spacing w:after="0" w:line="121" w:lineRule="exact"/>
        <w:rPr>
          <w:sz w:val="20"/>
          <w:szCs w:val="20"/>
          <w:color w:val="auto"/>
        </w:rPr>
      </w:pPr>
    </w:p>
    <w:p>
      <w:pPr>
        <w:ind w:left="120" w:right="540" w:firstLine="440"/>
        <w:spacing w:after="0" w:line="342" w:lineRule="auto"/>
        <w:rPr>
          <w:sz w:val="20"/>
          <w:szCs w:val="20"/>
          <w:color w:val="auto"/>
        </w:rPr>
      </w:pPr>
      <w:r>
        <w:rPr>
          <w:rFonts w:ascii="Arial" w:cs="Arial" w:eastAsia="Arial" w:hAnsi="Arial"/>
          <w:sz w:val="16"/>
          <w:szCs w:val="16"/>
          <w:color w:val="auto"/>
        </w:rPr>
        <w:t>Our vessels also must operate in compliance with the requirements set forth in the International Convention for the Safety of Life at Sea, as amended, (“SOLAS”), including the International Safety Management Code (the “ISM Code”), which is contained in Chapter IX of SOLAS.</w:t>
      </w:r>
    </w:p>
    <w:p>
      <w:pPr>
        <w:spacing w:after="0" w:line="124" w:lineRule="exact"/>
        <w:rPr>
          <w:sz w:val="20"/>
          <w:szCs w:val="20"/>
          <w:color w:val="auto"/>
        </w:rPr>
      </w:pPr>
    </w:p>
    <w:p>
      <w:pPr>
        <w:ind w:left="120" w:right="120" w:firstLine="440"/>
        <w:spacing w:after="0" w:line="272" w:lineRule="auto"/>
        <w:rPr>
          <w:sz w:val="20"/>
          <w:szCs w:val="20"/>
          <w:color w:val="auto"/>
        </w:rPr>
      </w:pPr>
      <w:r>
        <w:rPr>
          <w:rFonts w:ascii="Arial" w:cs="Arial" w:eastAsia="Arial" w:hAnsi="Arial"/>
          <w:sz w:val="17"/>
          <w:szCs w:val="17"/>
          <w:color w:val="auto"/>
        </w:rPr>
        <w:t>SOLAS was enacted primarily to promote the safety of life and preservation of property. SOLAS, and the regulations and codes of practice thereunder, is regularly amended to introduce heightened shipboard safety requirements into the industry. The ISM Code requires ship operators to develop and maintain an extensive Safety Management System (“SMS”) that includes the adoption of a safety and environmental protection policy setting forth instructions and procedures for safe vessel operation and describing procedures for dealing with emergencies. The ISM Code also requires vessel operators to obtain a Document of Compliance (“DOC”) demonstrating that the company complies with the SMS and a Safety Management Certificate (“SMC”) for each vessel verifying compliance with the approved SMS by each vessel’s flag State. No vessel can obtain an SMC unless its manager has been awarded a Document of Compliance, issued by the flag State for the vessel, under the ISM Code.</w:t>
      </w:r>
    </w:p>
    <w:p>
      <w:pPr>
        <w:spacing w:after="0" w:line="177"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Noncompliance with the ISM Code and regulations contained in other IMO Conventions may subject a shipowner to increased liability, lead to decreases in available insurance coverage for affected vessels, or result in the denial of access to, or detention in, certain ports. For example, the United States Coast Guard and European Union authorities have indicated that vessels not in compliance with the ISM Code may be prohibited from trading in ports in the United States and European Union. Non-compliances identified in port may lead to delays and detention. Each company’s DOC and each vessel’s SMC must be periodically renewed, and compliance must be periodically verified. The failure of a ship operator to comply with the ISM Code and IMO measures could subject such party to increased liability, decrease available insurance coverage for the affected vessels, or result in a denial of access to, or detention in, certain ports.</w:t>
      </w:r>
    </w:p>
    <w:p>
      <w:pPr>
        <w:spacing w:after="0" w:line="218" w:lineRule="exact"/>
        <w:rPr>
          <w:sz w:val="20"/>
          <w:szCs w:val="20"/>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Energy Efficiency and Greenhouse Gas Reduction</w:t>
      </w:r>
    </w:p>
    <w:p>
      <w:pPr>
        <w:spacing w:after="0" w:line="121" w:lineRule="exact"/>
        <w:rPr>
          <w:sz w:val="20"/>
          <w:szCs w:val="20"/>
          <w:color w:val="auto"/>
        </w:rPr>
      </w:pPr>
    </w:p>
    <w:p>
      <w:pPr>
        <w:ind w:left="120" w:right="140" w:firstLine="440"/>
        <w:spacing w:after="0" w:line="271" w:lineRule="auto"/>
        <w:rPr>
          <w:sz w:val="20"/>
          <w:szCs w:val="20"/>
          <w:color w:val="auto"/>
        </w:rPr>
      </w:pPr>
      <w:r>
        <w:rPr>
          <w:rFonts w:ascii="Arial" w:cs="Arial" w:eastAsia="Arial" w:hAnsi="Arial"/>
          <w:sz w:val="17"/>
          <w:szCs w:val="17"/>
          <w:color w:val="auto"/>
        </w:rPr>
        <w:t>The IMO now has mandatory measures for an international greenhouse gas (“GHG”) reduction regime for a global industry sector, and recent activity indicates continued interest and regulation in this area in the coming years. Amendments to MARPOL Annex VI included energy efficiency measures that took effect on January 1, 2013 and apply to all ships of 400 gross tonnage and above. A major component of this GHG regime is the development of a ship energy efficiency management plan (“SEEMP”), with which vessels across the industry must comply. Vessel SEEMPs were required to be updated by December 31, 2018 to include data collection processes and vessels were required to begin collecting data on fuel oil consumption on January 1, 2019. In November 2020, MEPC approved draft amendments to MARPOL Annex VI concerning mandatory goal-based technical and operational measures to reduce carbon intensity of international shipping, with a view to adoption at the MEPC 76 meeting in June 2021. If adopted, they would enter into force on January 1, 2023.</w:t>
      </w:r>
    </w:p>
    <w:p>
      <w:pPr>
        <w:spacing w:after="0" w:line="201" w:lineRule="exact"/>
        <w:rPr>
          <w:sz w:val="20"/>
          <w:szCs w:val="20"/>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ISPS Code</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 2002, following the September 11 terrorist attacks, SOLAS was amended to impose detailed security obligations on vessels and port authorities, most of which are contained in the ISPS Code, which is Chapter XI-2 of SOLAS. Vessels demonstrate compliance with the ISPS Code by having an International Ship Security Certificate issued by their flag State.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Among the various requirements are:</w:t>
      </w:r>
    </w:p>
    <w:p>
      <w:pPr>
        <w:spacing w:after="0" w:line="131" w:lineRule="exact"/>
        <w:rPr>
          <w:sz w:val="20"/>
          <w:szCs w:val="20"/>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On-board installation of automatic information systems to enhance vessel-to-vessel and vessel-to-shore communications;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On-board installation of ship security alert systems;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Development of Vessel Security Plans;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Appointment of a Ship Security Officer and a Company Security Officer;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Compliance with Flag State’s security certification requirements.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20"/>
          </w:cols>
          <w:pgMar w:left="320" w:top="459"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Applicable U.S. Laws</w:t>
      </w:r>
    </w:p>
    <w:p>
      <w:pPr>
        <w:spacing w:after="0" w:line="127" w:lineRule="exact"/>
        <w:rPr>
          <w:sz w:val="20"/>
          <w:szCs w:val="20"/>
          <w:color w:val="auto"/>
        </w:rPr>
      </w:pPr>
    </w:p>
    <w:p>
      <w:pPr>
        <w:ind w:left="1080" w:hanging="424"/>
        <w:spacing w:after="0"/>
        <w:tabs>
          <w:tab w:leader="none" w:pos="108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The Act to Prevention Pollution from Ships</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Act to Prevent Pollution from Ships (“APPS”) and corresponding U.S. Coast Guard regulations implement several MARPOL annexes in the United States. Violations of MARPOL, APPS, or the implementing regulations can result in liability for civil and/or criminal penalties. Numerous vessel owners and operators, as well as individual ship officers and shoreside technical personnel have been criminally prosecuted for APPS violations, which may result in significant fines and imprisonment for ship officers.</w:t>
      </w:r>
    </w:p>
    <w:p>
      <w:pPr>
        <w:spacing w:after="0" w:line="210" w:lineRule="exact"/>
        <w:rPr>
          <w:sz w:val="20"/>
          <w:szCs w:val="20"/>
          <w:color w:val="auto"/>
        </w:rPr>
      </w:pPr>
    </w:p>
    <w:p>
      <w:pPr>
        <w:ind w:left="1080" w:hanging="424"/>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Clean Water Act, National Invasive Species Act, Vessel General Permit, and Vessel Incidental Discharge Act.</w:t>
      </w:r>
    </w:p>
    <w:p>
      <w:pPr>
        <w:spacing w:after="0" w:line="121" w:lineRule="exact"/>
        <w:rPr>
          <w:sz w:val="20"/>
          <w:szCs w:val="20"/>
          <w:color w:val="auto"/>
        </w:rPr>
      </w:pPr>
    </w:p>
    <w:p>
      <w:pPr>
        <w:ind w:left="120" w:right="740" w:firstLine="440"/>
        <w:spacing w:after="0" w:line="308" w:lineRule="auto"/>
        <w:rPr>
          <w:sz w:val="20"/>
          <w:szCs w:val="20"/>
          <w:color w:val="auto"/>
        </w:rPr>
      </w:pPr>
      <w:r>
        <w:rPr>
          <w:rFonts w:ascii="Arial" w:cs="Arial" w:eastAsia="Arial" w:hAnsi="Arial"/>
          <w:sz w:val="17"/>
          <w:szCs w:val="17"/>
          <w:color w:val="auto"/>
        </w:rPr>
        <w:t>The Clean Water Act (“CWA”) prohibits the discharge of oil or hazardous substances in U.S. navigable waters and imposes penalties for unauthorized discharges. The CWA also imposes substantial liability for the costs of removal, remediation and damages.</w:t>
      </w:r>
    </w:p>
    <w:p>
      <w:pPr>
        <w:spacing w:after="0" w:line="146"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The United States is not a party to the BWM Convention discussed above. Instead, ballast water operations are governed by the National Invasive Species Act (“NISA”) and U.S. Coast Guard regulations mandating ballast water management practices for all vessels equipped with ballast water tanks entering U.S. waters, as well as the Vessel General Permit issued by the U.S. Environmental Protection Agency (“EPA”) under the CWA. In addition, through the CWA certification provisions that allow U.S. states to place additional conditions on EPA’s Vessel General Permit, a number of states have proposed or implemented a variety of stricter ballast water requirements including, in some states, specific treatment standards.</w:t>
      </w:r>
    </w:p>
    <w:p>
      <w:pPr>
        <w:spacing w:after="0" w:line="161" w:lineRule="exact"/>
        <w:rPr>
          <w:sz w:val="20"/>
          <w:szCs w:val="20"/>
          <w:color w:val="auto"/>
        </w:rPr>
      </w:pPr>
    </w:p>
    <w:p>
      <w:pPr>
        <w:ind w:left="120" w:right="320" w:firstLine="440"/>
        <w:spacing w:after="0" w:line="255" w:lineRule="auto"/>
        <w:rPr>
          <w:sz w:val="20"/>
          <w:szCs w:val="20"/>
          <w:color w:val="auto"/>
        </w:rPr>
      </w:pPr>
      <w:r>
        <w:rPr>
          <w:rFonts w:ascii="Arial" w:cs="Arial" w:eastAsia="Arial" w:hAnsi="Arial"/>
          <w:sz w:val="18"/>
          <w:szCs w:val="18"/>
          <w:color w:val="auto"/>
        </w:rPr>
        <w:t>Depending on a vessel’s compliance date for installation of a U.S. Coast Guard type-approved ballast water management system, these requirements may be met by performing mid-ocean ballast exchange, by retaining ballast water onboard the vessel, or by using another ballast water management system authorized by the U.S. Coast Guard. In the near future, ballast exchange will no longer be permissible. These U.S. Coast Guard regulations and EPA’s Vessel General Permit, however, will ultimately be replaced with the new regulatory regime being developed under Vessel Incidental Discharge Act (“VIDA”) signed into law on December 4, 2018, which is expected to contain similar, though possibly more stringent, requirements.</w:t>
      </w:r>
    </w:p>
    <w:p>
      <w:pPr>
        <w:spacing w:after="0" w:line="192" w:lineRule="exact"/>
        <w:rPr>
          <w:sz w:val="20"/>
          <w:szCs w:val="20"/>
          <w:color w:val="auto"/>
        </w:rPr>
      </w:pPr>
    </w:p>
    <w:p>
      <w:pPr>
        <w:ind w:left="120" w:right="60" w:firstLine="440"/>
        <w:spacing w:after="0" w:line="289" w:lineRule="auto"/>
        <w:rPr>
          <w:sz w:val="20"/>
          <w:szCs w:val="20"/>
          <w:color w:val="auto"/>
        </w:rPr>
      </w:pPr>
      <w:r>
        <w:rPr>
          <w:rFonts w:ascii="Arial" w:cs="Arial" w:eastAsia="Arial" w:hAnsi="Arial"/>
          <w:sz w:val="16"/>
          <w:szCs w:val="16"/>
          <w:color w:val="auto"/>
        </w:rPr>
        <w:t>VIDA establishes a new framework for regulation of discharges incidental to the normal operation of commercial vessels into navigable waters of the United States, including management of ballast water. VIDA required the EPA to implement a final rule setting forth standards for incidental discharges, including ballast water, by December 4, 2020 and the U.S. Coast Guard to issue a final rule implementing the EPA’s standards by December 4, 2022. However, EPA missed the statutory deadline of December 4, 2020 and EPA’s final rule is not expected to be published for several months at best. As such, the overall implementation of VIDA will be delayed, including the U.S. Coast Guard’s implementation of EPA’s final rule on standards. Implementation of VIDA is expected to create more uniformity in state and federal regulation of incidental vessel discharges and thus is expected to result in a simplification of the current patch-work of federal, state and local ballast water regulations in the United States. However, the relevant standards and regulations implementing those standards are expected to take at least until sometime in 2023, and it is ultimately unclear what discharge limits may apply to discharges under VIDA, as well as how certain permissible state-specific standards may be implemented.</w:t>
      </w:r>
    </w:p>
    <w:p>
      <w:pPr>
        <w:spacing w:after="0" w:line="166" w:lineRule="exact"/>
        <w:rPr>
          <w:sz w:val="20"/>
          <w:szCs w:val="20"/>
          <w:color w:val="auto"/>
        </w:rPr>
      </w:pPr>
    </w:p>
    <w:p>
      <w:pPr>
        <w:jc w:val="both"/>
        <w:ind w:left="120" w:right="200" w:firstLine="440"/>
        <w:spacing w:after="0" w:line="287" w:lineRule="auto"/>
        <w:rPr>
          <w:sz w:val="20"/>
          <w:szCs w:val="20"/>
          <w:color w:val="auto"/>
        </w:rPr>
      </w:pPr>
      <w:r>
        <w:rPr>
          <w:rFonts w:ascii="Arial" w:cs="Arial" w:eastAsia="Arial" w:hAnsi="Arial"/>
          <w:sz w:val="16"/>
          <w:szCs w:val="16"/>
          <w:color w:val="auto"/>
        </w:rPr>
        <w:t>More specifically, on October 26, 2020, the EPA issued its Notice of Proposed Rulemaking – Vessel Incidental Discharge National Standards of Performance, which is the first step toward the final standards and regulations. The proposed rule would establish both general and specific discharge standards. The general discharge standards are preventative in nature and apply to all incidental discharges. They are organized into three categories:</w:t>
      </w:r>
    </w:p>
    <w:p>
      <w:pPr>
        <w:spacing w:after="0" w:line="2" w:lineRule="exact"/>
        <w:rPr>
          <w:sz w:val="20"/>
          <w:szCs w:val="20"/>
          <w:color w:val="auto"/>
        </w:rPr>
      </w:pPr>
    </w:p>
    <w:p>
      <w:pPr>
        <w:ind w:left="120" w:right="100" w:hanging="4"/>
        <w:spacing w:after="0" w:line="288" w:lineRule="auto"/>
        <w:tabs>
          <w:tab w:leader="none" w:pos="375" w:val="left"/>
        </w:tabs>
        <w:numPr>
          <w:ilvl w:val="0"/>
          <w:numId w:val="66"/>
        </w:numPr>
        <w:rPr>
          <w:rFonts w:ascii="Arial" w:cs="Arial" w:eastAsia="Arial" w:hAnsi="Arial"/>
          <w:sz w:val="16"/>
          <w:szCs w:val="16"/>
          <w:color w:val="auto"/>
        </w:rPr>
      </w:pPr>
      <w:r>
        <w:rPr>
          <w:rFonts w:ascii="Arial" w:cs="Arial" w:eastAsia="Arial" w:hAnsi="Arial"/>
          <w:sz w:val="16"/>
          <w:szCs w:val="16"/>
          <w:color w:val="auto"/>
        </w:rPr>
        <w:t>general operation and maintenance; (2) biofouling management; and (3) oil management. These general standards mandate overall minimization of discharges and prescribe best management practices toward achieving this goal. No training or education requirements are included, as these will be set by the U.S. Coast Guard in its rulemaking once EPA’s standards are finalized. EPA’s proposal covers 20 incidental discharges from vessels, down from 27 covered by the 2013 VGP. Importantly, EPA did not significantly reduce the number of discharges covered, rather combined several discharges into one, taking a more systematic approach to managing the discharges. Two years after the EPA publishes its final standard, the U.S. Coast Guard is required to develop corresponding implementation, compliance and enforcement regulations for those standards, including any requirements governing the design, construction, testing, approval, installation and use of devices necessary to achieve the EPA standards.</w:t>
      </w:r>
    </w:p>
    <w:p>
      <w:pPr>
        <w:spacing w:after="0" w:line="191" w:lineRule="exact"/>
        <w:rPr>
          <w:sz w:val="20"/>
          <w:szCs w:val="20"/>
          <w:color w:val="auto"/>
        </w:rPr>
      </w:pPr>
    </w:p>
    <w:p>
      <w:pPr>
        <w:ind w:left="1080" w:hanging="424"/>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Oil Pollution Act of 1990 and State Law Regarding Oil Pollution Liability</w:t>
      </w:r>
    </w:p>
    <w:p>
      <w:pPr>
        <w:spacing w:after="0" w:line="121"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United States has a comprehensive regulatory and liability regime for the protection and cleanup of the environment from oil spills from all vessels, including cargo or bunker oil spills from tankers. This regime is set forth in the Oil Pollution Act of 1990, or “OPA.”</w:t>
      </w:r>
    </w:p>
    <w:p>
      <w:pPr>
        <w:spacing w:after="0" w:line="170"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OPA applies to owners and operators whose vessels trade in the United States, its territories and possessions or whose vessels operate in United States waters. Under OPA, vessel owners, operators and bareboat charterers are “responsible parties” and are jointly, severally and strictly liable for all containment and clean-up costs, as well as damages, arising from discharges or substantial threats of discharges, of oil from their vessels unless the spill results solely from the act or omission of a third party, an act of God or an act of war, which is determined after-the-fact. As such, responsible parties must respond to a spill immediately irrespective of fault.</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20"/>
          </w:cols>
          <w:pgMar w:left="32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296" w:lineRule="auto"/>
        <w:rPr>
          <w:sz w:val="20"/>
          <w:szCs w:val="20"/>
          <w:color w:val="auto"/>
        </w:rPr>
      </w:pPr>
      <w:r>
        <w:rPr>
          <w:rFonts w:ascii="Arial" w:cs="Arial" w:eastAsia="Arial" w:hAnsi="Arial"/>
          <w:sz w:val="16"/>
          <w:szCs w:val="16"/>
          <w:color w:val="auto"/>
        </w:rPr>
        <w:t>OPA liability limits are periodically adjusted for inflation, and the U.S. Coast Guard issued a final rule on August 13, 2019 to reflect increases in the Consumer Price Index, which resulted in higher liability limits. With this adjustment, OPA currently limits liability of the responsible party for non-tank vessels to $1,200 per gross ton or $997,100, whichever is greater. Under OPA, these liability limits do not apply if an incident was directly caused by violation of applicable U.S. federal safety, construction or operating regulations or by a responsible party’s gross negligence or willful misconduct, or if the responsible party fails or refuses to report the incident or to cooperate and assist in connection with oil removal activities.</w:t>
      </w:r>
    </w:p>
    <w:p>
      <w:pPr>
        <w:spacing w:after="0" w:line="161" w:lineRule="exact"/>
        <w:rPr>
          <w:sz w:val="20"/>
          <w:szCs w:val="20"/>
          <w:color w:val="auto"/>
        </w:rPr>
      </w:pPr>
    </w:p>
    <w:p>
      <w:pPr>
        <w:ind w:left="120" w:right="160" w:firstLine="440"/>
        <w:spacing w:after="0" w:line="296" w:lineRule="auto"/>
        <w:rPr>
          <w:sz w:val="20"/>
          <w:szCs w:val="20"/>
          <w:color w:val="auto"/>
        </w:rPr>
      </w:pPr>
      <w:r>
        <w:rPr>
          <w:rFonts w:ascii="Arial" w:cs="Arial" w:eastAsia="Arial" w:hAnsi="Arial"/>
          <w:sz w:val="16"/>
          <w:szCs w:val="16"/>
          <w:color w:val="auto"/>
        </w:rPr>
        <w:t>Under OPA, an owner or operator of a fleet of vessels is required only to demonstrate evidence of financial responsibility in an amount sufficient to cover the vessel in the fleet having the greatest maximum liability under OPA. The Certificate of Financial Responsibility (“COFR”) program has been created by the U.S. Coast Guard to ensure that vessels carrying oil as cargo or fuel in the U.S. waters have the financial ability to pay for removal costs and damages resulting from an oil spill or threat of a spill up to their liability limits, which are based on the gross tonnage of our vessels. These limits are subject to annual increases. It is possible for our liability limits to be broken as discussed above, which could expose us to unlimited liability.</w:t>
      </w:r>
    </w:p>
    <w:p>
      <w:pPr>
        <w:spacing w:after="0" w:line="161"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A COFR is issued in the name of the company/person financially responsible in the event of a spill or threat of a spill and this is usually the owning company or operator of the vessel. Once they have shown the capability to pay clean-up and damage costs up to the liability limits required by OPA, and a guaranty is issued and then provided to the U.S. Coast Guard, the U.S. Coast Guard will issue a COFR. With a few limited exceptions (not applicable to Navios vessels), vessels greater than 300 gross tons and vessels of any size that are transferring oil or cargoes between vessels or shipping oil in the Exclusive Economic Zone (EEZ) are required to comply with the COFR regulations in order to operate in U.S. waters.</w:t>
      </w:r>
    </w:p>
    <w:p>
      <w:pPr>
        <w:spacing w:after="0" w:line="161" w:lineRule="exact"/>
        <w:rPr>
          <w:sz w:val="20"/>
          <w:szCs w:val="20"/>
          <w:color w:val="auto"/>
        </w:rPr>
      </w:pPr>
    </w:p>
    <w:p>
      <w:pPr>
        <w:jc w:val="both"/>
        <w:ind w:left="120" w:right="60" w:firstLine="440"/>
        <w:spacing w:after="0" w:line="311" w:lineRule="auto"/>
        <w:rPr>
          <w:sz w:val="20"/>
          <w:szCs w:val="20"/>
          <w:color w:val="auto"/>
        </w:rPr>
      </w:pPr>
      <w:r>
        <w:rPr>
          <w:rFonts w:ascii="Arial" w:cs="Arial" w:eastAsia="Arial" w:hAnsi="Arial"/>
          <w:sz w:val="16"/>
          <w:szCs w:val="16"/>
          <w:color w:val="auto"/>
        </w:rPr>
        <w:t>The guarantor used throughout the Navios fleet is SIGCO / The Shipowners Insurance and Guaranty Company. SIGCO issues the guaranty noted above and confirms that if the responsible party does not respond to an oil spill or threat of a spill, the guarantor will be called upon to provide the funds to do so. This would be a rare occurrence because any guaranty issued by SIGCO is contingent on protection and indemnity cover.</w:t>
      </w:r>
    </w:p>
    <w:p>
      <w:pPr>
        <w:spacing w:after="0" w:line="149" w:lineRule="exact"/>
        <w:rPr>
          <w:sz w:val="20"/>
          <w:szCs w:val="20"/>
          <w:color w:val="auto"/>
        </w:rPr>
      </w:pPr>
    </w:p>
    <w:p>
      <w:pPr>
        <w:jc w:val="both"/>
        <w:ind w:left="120" w:right="260" w:firstLine="440"/>
        <w:spacing w:after="0" w:line="263" w:lineRule="auto"/>
        <w:rPr>
          <w:sz w:val="20"/>
          <w:szCs w:val="20"/>
          <w:color w:val="auto"/>
        </w:rPr>
      </w:pPr>
      <w:r>
        <w:rPr>
          <w:rFonts w:ascii="Arial" w:cs="Arial" w:eastAsia="Arial" w:hAnsi="Arial"/>
          <w:sz w:val="18"/>
          <w:szCs w:val="18"/>
          <w:color w:val="auto"/>
        </w:rPr>
        <w:t>The COFR is renewed on a three-year basis whereas the COFR guaranty is renewed annually. The U.S. Coast Guard checks that a vessel has a valid COFR prior to or upon entering the U.S. waters. Some states have COFR requirements in addition to the federal requirement under OPA, which may be more stringent than the requirement under OPA.</w:t>
      </w:r>
    </w:p>
    <w:p>
      <w:pPr>
        <w:spacing w:after="0" w:line="184" w:lineRule="exact"/>
        <w:rPr>
          <w:sz w:val="20"/>
          <w:szCs w:val="20"/>
          <w:color w:val="auto"/>
        </w:rPr>
      </w:pPr>
    </w:p>
    <w:p>
      <w:pPr>
        <w:ind w:left="120" w:right="400" w:firstLine="440"/>
        <w:spacing w:after="0" w:line="286" w:lineRule="auto"/>
        <w:rPr>
          <w:sz w:val="20"/>
          <w:szCs w:val="20"/>
          <w:color w:val="auto"/>
        </w:rPr>
      </w:pPr>
      <w:r>
        <w:rPr>
          <w:rFonts w:ascii="Arial" w:cs="Arial" w:eastAsia="Arial" w:hAnsi="Arial"/>
          <w:sz w:val="17"/>
          <w:szCs w:val="17"/>
          <w:color w:val="auto"/>
        </w:rPr>
        <w:t>Trading in the US without a valid COFR may result in the vessel being detained and/or fined up to USD 48,192.00 per day or prevented from entering U.S. ports or U.S. protectorates until the COFR is in place, or possible seizure by, and forfeiture to, the United States. We have provided satisfactory evidence of financial responsibility to the U.S. Coast Guard for all of our vessels and all have valid COFRs.</w:t>
      </w:r>
    </w:p>
    <w:p>
      <w:pPr>
        <w:spacing w:after="0" w:line="165" w:lineRule="exact"/>
        <w:rPr>
          <w:sz w:val="20"/>
          <w:szCs w:val="20"/>
          <w:color w:val="auto"/>
        </w:rPr>
      </w:pPr>
    </w:p>
    <w:p>
      <w:pPr>
        <w:jc w:val="both"/>
        <w:ind w:left="120" w:right="660" w:firstLine="440"/>
        <w:spacing w:after="0" w:line="263" w:lineRule="auto"/>
        <w:rPr>
          <w:sz w:val="20"/>
          <w:szCs w:val="20"/>
          <w:color w:val="auto"/>
        </w:rPr>
      </w:pPr>
      <w:r>
        <w:rPr>
          <w:rFonts w:ascii="Arial" w:cs="Arial" w:eastAsia="Arial" w:hAnsi="Arial"/>
          <w:sz w:val="18"/>
          <w:szCs w:val="18"/>
          <w:color w:val="auto"/>
        </w:rPr>
        <w:t>In addition to potential liability under OPA, individual states may impose their own and more stringent liability regimes with regard to oil pollution incidents occurring within their boundaries. Some states’ environmental laws impose unlimited liability for oil spills and contain more stringent financial responsibility and contingency planning requirements.</w:t>
      </w:r>
    </w:p>
    <w:p>
      <w:pPr>
        <w:spacing w:after="0" w:line="207" w:lineRule="exact"/>
        <w:rPr>
          <w:sz w:val="20"/>
          <w:szCs w:val="20"/>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Comprehensive Environmental Response, Compensation and Liability Act</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Comprehensive Environmental Response, Compensation, and Liability Act (“CERCLA”) contains a liability regime and provides for cleanup, removal and natural resource damages for the release of hazardous substances (other than oil) whether on land or at sea. Under U.S. law, certain petroleum products which may be carried by our fleet are not considered “oil” and thus are hazardous substances regulated by CERCLA. Thus, in some cases, CERCLA could be applicable to potential cargo spills from our vessels rather than OPA.</w:t>
      </w:r>
    </w:p>
    <w:p>
      <w:pPr>
        <w:spacing w:after="0" w:line="187" w:lineRule="exact"/>
        <w:rPr>
          <w:sz w:val="20"/>
          <w:szCs w:val="20"/>
          <w:color w:val="auto"/>
        </w:rPr>
      </w:pPr>
    </w:p>
    <w:p>
      <w:pPr>
        <w:jc w:val="both"/>
        <w:ind w:left="120" w:right="40" w:firstLine="440"/>
        <w:spacing w:after="0" w:line="279" w:lineRule="auto"/>
        <w:rPr>
          <w:sz w:val="20"/>
          <w:szCs w:val="20"/>
          <w:color w:val="auto"/>
        </w:rPr>
      </w:pPr>
      <w:r>
        <w:rPr>
          <w:rFonts w:ascii="Arial" w:cs="Arial" w:eastAsia="Arial" w:hAnsi="Arial"/>
          <w:sz w:val="17"/>
          <w:szCs w:val="17"/>
          <w:color w:val="auto"/>
        </w:rPr>
        <w:t>Under CERCLA, the owner or operator of a vessel from which there is a release or threatened release of a hazardous substance is liable for certain removal costs, other remedial action, damages due to injury of natural resources, and the costs of any required health assessment for releases that expose individuals to hazardous substances. Liability for any vessel that carries any hazardous substance as cargo or residue is limited to the greater of $300 per gross ton or $5 million. For any other vessel, the limitation is the greater of $300 per gross ton or $500,000.</w:t>
      </w:r>
    </w:p>
    <w:p>
      <w:pPr>
        <w:spacing w:after="0" w:line="171" w:lineRule="exact"/>
        <w:rPr>
          <w:sz w:val="20"/>
          <w:szCs w:val="20"/>
          <w:color w:val="auto"/>
        </w:rPr>
      </w:pPr>
    </w:p>
    <w:p>
      <w:pPr>
        <w:ind w:left="120" w:right="220" w:firstLine="440"/>
        <w:spacing w:after="0" w:line="279" w:lineRule="auto"/>
        <w:rPr>
          <w:sz w:val="20"/>
          <w:szCs w:val="20"/>
          <w:color w:val="auto"/>
        </w:rPr>
      </w:pPr>
      <w:r>
        <w:rPr>
          <w:rFonts w:ascii="Arial" w:cs="Arial" w:eastAsia="Arial" w:hAnsi="Arial"/>
          <w:sz w:val="17"/>
          <w:szCs w:val="17"/>
          <w:color w:val="auto"/>
        </w:rPr>
        <w:t>These liability limits do not apply if the release resulted from willful misconduct or willful negligence within the privity or knowledge of the responsible person, or from a violation of applicable safety, construction, or operating standards or regulations within the privity or knowledge of the responsible person. In addition, the liability limits also do not apply if the responsible person fails to provide all reasonable cooperation and assistance requested by a responsible public official in connection with response activities conducted under the National Contingency Plan.</w:t>
      </w:r>
    </w:p>
    <w:p>
      <w:pPr>
        <w:spacing w:after="0" w:line="171" w:lineRule="exact"/>
        <w:rPr>
          <w:sz w:val="20"/>
          <w:szCs w:val="20"/>
          <w:color w:val="auto"/>
        </w:rPr>
      </w:pPr>
    </w:p>
    <w:p>
      <w:pPr>
        <w:ind w:left="120" w:right="360" w:firstLine="440"/>
        <w:spacing w:after="0" w:line="342" w:lineRule="auto"/>
        <w:rPr>
          <w:sz w:val="20"/>
          <w:szCs w:val="20"/>
          <w:color w:val="auto"/>
        </w:rPr>
      </w:pPr>
      <w:r>
        <w:rPr>
          <w:rFonts w:ascii="Arial" w:cs="Arial" w:eastAsia="Arial" w:hAnsi="Arial"/>
          <w:sz w:val="16"/>
          <w:szCs w:val="16"/>
          <w:color w:val="auto"/>
        </w:rPr>
        <w:t>Further, any person who is liable for a release or threat of release, and who fails to provide removal or remedial action ordered by the EPA is subject to punitive damages in an amount equal to three times the costs incurred by the federal Superfund trust fund as a result of such failure to act.</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40"/>
          </w:cols>
          <w:pgMar w:left="32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80" w:hanging="424"/>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Clean Air Act and Emissions Regulations</w:t>
      </w:r>
    </w:p>
    <w:p>
      <w:pPr>
        <w:spacing w:after="0" w:line="121"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Federal Clean Air Act (“CAA”) requires the EPA to develop standards applicable to emissions of volatile organic compounds and other air contaminants. Our vessels are subject to CAA vapor control and recovery standards (“VCS”) for cleaning fuel tanks and conducting other operations in regulated port areas.</w:t>
      </w:r>
    </w:p>
    <w:p>
      <w:pPr>
        <w:spacing w:after="0" w:line="184"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Also, under the CAA, since 1990 the U.S. Coast Guard has regulated the safety of VCSs that are required under EPA and state rules. Our vessels operating in regulated port areas have installed VCSs that are compliant with EPA, state and U.S. Coast Guard requirements. The U.S. Coast Guard has adopted regulations that made its VCS requirements more compatible with new EPA and State regulations, reflected changes in VCS technology, and codified existing U.S. Coast Guard guidelines.</w:t>
      </w:r>
    </w:p>
    <w:p>
      <w:pPr>
        <w:spacing w:after="0" w:line="210" w:lineRule="exact"/>
        <w:rPr>
          <w:sz w:val="20"/>
          <w:szCs w:val="20"/>
          <w:color w:val="auto"/>
        </w:rPr>
      </w:pPr>
    </w:p>
    <w:p>
      <w:pPr>
        <w:ind w:left="1080" w:hanging="424"/>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State Laws</w:t>
      </w:r>
    </w:p>
    <w:p>
      <w:pPr>
        <w:spacing w:after="0" w:line="121"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In the United States, there is always a possibility that state law could be more stringent than federal law. Such is the case with certain state laws concerning marine environmental protection. A few examples include:</w:t>
      </w:r>
    </w:p>
    <w:p>
      <w:pPr>
        <w:spacing w:after="0" w:line="76" w:lineRule="exact"/>
        <w:rPr>
          <w:sz w:val="20"/>
          <w:szCs w:val="20"/>
          <w:color w:val="auto"/>
        </w:rPr>
      </w:pPr>
    </w:p>
    <w:p>
      <w:pPr>
        <w:ind w:left="1080" w:hanging="424"/>
        <w:spacing w:after="0" w:line="277"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California adopted more stringent low sulfur fuel requirements within California-regulated waters, requiring marine gas oil and prohibiting exhaust gas cleaning systems.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California also requires the use of shore power or equivalent emissions reductions strategies for vessels at all California ports.</w:t>
      </w:r>
    </w:p>
    <w:p>
      <w:pPr>
        <w:spacing w:after="0" w:line="130" w:lineRule="exact"/>
        <w:rPr>
          <w:rFonts w:ascii="Arial" w:cs="Arial" w:eastAsia="Arial" w:hAnsi="Arial"/>
          <w:sz w:val="18"/>
          <w:szCs w:val="18"/>
          <w:color w:val="auto"/>
        </w:rPr>
      </w:pPr>
    </w:p>
    <w:p>
      <w:pPr>
        <w:ind w:left="1080" w:right="120" w:hanging="424"/>
        <w:spacing w:after="0" w:line="263"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Vessel owners may in some instances incur liability on an even more stringent basis under state law in the particular state where the spillage occurred. For example, many U.S. states have unlimited liability and more stringent requirements for financial responsibility and contingency planning.</w:t>
      </w:r>
    </w:p>
    <w:p>
      <w:pPr>
        <w:spacing w:after="0" w:line="89" w:lineRule="exact"/>
        <w:rPr>
          <w:rFonts w:ascii="Arial" w:cs="Arial" w:eastAsia="Arial" w:hAnsi="Arial"/>
          <w:sz w:val="18"/>
          <w:szCs w:val="18"/>
          <w:color w:val="auto"/>
        </w:rPr>
      </w:pPr>
    </w:p>
    <w:p>
      <w:pPr>
        <w:ind w:left="1080" w:right="120" w:hanging="424"/>
        <w:spacing w:after="0" w:line="259"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Most states do not have comprehensive laws relating specifically to the discharge of hazardous substances into state waters as they do for oil discharges, but many states have general water pollution prevention laws that apply to hazardous substances and other materials and others have broadly written hazardous substance cleanup laws based on CERCLA that would provide a cause of action for discharges of hazardous substances from vessels.</w:t>
      </w:r>
    </w:p>
    <w:p>
      <w:pPr>
        <w:spacing w:after="0" w:line="209" w:lineRule="exact"/>
        <w:rPr>
          <w:rFonts w:ascii="Arial" w:cs="Arial" w:eastAsia="Arial" w:hAnsi="Arial"/>
          <w:sz w:val="18"/>
          <w:szCs w:val="18"/>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Ship Safety and Security Laws</w:t>
      </w:r>
    </w:p>
    <w:p>
      <w:pPr>
        <w:spacing w:after="0" w:line="121"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With respect to ship safety, the requirements contained in SOLAS and the ISM Code generally have been implemented into U.S. law and are largely captured within U.S. Coast Guard regulations.</w:t>
      </w:r>
    </w:p>
    <w:p>
      <w:pPr>
        <w:spacing w:after="0" w:line="170"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Ship security in the United States is governed primarily by the Marine Transportation Security Act of 2002 (“MTSA”). MTSA was implemented by U.S. Coast Guard regulations that imposed certain security requirements aboard vessels operating in waters subject to the jurisdiction of the United States.</w:t>
      </w:r>
    </w:p>
    <w:p>
      <w:pPr>
        <w:spacing w:after="0" w:line="184"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Because the MTSA regulations were intended to be aligned with international maritime security standards contained in the ISPS Code, the regulations exempt non-U.S.-flag vessels from MTSA vessel security measures, provided such vessels have on board a valid International Ship Security Certificate (“ISSC”) that attests to the vessel’s compliance with SOLAS security requirements and the ISPS Code.</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Applicable EU Laws</w:t>
      </w:r>
    </w:p>
    <w:p>
      <w:pPr>
        <w:spacing w:after="0" w:line="117" w:lineRule="exact"/>
        <w:rPr>
          <w:sz w:val="20"/>
          <w:szCs w:val="20"/>
          <w:color w:val="auto"/>
        </w:rPr>
      </w:pPr>
    </w:p>
    <w:p>
      <w:pPr>
        <w:ind w:left="120" w:right="160" w:firstLine="440"/>
        <w:spacing w:after="0" w:line="275" w:lineRule="auto"/>
        <w:rPr>
          <w:sz w:val="20"/>
          <w:szCs w:val="20"/>
          <w:color w:val="auto"/>
        </w:rPr>
      </w:pPr>
      <w:r>
        <w:rPr>
          <w:rFonts w:ascii="Arial" w:cs="Arial" w:eastAsia="Arial" w:hAnsi="Arial"/>
          <w:sz w:val="17"/>
          <w:szCs w:val="17"/>
          <w:color w:val="auto"/>
        </w:rPr>
        <w:t xml:space="preserve">European regulations in the maritime sector are in general based on international law. However, since the </w:t>
      </w:r>
      <w:r>
        <w:rPr>
          <w:rFonts w:ascii="Arial" w:cs="Arial" w:eastAsia="Arial" w:hAnsi="Arial"/>
          <w:sz w:val="17"/>
          <w:szCs w:val="17"/>
          <w:i w:val="1"/>
          <w:iCs w:val="1"/>
          <w:color w:val="auto"/>
        </w:rPr>
        <w:t>Erika</w:t>
      </w:r>
      <w:r>
        <w:rPr>
          <w:rFonts w:ascii="Arial" w:cs="Arial" w:eastAsia="Arial" w:hAnsi="Arial"/>
          <w:sz w:val="17"/>
          <w:szCs w:val="17"/>
          <w:color w:val="auto"/>
        </w:rPr>
        <w:t xml:space="preserve"> incident in 1999 and subsequent court decisions, the European Community has become increasingly active in the field of regulation of maritime safety and protection of the environment. It has been the driving force behind a number of amendments to MARPOL (including, for example, changes to accelerate the time-table for the phase-out of single hull tankers, and to prohibit the carriage in such tankers of heavy grades of oil), and if dissatisfied either with the extent of such amendments or with the time-table for their introduction it has been prepared to legislate on a unilateral basis.</w:t>
      </w:r>
    </w:p>
    <w:p>
      <w:pPr>
        <w:spacing w:after="0" w:line="176"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In some instances, EU regulations may impose burdens and costs on shipowners and operators beyond the requirements under international rules and standards.</w:t>
      </w:r>
    </w:p>
    <w:p>
      <w:pPr>
        <w:spacing w:after="0" w:line="193" w:lineRule="exact"/>
        <w:rPr>
          <w:sz w:val="20"/>
          <w:szCs w:val="20"/>
          <w:color w:val="auto"/>
        </w:rPr>
      </w:pPr>
    </w:p>
    <w:p>
      <w:pPr>
        <w:ind w:left="1080" w:hanging="424"/>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Liability for Pollution and Interaction between MARPOL and EU Law</w:t>
      </w:r>
    </w:p>
    <w:p>
      <w:pPr>
        <w:spacing w:after="0" w:line="121" w:lineRule="exact"/>
        <w:rPr>
          <w:sz w:val="20"/>
          <w:szCs w:val="20"/>
          <w:color w:val="auto"/>
        </w:rPr>
      </w:pPr>
    </w:p>
    <w:p>
      <w:pPr>
        <w:ind w:left="120" w:right="460" w:firstLine="440"/>
        <w:spacing w:after="0" w:line="259" w:lineRule="auto"/>
        <w:rPr>
          <w:sz w:val="20"/>
          <w:szCs w:val="20"/>
          <w:color w:val="auto"/>
        </w:rPr>
      </w:pPr>
      <w:r>
        <w:rPr>
          <w:rFonts w:ascii="Arial" w:cs="Arial" w:eastAsia="Arial" w:hAnsi="Arial"/>
          <w:sz w:val="18"/>
          <w:szCs w:val="18"/>
          <w:color w:val="auto"/>
        </w:rPr>
        <w:t>The EU has implemented certain EU-specific pollution laws, most notably a 2005 directive on ship-source pollution. This directive imposes imposing criminal sanctions for pollution caused by intent or recklessness (which would be an offense under MARPOL), as well as by “serious negligence.” The directive could therefore result in criminal liability being incurred in a European port state in circumstances where it may not be incurred in other jurisdictions.</w:t>
      </w:r>
    </w:p>
    <w:p>
      <w:pPr>
        <w:spacing w:after="0" w:line="210" w:lineRule="exact"/>
        <w:rPr>
          <w:sz w:val="20"/>
          <w:szCs w:val="20"/>
          <w:color w:val="auto"/>
        </w:rPr>
      </w:pPr>
    </w:p>
    <w:p>
      <w:pPr>
        <w:ind w:left="1080" w:hanging="424"/>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Regulation of Emissions and Emissions Trading System</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EU has a ship emissions regime. This regime primarily mirrors the IMO regime, but is more stringent than IMO regulations in some respects.</w:t>
      </w:r>
    </w:p>
    <w:p>
      <w:pPr>
        <w:sectPr>
          <w:pgSz w:w="11900" w:h="16838" w:orient="portrait"/>
          <w:cols w:equalWidth="0" w:num="1">
            <w:col w:w="11100"/>
          </w:cols>
          <w:pgMar w:left="320" w:top="459" w:right="479" w:bottom="1440" w:gutter="0" w:footer="0" w:header="0"/>
        </w:sectPr>
      </w:pPr>
    </w:p>
    <w:p>
      <w:pPr>
        <w:spacing w:after="0" w:line="181"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100"/>
          </w:cols>
          <w:pgMar w:left="320" w:top="459" w:right="479" w:bottom="1440" w:gutter="0" w:footer="0" w:header="0"/>
          <w:type w:val="continuous"/>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firstLine="440"/>
        <w:spacing w:after="0" w:line="281" w:lineRule="auto"/>
        <w:rPr>
          <w:sz w:val="20"/>
          <w:szCs w:val="20"/>
          <w:color w:val="auto"/>
        </w:rPr>
      </w:pPr>
      <w:r>
        <w:rPr>
          <w:rFonts w:ascii="Arial" w:cs="Arial" w:eastAsia="Arial" w:hAnsi="Arial"/>
          <w:sz w:val="17"/>
          <w:szCs w:val="17"/>
          <w:color w:val="auto"/>
        </w:rPr>
        <w:t>In December 2016, the EU signed into law the National Emissions Ceiling (“NEC”) Directive, which entered into force on December 31, 2016. The NEC required implementation by individual members States through particular laws in each State by June 30, 2018. The NEC aims to set stricter emissions limits on SO</w:t>
      </w:r>
      <w:r>
        <w:rPr>
          <w:rFonts w:ascii="Arial" w:cs="Arial" w:eastAsia="Arial" w:hAnsi="Arial"/>
          <w:sz w:val="14"/>
          <w:szCs w:val="14"/>
          <w:color w:val="auto"/>
        </w:rPr>
        <w:t>2</w:t>
      </w:r>
      <w:r>
        <w:rPr>
          <w:rFonts w:ascii="Arial" w:cs="Arial" w:eastAsia="Arial" w:hAnsi="Arial"/>
          <w:sz w:val="17"/>
          <w:szCs w:val="17"/>
          <w:color w:val="auto"/>
        </w:rPr>
        <w:t>, ammonia, non-methane volatile organic compounds, NOx and fine particulate (PM2.5) by setting new upper limits for emissions of these pollutants. While the NEC is not specifically directed toward the shipping industry, the EU specifically mentions the shipping industry in its announcement of the NEC as a contributor to emissions of PM2.5, SO</w:t>
      </w:r>
      <w:r>
        <w:rPr>
          <w:rFonts w:ascii="Arial" w:cs="Arial" w:eastAsia="Arial" w:hAnsi="Arial"/>
          <w:sz w:val="14"/>
          <w:szCs w:val="14"/>
          <w:color w:val="auto"/>
        </w:rPr>
        <w:t>2</w:t>
      </w:r>
      <w:r>
        <w:rPr>
          <w:rFonts w:ascii="Arial" w:cs="Arial" w:eastAsia="Arial" w:hAnsi="Arial"/>
          <w:sz w:val="17"/>
          <w:szCs w:val="17"/>
          <w:color w:val="auto"/>
        </w:rPr>
        <w:t xml:space="preserve"> and NOx.</w:t>
      </w:r>
    </w:p>
    <w:p>
      <w:pPr>
        <w:spacing w:after="0" w:line="152"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In February 2017, EU member states met to consider independently regulating the shipping industry under the Emissions Trading System (“ETS”), which requires certain businesses to report on carbon emissions and provides for a credit trading system for carbon allowances. On February 15, 2017, European Parliament voted in favor of a bill to include maritime shipping in the ETS by 2023 if the IMO has not promulgated a comparable system by 2021. In November 2017, the Council of Ministers, EU’s main decision-making body, agreed that Europe should act on shipping emissions from 2023 if the IMO fails to deliver effective global measures.</w:t>
      </w:r>
    </w:p>
    <w:p>
      <w:pPr>
        <w:spacing w:after="0" w:line="211" w:lineRule="exact"/>
        <w:rPr>
          <w:sz w:val="20"/>
          <w:szCs w:val="20"/>
          <w:color w:val="auto"/>
        </w:rPr>
      </w:pPr>
    </w:p>
    <w:p>
      <w:pPr>
        <w:ind w:left="1080" w:hanging="424"/>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Ship Recycling and Waste Shipment Regulations</w:t>
      </w:r>
    </w:p>
    <w:p>
      <w:pPr>
        <w:spacing w:after="0" w:line="121"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On December 31, 2018, EU-flagged vessels became subject to Regulation (EU) No. 1257/2013 of the European Parliament and of the Council of 20 November 2013 on ship recycling (the “EU Ship Recycling Regulation” or “ESRR”) and exempt from Regulation (EC) No. 1013/2006 of the European Parliament and of the Council of 14 June 2006 on shipments of waste (the “European Waste Shipment Regulation” or “EWSR”), which had previously governed their disposal and recycling. The EWSR continues to be applicable to Non-European Union Member State-flagged (“non-EU-flagged”) vessels.</w:t>
      </w:r>
    </w:p>
    <w:p>
      <w:pPr>
        <w:spacing w:after="0" w:line="188"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Under the ESRR, commercial EU-flagged vessels of 500 gross tonnage and above may be recycled only at shipyards included on the European List of Authorised Ship Recycling Facilities (the “European List”). The European List presently includes eight facilities in Turkey, but no facilities in the major ship recycling countries in Asia. The combined capacity of the European List facilities may prove insufficient to absorb the total recycling volume of EU-flagged vessels. This circumstance, taken in tandem with the possible decrease in cash sales, may result in longer wait times for divestment of recyclable vessels as well as downward pressure on the purchase prices offered by European List shipyards. Furthermore, facilities located in the major ship recycling countries generally offer significantly higher vessel purchase prices, and as such, the requirement that we utilize only European List shipyards may negatively impact revenue from the residual values of our vessels.</w:t>
      </w:r>
    </w:p>
    <w:p>
      <w:pPr>
        <w:spacing w:after="0" w:line="177"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In addition, the EWSR requires that non-EU-flagged ships departing from European Union ports be recycled only in Organisation for Economic Cooperation and Development (OECD) member countries. In March 2018, the Rotterdam District Court ruled that the sale of four recyclable vessels by third-party Dutch shipowner Seatrade to cash buyers, who then reflagged and resold the vessels to non-OECD country recycling yards, were effectively indirect sales to non-OECD country yards, in violation of the EWSR. If European Union Member State courts widely adopt this analysis, it may negatively impact revenue from the residual values of our vessels and we may be subject to a heightened risk of non-compliance, due diligence obligations and costs in instances in which we sell older ships to cash buyers.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Laws and International Standards to Stem Climate Change and Reduce Greenhouse Gas Emissions</w:t>
      </w:r>
    </w:p>
    <w:p>
      <w:pPr>
        <w:spacing w:after="0" w:line="11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In February 2005, the Kyoto Protocol to the United Nations Framework Convention on Climate Change (the “UNFCCC”) entered into force. Pursuant to the Kyoto Protocol, adopting countries are required to implement national programs to reduce emissions of certain gases, generally referred to as GHGs, which are suspected of contributing to global warming. Currently, the GHG emissions from international shipping do not come under the Kyoto Protocol.</w:t>
      </w:r>
    </w:p>
    <w:p>
      <w:pPr>
        <w:spacing w:after="0" w:line="187" w:lineRule="exact"/>
        <w:rPr>
          <w:sz w:val="20"/>
          <w:szCs w:val="20"/>
          <w:color w:val="auto"/>
        </w:rPr>
      </w:pPr>
    </w:p>
    <w:p>
      <w:pPr>
        <w:ind w:left="120" w:right="140" w:firstLine="440"/>
        <w:spacing w:after="0" w:line="272" w:lineRule="auto"/>
        <w:rPr>
          <w:sz w:val="20"/>
          <w:szCs w:val="20"/>
          <w:color w:val="auto"/>
        </w:rPr>
      </w:pPr>
      <w:r>
        <w:rPr>
          <w:rFonts w:ascii="Arial" w:cs="Arial" w:eastAsia="Arial" w:hAnsi="Arial"/>
          <w:sz w:val="17"/>
          <w:szCs w:val="17"/>
          <w:color w:val="auto"/>
        </w:rPr>
        <w:t>Some attention has been paid to GHGs in Europe. On June 28, 2013, the European Commission (“EC”) adopted a communication setting out a strategy for progressively including GHG emissions from maritime transport in the EU’s policy for reducing its overall GHG emissions. The first step proposed by the EC was an EU Regulation to an EU-wide system for the monitoring, reporting and verification of carbon dioxide emissions from large ships starting in 2018. The Regulation was adopted on April 29, 2015 and took effect on July 1, 2015, with monitoring, reporting and verification requirements beginning on January 1, 2018. This Regulation appears to be indicative of an intent to maintain pressure on the international negotiating process. The EC also adopted an Implementing Regulation, which entered into force in November 2016, setting templates for monitoring plans, emissions reports and compliance documents pursuant to Regulation 2015/757.</w:t>
      </w:r>
    </w:p>
    <w:p>
      <w:pPr>
        <w:spacing w:after="0" w:line="177"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There are varying approaches on whether to add additional regulations on GHG emissions in the United States, which has re-entered international commitments relating to GHG regulation. However, the Transportation &amp; Infrastructure Committee of the U.S. House of Representatives, in January 2020, held a hearing on “Decarbonizing the Maritime Industry,” which highlighted alleged health impacts of GHG, the IMO’s goal of decarbonization, and what next steps can be taken in reducing emissions from vessels. Further, in March 2020 legislation was introduced in the U.S. Congress which would have required emissions reductions of 80% below the 2005 emissions level. The bill would also have required each U.S. state to develop its own Strategic Action Plan for reducing greenhouse gas emissions. Although this bill did not become law, similar legislation has been introduced in the current Congress. Congressional Committees, including the subcommittee in the House of Representatives which oversees maritime</w:t>
      </w:r>
    </w:p>
    <w:p>
      <w:pPr>
        <w:sectPr>
          <w:pgSz w:w="11900" w:h="16838" w:orient="portrait"/>
          <w:cols w:equalWidth="0" w:num="1">
            <w:col w:w="11140"/>
          </w:cols>
          <w:pgMar w:left="320" w:top="459" w:right="439" w:bottom="1440" w:gutter="0" w:footer="0" w:header="0"/>
        </w:sectPr>
      </w:pP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140"/>
          </w:cols>
          <w:pgMar w:left="320" w:top="459" w:right="439" w:bottom="1440" w:gutter="0" w:footer="0" w:header="0"/>
          <w:type w:val="continuous"/>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commerce, have held hearings on the bill as well as its impacts on the maritime sector and transportation more broadly. The current legislation under consideration in the U.S. House of Representatives would aspire to reduce GHGs by at least 50 percent below 2005 levels by 2030, and achieve net-zero GHG emissions by 2050. The bill would also authorize changes to the standards used to regulate engines in vessels and incentivize the use of shore power while in port.</w:t>
      </w:r>
    </w:p>
    <w:p>
      <w:pPr>
        <w:spacing w:after="0" w:line="187"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It is notable that both bills targeted the transportation sector in particular for GHG regulation. In addition, the IMO has developed and intends to continue developing limits on emissions before 2023. The IMO is also considering its position on market-based measures through an expert working group. Among the numerous proposals being considered by the working group are the following: a port State levy based on the amount of fuel consumed by the vessel on its voyage to the port in question; and a global emissions trading scheme which would allocate emissions allowances and set an emissions cap, among others. The IMO’s current strategy encompasses a reduction in total GHG emissions from international shipping. The IMO’s goal is to reduce the total annual GHG emissions by at least 40% by 2030 compared to 2008, while, at the same time, pursuing efforts towards phasing them out entirely.</w:t>
      </w:r>
    </w:p>
    <w:p>
      <w:pPr>
        <w:spacing w:after="0" w:line="195"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In addition, the IMO has developed and intends to continue developing limits on emissions before 2023. The IMO is also considering its position on market-based measures through an expert working group. Among the numerous proposals being considered by the working group are the following: a port state levy based on the amount of fuel consumed by the vessel on its voyage to the port in question; and a global emissions trading scheme which would allocate emissions allowances and set an emissions cap, among others. The IMO’s current strategy encompasses a reduction in total GHG emissions from international shipping. The IMO’s goal is to reduce the total annual GHG emissions by at least 50% by 2050 compared to 2008, while, at the same time, pursuing efforts towards phasing them out entirely.</w:t>
      </w:r>
    </w:p>
    <w:p>
      <w:pPr>
        <w:spacing w:after="0" w:line="178" w:lineRule="exact"/>
        <w:rPr>
          <w:sz w:val="20"/>
          <w:szCs w:val="20"/>
          <w:color w:val="auto"/>
        </w:rPr>
      </w:pPr>
    </w:p>
    <w:p>
      <w:pPr>
        <w:ind w:left="120" w:right="80" w:firstLine="440"/>
        <w:spacing w:after="0" w:line="253" w:lineRule="auto"/>
        <w:rPr>
          <w:sz w:val="20"/>
          <w:szCs w:val="20"/>
          <w:color w:val="auto"/>
        </w:rPr>
      </w:pPr>
      <w:r>
        <w:rPr>
          <w:rFonts w:ascii="Arial" w:cs="Arial" w:eastAsia="Arial" w:hAnsi="Arial"/>
          <w:sz w:val="18"/>
          <w:szCs w:val="18"/>
          <w:color w:val="auto"/>
        </w:rPr>
        <w:t>The IMO has faced push back on its call to action on GHGs from industry in many countries. Despite this, work on GHG continues to be an important issue at the IMO, and recent indications show the potential for further regulation of GHG in shipping. Specifically, at the MEPC 75 meeting held November 16-20, 2020, draft regulations to cut the cargo intensity of existing ships were approved. The draft amendments will be put forward for formal adoption at MEPC 76, to be held in June 2021. Also, MEPC 75 adopted amendments to MARPOL, Annex VI to significantly strengthen the Energy Efficiency Design Index (“EEDI”) “phase 3” requirements, which are expected to enter into force on April 1, 2022. This means that new container ships and general cargo ships will have to be built significantly more energy efficient than the baseline. Further, MEPC will consider draft amendments to Chapter 4 of MARPOL Annex VI, which would regulate GHG beginning in 2023. MEPC additionally issued comments on the IMO’s “Fourth IMO GHG Study.” These developments signal continued and potentially increasing interest in GHG regulation from the IMO and the MEPC in particular.</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Classification, Inspection and Maintenance</w:t>
      </w:r>
    </w:p>
    <w:p>
      <w:pPr>
        <w:spacing w:after="0" w:line="121"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Every seagoing vessel must be inspected and approved by a classification society in order to be flagged in a specific country, obtain liability insurance, and legally operate. The classification society certifies that the vessel is “in class,” signifying that the vessel has been built and maintained in accordance with the rules of the classification society and complies with applicable rules and regulations of the vessel’s country of registry and the international conventions to which that country is a party. In addition, where surveys are required by international conventions and corresponding laws and ordinances of a flag state, the classification society will often undertake them on application or by official order, acting on behalf of the authorities concerned.</w:t>
      </w:r>
    </w:p>
    <w:p>
      <w:pPr>
        <w:spacing w:after="0" w:line="192"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classification society also undertakes, on request, other surveys and checks that are required by regulations and requirements of the flag state or port authority. These surveys are subject to agreements made in each individual case or to the regulations of the country concerned. For maintenance of the class, regular and extraordinary surveys of hull, machinery (including the electrical plant) and any special equipment classed are required to be performed subject to statutory requirements mandated by SOLAS as follows:</w:t>
      </w:r>
    </w:p>
    <w:p>
      <w:pPr>
        <w:spacing w:after="0" w:line="92" w:lineRule="exact"/>
        <w:rPr>
          <w:sz w:val="20"/>
          <w:szCs w:val="20"/>
          <w:color w:val="auto"/>
        </w:rPr>
      </w:pPr>
    </w:p>
    <w:p>
      <w:pPr>
        <w:ind w:left="1080" w:right="80" w:hanging="424"/>
        <w:spacing w:after="0" w:line="263"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 xml:space="preserve">Annual Surveys: </w:t>
      </w:r>
      <w:r>
        <w:rPr>
          <w:rFonts w:ascii="Arial" w:cs="Arial" w:eastAsia="Arial" w:hAnsi="Arial"/>
          <w:sz w:val="18"/>
          <w:szCs w:val="18"/>
          <w:color w:val="auto"/>
        </w:rPr>
        <w:t>For ocean-going ships, annual surveys are conducted for the hull and the machinery (including the electrical plant) and,</w:t>
      </w:r>
      <w:r>
        <w:rPr>
          <w:rFonts w:ascii="Arial" w:cs="Arial" w:eastAsia="Arial" w:hAnsi="Arial"/>
          <w:sz w:val="18"/>
          <w:szCs w:val="18"/>
          <w:i w:val="1"/>
          <w:iCs w:val="1"/>
          <w:color w:val="auto"/>
        </w:rPr>
        <w:t xml:space="preserve"> </w:t>
      </w:r>
      <w:r>
        <w:rPr>
          <w:rFonts w:ascii="Arial" w:cs="Arial" w:eastAsia="Arial" w:hAnsi="Arial"/>
          <w:sz w:val="18"/>
          <w:szCs w:val="18"/>
          <w:color w:val="auto"/>
        </w:rPr>
        <w:t>where applicable, for special equipment classed, at intervals of 12 months from the date of commencement of the class period indicated in the certificate.</w:t>
      </w:r>
    </w:p>
    <w:p>
      <w:pPr>
        <w:spacing w:after="0" w:line="89" w:lineRule="exact"/>
        <w:rPr>
          <w:rFonts w:ascii="Arial" w:cs="Arial" w:eastAsia="Arial" w:hAnsi="Arial"/>
          <w:sz w:val="18"/>
          <w:szCs w:val="18"/>
          <w:color w:val="auto"/>
        </w:rPr>
      </w:pPr>
    </w:p>
    <w:p>
      <w:pPr>
        <w:ind w:left="1080" w:right="60" w:hanging="424"/>
        <w:spacing w:after="0" w:line="342" w:lineRule="auto"/>
        <w:tabs>
          <w:tab w:leader="none" w:pos="1080" w:val="left"/>
        </w:tabs>
        <w:numPr>
          <w:ilvl w:val="0"/>
          <w:numId w:val="75"/>
        </w:numPr>
        <w:rPr>
          <w:rFonts w:ascii="Arial" w:cs="Arial" w:eastAsia="Arial" w:hAnsi="Arial"/>
          <w:sz w:val="16"/>
          <w:szCs w:val="16"/>
          <w:color w:val="auto"/>
        </w:rPr>
      </w:pPr>
      <w:r>
        <w:rPr>
          <w:rFonts w:ascii="Arial" w:cs="Arial" w:eastAsia="Arial" w:hAnsi="Arial"/>
          <w:sz w:val="16"/>
          <w:szCs w:val="16"/>
          <w:i w:val="1"/>
          <w:iCs w:val="1"/>
          <w:color w:val="auto"/>
        </w:rPr>
        <w:t xml:space="preserve">Intermediate Surveys: </w:t>
      </w:r>
      <w:r>
        <w:rPr>
          <w:rFonts w:ascii="Arial" w:cs="Arial" w:eastAsia="Arial" w:hAnsi="Arial"/>
          <w:sz w:val="16"/>
          <w:szCs w:val="16"/>
          <w:color w:val="auto"/>
        </w:rPr>
        <w:t>Extended annual surveys are referred to as intermediate surveys and typically are conducted two and a half years</w:t>
      </w:r>
      <w:r>
        <w:rPr>
          <w:rFonts w:ascii="Arial" w:cs="Arial" w:eastAsia="Arial" w:hAnsi="Arial"/>
          <w:sz w:val="16"/>
          <w:szCs w:val="16"/>
          <w:i w:val="1"/>
          <w:iCs w:val="1"/>
          <w:color w:val="auto"/>
        </w:rPr>
        <w:t xml:space="preserve"> </w:t>
      </w:r>
      <w:r>
        <w:rPr>
          <w:rFonts w:ascii="Arial" w:cs="Arial" w:eastAsia="Arial" w:hAnsi="Arial"/>
          <w:sz w:val="16"/>
          <w:szCs w:val="16"/>
          <w:color w:val="auto"/>
        </w:rPr>
        <w:t>after commissioning and each class renewal. Intermediate surveys may be carried out on the occasion of the second or third annual survey.</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20"/>
          </w:cols>
          <w:pgMar w:left="32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line="270" w:lineRule="auto"/>
        <w:tabs>
          <w:tab w:leader="none" w:pos="1080" w:val="left"/>
        </w:tabs>
        <w:numPr>
          <w:ilvl w:val="0"/>
          <w:numId w:val="76"/>
        </w:numPr>
        <w:rPr>
          <w:rFonts w:ascii="Arial" w:cs="Arial" w:eastAsia="Arial" w:hAnsi="Arial"/>
          <w:sz w:val="17"/>
          <w:szCs w:val="17"/>
          <w:color w:val="auto"/>
        </w:rPr>
      </w:pPr>
      <w:r>
        <w:rPr>
          <w:rFonts w:ascii="Arial" w:cs="Arial" w:eastAsia="Arial" w:hAnsi="Arial"/>
          <w:sz w:val="17"/>
          <w:szCs w:val="17"/>
          <w:i w:val="1"/>
          <w:iCs w:val="1"/>
          <w:color w:val="auto"/>
        </w:rPr>
        <w:t xml:space="preserve">Class Renewal Surveys: </w:t>
      </w:r>
      <w:r>
        <w:rPr>
          <w:rFonts w:ascii="Arial" w:cs="Arial" w:eastAsia="Arial" w:hAnsi="Arial"/>
          <w:sz w:val="17"/>
          <w:szCs w:val="17"/>
          <w:color w:val="auto"/>
        </w:rPr>
        <w:t>Class renewal surveys, also known as special surveys, are carried out for the ship’s hull, machinery (including the</w:t>
      </w:r>
      <w:r>
        <w:rPr>
          <w:rFonts w:ascii="Arial" w:cs="Arial" w:eastAsia="Arial" w:hAnsi="Arial"/>
          <w:sz w:val="17"/>
          <w:szCs w:val="17"/>
          <w:i w:val="1"/>
          <w:iCs w:val="1"/>
          <w:color w:val="auto"/>
        </w:rPr>
        <w:t xml:space="preserve"> </w:t>
      </w:r>
      <w:r>
        <w:rPr>
          <w:rFonts w:ascii="Arial" w:cs="Arial" w:eastAsia="Arial" w:hAnsi="Arial"/>
          <w:sz w:val="17"/>
          <w:szCs w:val="17"/>
          <w:color w:val="auto"/>
        </w:rPr>
        <w:t>electrical plant), and for any special equipment classed, at the intervals indicated by the character of classification for the hull. At the special survey, the vessel is thoroughly examined, including audio-gauging, to determine the thickness of its steel structure. Should the thickness be found to be less than class requirements, the classification society would prescribe steel renewals. The classification society may grant a one-year grace period for completion of the special survey under certain conditions. Substantial funds may have to be expended for steel renewals to pass a special survey if the vessel experiences excessive wear and tear. In lieu of the special survey every four or five years, depending on whether a grace period was granted, a shipowner has the option of arranging with the classification society for the vessel’s integrated hull or machinery to be on a continuous survey cycle, in which every part of the vessel would be surveyed within a five-year cycle.</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Sanction and Compliance</w:t>
      </w:r>
    </w:p>
    <w:p>
      <w:pPr>
        <w:spacing w:after="0" w:line="12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We constantly monitor developments in the U.S., the EU and other jurisdictions that maintain economic sanctions against Iran, Russian entities, Venezuela, other countries, and other sanctions targets, including developments in implementation and enforcement of such sanctions programs. Expansion of sanctions programs, embargoes and other restrictions in the future (including additional designations of countries and persons subject to sanctions), or modifications in how existing sanctions are interpreted or enforced, could prevent our vessels from calling in ports in sanctioned countries or could limit their cargoes.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Iran Sanctions</w:t>
      </w:r>
    </w:p>
    <w:p>
      <w:pPr>
        <w:spacing w:after="0" w:line="117"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Prior to January 2016, the scope of sanctions imposed against Iran, the government of Iran and persons engaging in certain activities or doing certain business with and relating to Iran was expanded by a number of jurisdictions, including the U.S., the EU and Canada. In 2010, the U.S. enacted the Comprehensive Iran Sanctions Accountability and Divestment Act (“CISADA”), which expanded the scope of the former Iran Sanctions Act. The scope of U.S. sanctions against Iran were expanded subsequent to CISADA by, among other U.S. laws, the National Defense Authorization Act of 2012 (the “2012 NDAA”), the Iran Threat Reduction and Syria Human Rights Act of 2012 (“ITRA”), and the Iran Freedom and Counter-Proliferation Act of 2012 (“IFCA”).The foregoing laws, among other things, expanded the application of prohibitions to non-U.S. companies such as our company and to transactions with no U.S. nexus, and introduced limits on the ability of non-U.S. companies and other non-U.S. persons to do business or trade with Iran when such activities relate to specific activities such as investment in Iran, the supply or export of refined petroleum or refined petroleum products to Iran, the supply and delivery of goods to Iran which could enhance Iran’s petroleum or energy sectors, and the transportation of crude oil from Iran to countries which do not enjoy Iran crude oil sanctions waivers (Navios Acquisition’s tankers called in Iran but did not engage in the prohibited activities specifically identified by these sanctions).</w:t>
      </w:r>
    </w:p>
    <w:p>
      <w:pPr>
        <w:spacing w:after="0" w:line="182"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U.S. economic sanctions on Iran fall into two general categories: “Primary” sanctions, which prohibit U.S. persons or U.S. companies and their foreign branches, U.S. citizens, foreign owned or controlled subsidiaries, U.S. permanent residents, persons within the territory of the U.S. from engaging in all direct and indirect trade and other transactions with Iran without U.S. government authorization, and “secondary” sanctions, which are mainly nuclear-related sanctions. While most of the U.S. nuclear-related sanctions with respect to Iran (including, inter alia, CISADA, ITRA, and IFCA) and the EU sanctions on Iran were initially lifted on January 16, 2016 through the implementation of the Joint Comprehensive Plan of Action (the “JCPOA”) entered into between the permanent members of the United Nations Security Council (China, France, Russia, the U.K. and the U.S.) and Germany, there are still certain limitations under that sanctions framework in place with which we need to comply. The primary sanctions with which U.S. persons or transactions with a U.S. nexus must comply are still in force and have not been lifted or relaxed. However, the following sanctions which were lifted under the JCPOA were reimposed (“snapped back”) on May 8, 2018 as a result of the U.S. withdrawal from the JCPOA.</w:t>
      </w:r>
    </w:p>
    <w:p>
      <w:pPr>
        <w:spacing w:after="0" w:line="72" w:lineRule="exact"/>
        <w:rPr>
          <w:sz w:val="20"/>
          <w:szCs w:val="20"/>
          <w:color w:val="auto"/>
        </w:rPr>
      </w:pPr>
    </w:p>
    <w:p>
      <w:pPr>
        <w:ind w:left="1080" w:hanging="424"/>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Sanctions on the purchase or acquisition of U.S. dollar banknotes by the Government of Iran;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Sanctions on Iran’s trade in gold or precious metals;</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Sanctions on the direct or indirect sale, supply, or transfer to or from Iran of graphite, raw, or semi-finished metals such as aluminum and steel, coal, and software for integrating industrial processes;</w:t>
      </w:r>
    </w:p>
    <w:p>
      <w:pPr>
        <w:spacing w:after="0" w:line="75"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Sanctions on significant transactions related to the purchase or sale of Iranian rials, or the maintenance of significant funds or accounts outside the territory of Iran denominated in the Iranian rial;</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Sanctions on the purchase, subscription to, or facilitation of the issuance of Iranian sovereign debt;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Sanctions on Iran’s automotive sector.</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20"/>
          </w:cols>
          <w:pgMar w:left="320" w:top="459"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Following a 180-day wind-down period ending on November 4, 2018, the U.S. government re-imposed the following sanctions that were lifted pursuant to the JCPOA, including sanctions on associated services related to the activities below:</w:t>
      </w:r>
    </w:p>
    <w:p>
      <w:pPr>
        <w:spacing w:after="0" w:line="76" w:lineRule="exact"/>
        <w:rPr>
          <w:sz w:val="20"/>
          <w:szCs w:val="20"/>
          <w:color w:val="auto"/>
        </w:rPr>
      </w:pPr>
    </w:p>
    <w:p>
      <w:pPr>
        <w:ind w:left="1080" w:right="600" w:hanging="424"/>
        <w:spacing w:after="0" w:line="277"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Sanctions on Iran’s port operators, and shipping and shipbuilding sectors, including on the Islamic Republic of Iran Shipping Lines (IRISL), South Shipping Line Iran, or their affiliate companies;</w:t>
      </w:r>
    </w:p>
    <w:p>
      <w:pPr>
        <w:spacing w:after="0" w:line="75" w:lineRule="exact"/>
        <w:rPr>
          <w:rFonts w:ascii="Arial" w:cs="Arial" w:eastAsia="Arial" w:hAnsi="Arial"/>
          <w:sz w:val="18"/>
          <w:szCs w:val="18"/>
          <w:color w:val="auto"/>
        </w:rPr>
      </w:pPr>
    </w:p>
    <w:p>
      <w:pPr>
        <w:ind w:left="1080" w:right="120" w:hanging="424"/>
        <w:spacing w:after="0" w:line="263"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Sanctions on petroleum-related transactions with, among others, the National Iranian Oil Company (NIOC), Naftiran Intertrade Company (NICO), and National Iranian Tanker Company (NITC), including the purchase of petroleum, petroleum products, or petrochemical products from Iran;</w:t>
      </w:r>
    </w:p>
    <w:p>
      <w:pPr>
        <w:spacing w:after="0" w:line="89"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Sanctions on transactions by foreign financial institutions with the Central Bank of Iran and designated Iranian financial institutions under Section 1245 of the National Defense Authorization Act for Fiscal Year 2012 (NDAA);</w:t>
      </w:r>
    </w:p>
    <w:p>
      <w:pPr>
        <w:spacing w:after="0" w:line="75" w:lineRule="exact"/>
        <w:rPr>
          <w:rFonts w:ascii="Arial" w:cs="Arial" w:eastAsia="Arial" w:hAnsi="Arial"/>
          <w:sz w:val="18"/>
          <w:szCs w:val="18"/>
          <w:color w:val="auto"/>
        </w:rPr>
      </w:pPr>
    </w:p>
    <w:p>
      <w:pPr>
        <w:ind w:left="1080" w:right="620" w:hanging="424"/>
        <w:spacing w:after="0" w:line="308" w:lineRule="auto"/>
        <w:tabs>
          <w:tab w:leader="none" w:pos="10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Sanctions on the provision of specialized financial messaging services to the Central Bank of Iran and Iranian financial institutions described in Section 104(c)(2)(E)(ii) of the Comprehensive Iran Sanctions and Divestment Act of 2010 (CISADA);</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Sanctions on the provision of underwriting services, insurance, or reinsurance;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Sanctions on Iran’s energy sector.</w:t>
      </w:r>
    </w:p>
    <w:p>
      <w:pPr>
        <w:spacing w:after="0" w:line="22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two Executive Orders issued in 2019, U.S. secondary sanctions against Iran were expanded to include the Iron, Steel, Aluminum, and Copper Sectors of Iran. The new, additional sanctions, which are pursuant to an Executive Order issued on January 10, 2020, may be imposed against any individual owning, operating, trading with, or assisting sectors of the Iranian economy including construction, manufacturing, textiles, and mining. As a result, trade with Iran in almost all industry sectors is now off limits for U.S. as well as non-U.S. persons, except for trade in medicine/medical items and food and agricultural commodities.</w:t>
      </w:r>
    </w:p>
    <w:p>
      <w:pPr>
        <w:spacing w:after="0" w:line="188"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The new sanctions imposed in 2020 also authorize the imposition of sanctions on a foreign financial institution upon a determination that the foreign financial institution has, on or after January 10, 2020, knowingly conducted or facilitated any significant financial transaction: i) for the sale, supply, or transfer to or from Iran of significant goods or services used in connection with a prohibited sector of the Iranian economy, or (ii) for or on behalf of any person whose property and interests in property are blocked.</w:t>
      </w:r>
    </w:p>
    <w:p>
      <w:pPr>
        <w:spacing w:after="0" w:line="18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U.S. Iran sanctions also prohibit U.S. as well as non-U.S. persons from engaging in significant transactions with any individual or entity that the U.S. Government has designated as an Iran sanctions target.</w:t>
      </w:r>
    </w:p>
    <w:p>
      <w:pPr>
        <w:spacing w:after="0" w:line="170"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EU sanctions remain in place in relation to the export of arms and military goods listed in the EU common military list, missiles-related goods and items that might be used for internal repression. The main nuclear-related EU sanctions which remain in place include restrictions on:</w:t>
      </w:r>
    </w:p>
    <w:p>
      <w:pPr>
        <w:spacing w:after="0" w:line="52" w:lineRule="exact"/>
        <w:rPr>
          <w:sz w:val="20"/>
          <w:szCs w:val="20"/>
          <w:color w:val="auto"/>
        </w:rPr>
      </w:pPr>
    </w:p>
    <w:p>
      <w:pPr>
        <w:ind w:left="1080" w:right="380" w:hanging="424"/>
        <w:spacing w:after="0" w:line="263"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Graphite and certain raw or semi-finished metals such as corrosion-resistant high-grade steel, iron, aluminum and alloys, titanium and alloys and nickel and alloys (as listed in Annex VIIB to EU Regulation 267/2012 as updated by EU Regulation 2015/1861 (the “EU Regulation”);</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Goods listed in the Nuclear Suppliers Group list (listed in Annex I to the EU Regulation);</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Goods that could contribute to nuclear-related or other activities inconsistent with the JCPOA (as listed in Annex II to the EU Regulation);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Software designed for use in nuclear/military industries (as listed in Annex VIIA to the EU Regulation).</w:t>
      </w:r>
    </w:p>
    <w:p>
      <w:pPr>
        <w:spacing w:after="0" w:line="225"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The above EU sanctions activities can only be engaged if prior authorization (granted on a case-by-case basis) is obtained. The remaining restrictions apply to the sale, supply, transfer or export, directly or indirectly to any Iranian person/for use in Iran, as well as the provision of technical assistance, financing or financial assistance in relation to the restricted activity. Certain individuals and entities remain sanctioned and the prohibition to make available, directly or indirectly, economic resources or assets to or for the benefit of sanctioned parties remains. “Economic resources” is widely defined and it remains prohibited to provide vessels for a fixture from which a sanctioned party (or parties related to a sanctioned party) directly or indirectly benefits. It is therefore still necessary to carry out due diligence on the parties and cargoes involved in fixtures involving Iran.</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Russia/Ukraine Sanctions</w:t>
      </w:r>
    </w:p>
    <w:p>
      <w:pPr>
        <w:spacing w:after="0" w:line="11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As a result of the crisis in Ukraine and the annexation of Crimea by Russia in 2014, both the U.S. and the EU have implemented sanctions against certain Russian individuals and entities.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20"/>
          </w:cols>
          <w:pgMar w:left="32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271" w:lineRule="auto"/>
        <w:rPr>
          <w:sz w:val="20"/>
          <w:szCs w:val="20"/>
          <w:color w:val="auto"/>
        </w:rPr>
      </w:pPr>
      <w:r>
        <w:rPr>
          <w:rFonts w:ascii="Arial" w:cs="Arial" w:eastAsia="Arial" w:hAnsi="Arial"/>
          <w:sz w:val="17"/>
          <w:szCs w:val="17"/>
          <w:color w:val="auto"/>
        </w:rPr>
        <w:t>The EU has imposed travel bans and asset freezes on certain Russian persons and entities pursuant to which it is prohibited to make available, directly or indirectly, economic resources or assets to or for the benefit of the sanctioned parties. Certain Russian ports including Kerch Commercial Seaport; Sevastopol Commercial Seaport and Port Feodosia are subject to the above restrictions. Other entities are subject to sectoral sanctions, which limit the provision of equity financing and loans to the listed entities. In addition, various restrictions on trade have been implemented which, amongst others, include a prohibition on the import into the EU of goods originating in Crimea or Sevastopol as well as restrictions on trade in certain dual-use and military items and restrictions in relation to various items of technology associated with the oil industry for use in deep water exploration and production, Arctic oil exploration and production or shale oil projects in Russia. As such, it is important to carry out due diligence on the parties and cargoes involved in fixtures relating to Russia.</w:t>
      </w:r>
    </w:p>
    <w:p>
      <w:pPr>
        <w:spacing w:after="0" w:line="178"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The U.S. has imposed sanctions against certain designated Russian entities and individuals (“U.S. Russian Sanctions Targets”). These sanctions block the property and all interests in property of the U.S. Russian Sanctions Targets. This effectively prohibits U.S. persons from engaging in any economic or commercial transactions with the U.S. Russian Sanctions Targets unless the same are authorized by the U.S. Treasury Department. Similar to EU sanctions, U.S. sanctions also entail restrictions on certain exports from the U.S. to Russia and the imposition of Sectoral Sanctions, which restrict the provision of equity and debt financing to designated Russian entities. While the prohibitions of these sanctions are not directly applicable to us, we have compliance measures in place to guard against transactions with U.S. Russian Sanctions Targets, which may involve the U.S. or U.S. persons and thus implicate prohibitions. The U.S. also maintains prohibitions on trade with Crimea.</w:t>
      </w:r>
    </w:p>
    <w:p>
      <w:pPr>
        <w:spacing w:after="0" w:line="17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With respect to Russia, the U.S. has also taken a number of steps toward implementing aspects of the Countering America’s Adversaries Through Sanctions Act (“CAATSA”), a major piece of sanctions legislation.</w:t>
      </w:r>
    </w:p>
    <w:p>
      <w:pPr>
        <w:spacing w:after="0" w:line="170"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Under CAATSA, the U.S. may impose secondary sanctions relating to Russia’s energy export pipelines and investments in special Russian crude oil projects. CAATSA has a provision that requires the U.S. President to sanction persons who knowingly engage in significant transactions with parties affiliated with Russia’s defense and intelligence sectors.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Venezuela-Related Sanctions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U.S. sanctions with respect to Venezuela prohibit various financial and other transactions and activities, dealings with designated Venezuelan government officials and entities, curtail the provision of financing to Petroleos de Venezuela, S.A. (“PdVSA”) and other government entities, and they also prohibit U.S. persons from purchasing oil from PdVSA. Additionally, U.S. (blocking) sanctions may be imposed on any (non-U.S.) person that has materially assisted, sponsored, or provided financial, material, or technological support for, or goods or services to or in support of, or any blocked entity such as PdVSA.</w:t>
      </w:r>
    </w:p>
    <w:p>
      <w:pPr>
        <w:spacing w:after="0" w:line="188"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EU sanctions against Venezuela are primarily governed by EU Council Regulation 2017/2063 of 13 November 2017 concerning restrictive measures in view of the situation in Venezuela. This includes financial sanctions and restrictions on listed persons and an, arms embargo, and related prohibitions and restrictions including restrictions related to internal repression.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Executive Orders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Executive Orders govern the U.S. sanctions with respect to Venezuela:</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13884—Blocking Property of the Government of Venezuela—(August 5, 2019)</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13857—Taking Additional Steps to Address the National Emergency With Respect to Venezuela (January 25, 2019)</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13850—Blocking Property of Additional Persons Contributing to the Situation in Venezuela (November 1, 2018)</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13835—Prohibiting Certain Additional Transactions with Respect to Venezuela (May 21, 2018)</w:t>
      </w:r>
    </w:p>
    <w:p>
      <w:pPr>
        <w:spacing w:after="0" w:line="225"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13827—Taking Additional Steps to Address the Situation in Venezuela (March 19, 2018) – prohibits all transactions related to, provision of financing for, and other dealings in, by a U.S. person or within the U.S., in any digital currency, digital coin, or digital token, (the Petro) that was issued by, for, or on behalf of the Government of Venezuela on or after January 9, 2018.</w:t>
      </w:r>
    </w:p>
    <w:p>
      <w:pPr>
        <w:spacing w:after="0" w:line="184"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13808—Imposing Additional Sanctions with Respect to the Situation in Venezuela (August 24, 2017) – This executive Order prohibits transactions involving, dealings in, and the provision of financing for (by (U.S. persons) of:</w:t>
      </w:r>
    </w:p>
    <w:p>
      <w:pPr>
        <w:spacing w:after="0" w:line="76" w:lineRule="exact"/>
        <w:rPr>
          <w:sz w:val="20"/>
          <w:szCs w:val="20"/>
          <w:color w:val="auto"/>
        </w:rPr>
      </w:pPr>
    </w:p>
    <w:p>
      <w:pPr>
        <w:ind w:left="1080" w:hanging="424"/>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New debt with a maturity of greater than 90 days of PdVSA;</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New debt with a maturity of greater than 30 days or new equity of the Government of Venezuela, other than debt of PdVSA;</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Bonds issued by the Government of Venezuela prior to August 25, 2017, the EO’s effective date;</w:t>
      </w:r>
    </w:p>
    <w:p>
      <w:pPr>
        <w:sectPr>
          <w:pgSz w:w="11900" w:h="16838" w:orient="portrait"/>
          <w:cols w:equalWidth="0" w:num="1">
            <w:col w:w="11120"/>
          </w:cols>
          <w:pgMar w:left="320" w:top="459" w:right="459" w:bottom="1440" w:gutter="0" w:footer="0" w:header="0"/>
        </w:sectPr>
      </w:pP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120"/>
          </w:cols>
          <w:pgMar w:left="320" w:top="459" w:right="459" w:bottom="1440" w:gutter="0" w:footer="0" w:header="0"/>
          <w:type w:val="continuous"/>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600" w:hanging="424"/>
        <w:spacing w:after="0" w:line="277"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Dividend payments or other distributions of profits to the Government of Venezuela from any entity directly or indirectly owned or controlled by the Government of Venezuela; or</w:t>
      </w:r>
    </w:p>
    <w:p>
      <w:pPr>
        <w:spacing w:after="0" w:line="75" w:lineRule="exact"/>
        <w:rPr>
          <w:rFonts w:ascii="Arial" w:cs="Arial" w:eastAsia="Arial" w:hAnsi="Arial"/>
          <w:sz w:val="18"/>
          <w:szCs w:val="18"/>
          <w:color w:val="auto"/>
        </w:rPr>
      </w:pPr>
    </w:p>
    <w:p>
      <w:pPr>
        <w:ind w:left="1080" w:right="680" w:hanging="424"/>
        <w:spacing w:after="0" w:line="342" w:lineRule="auto"/>
        <w:tabs>
          <w:tab w:leader="none" w:pos="10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Direct or indirect purchase by U.S. persons or persons within the U.S. of securities from the Government of Venezuela, other than securities qualifying as new debt with a maturity of less than or equal to 90 or 30 days as covered by the EO (Section 1).</w:t>
      </w:r>
    </w:p>
    <w:p>
      <w:pPr>
        <w:spacing w:after="0" w:line="124"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13692-Blocking Property and Suspending Entry of Certain Persons Contributing to the Situation in Venezuela (March 8, 2015) – blocks designated Venezuelan government officials.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Other U.S. Economic Sanctions Targets</w:t>
      </w:r>
    </w:p>
    <w:p>
      <w:pPr>
        <w:spacing w:after="0" w:line="117"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In addition to Iran and certain Russian entities and individuals, as indicated above, the U.S. maintains comprehensive economic sanctions against Syria, Cuba, North Korea, and sanctions against entities and individuals (such as entities and individuals in the foregoing targeted countries, designated terrorists, narcotics traffickers) whose names appear on the List of SDNs and Blocked Persons maintained by the U.S. Treasury Department (collectively, the “Sanctions Targets”). We are subject to the prohibitions of these sanctions to the extent that any transaction or activity we engage in involves Sanctions Targets and a U.S. person or otherwise has a nexus to the U.S.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Other E.U. Economic Sanctions Targets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EU also maintains sanctions against Syria, North Korea and certain other countries and against individuals listed by the EU. These restrictions apply to our operations and as such, to the extent that these countries may be involved in any business it is important to carry out checks to ensure compliance with all relevant restrictions and to carry out due diligence checks on counterparties and cargoes.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 of Loss and Liability Insurance</w:t>
      </w:r>
    </w:p>
    <w:p>
      <w:pPr>
        <w:spacing w:after="0" w:line="117" w:lineRule="exact"/>
        <w:rPr>
          <w:sz w:val="20"/>
          <w:szCs w:val="20"/>
          <w:color w:val="auto"/>
        </w:rPr>
      </w:pPr>
    </w:p>
    <w:p>
      <w:pPr>
        <w:ind w:left="120" w:right="160" w:firstLine="440"/>
        <w:spacing w:after="0" w:line="272" w:lineRule="auto"/>
        <w:rPr>
          <w:sz w:val="20"/>
          <w:szCs w:val="20"/>
          <w:color w:val="auto"/>
        </w:rPr>
      </w:pPr>
      <w:r>
        <w:rPr>
          <w:rFonts w:ascii="Arial" w:cs="Arial" w:eastAsia="Arial" w:hAnsi="Arial"/>
          <w:sz w:val="17"/>
          <w:szCs w:val="17"/>
          <w:b w:val="1"/>
          <w:bCs w:val="1"/>
          <w:color w:val="auto"/>
        </w:rPr>
        <w:t xml:space="preserve">General: </w:t>
      </w:r>
      <w:r>
        <w:rPr>
          <w:rFonts w:ascii="Arial" w:cs="Arial" w:eastAsia="Arial" w:hAnsi="Arial"/>
          <w:sz w:val="17"/>
          <w:szCs w:val="17"/>
          <w:color w:val="auto"/>
        </w:rPr>
        <w:t>The operation of any cargo vessel includes risks such as mechanical failure, physical damage, collision, fire, contact with floating</w:t>
      </w:r>
      <w:r>
        <w:rPr>
          <w:rFonts w:ascii="Arial" w:cs="Arial" w:eastAsia="Arial" w:hAnsi="Arial"/>
          <w:sz w:val="17"/>
          <w:szCs w:val="17"/>
          <w:b w:val="1"/>
          <w:bCs w:val="1"/>
          <w:color w:val="auto"/>
        </w:rPr>
        <w:t xml:space="preserve"> </w:t>
      </w:r>
      <w:r>
        <w:rPr>
          <w:rFonts w:ascii="Arial" w:cs="Arial" w:eastAsia="Arial" w:hAnsi="Arial"/>
          <w:sz w:val="17"/>
          <w:szCs w:val="17"/>
          <w:color w:val="auto"/>
        </w:rPr>
        <w:t>objects, property loss, cargo loss or damage, business interruption due to political circumstances in foreign countries, hostilities, and labor strikes. In addition, there is always an inherent possibility of marine disaster, including oil spills and other environmental mishaps, and the liabilities arising from owning and operating vessels in international trade. OPA 90, which imposes virtually unlimited liability upon owners, operators and demise charterers of any vessel trading in the U.S. exclusive economic zone for certain oil pollution accidents in the United States, has made liability insurance more expensive for ship owners and operators trading in the U.S. market. While we believe that our present insurance coverage is adequate, not all risks can be insured, and there can be no guarantee that any specific claim will be paid, or that we will always be able to obtain adequate insurance coverage at reasonable rates. Our current insurance includes the following:</w:t>
      </w:r>
    </w:p>
    <w:p>
      <w:pPr>
        <w:spacing w:after="0" w:line="68"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i w:val="1"/>
          <w:iCs w:val="1"/>
          <w:color w:val="auto"/>
        </w:rPr>
        <w:t xml:space="preserve">Hull and Machinery and War Risk Insurance: </w:t>
      </w:r>
      <w:r>
        <w:rPr>
          <w:rFonts w:ascii="Arial" w:cs="Arial" w:eastAsia="Arial" w:hAnsi="Arial"/>
          <w:sz w:val="16"/>
          <w:szCs w:val="16"/>
          <w:color w:val="auto"/>
        </w:rPr>
        <w:t>We have marine hull and machinery and war risk insurance, which include coverage of the risk of</w:t>
      </w:r>
      <w:r>
        <w:rPr>
          <w:rFonts w:ascii="Arial" w:cs="Arial" w:eastAsia="Arial" w:hAnsi="Arial"/>
          <w:sz w:val="16"/>
          <w:szCs w:val="16"/>
          <w:i w:val="1"/>
          <w:iCs w:val="1"/>
          <w:color w:val="auto"/>
        </w:rPr>
        <w:t xml:space="preserve"> </w:t>
      </w:r>
      <w:r>
        <w:rPr>
          <w:rFonts w:ascii="Arial" w:cs="Arial" w:eastAsia="Arial" w:hAnsi="Arial"/>
          <w:sz w:val="16"/>
          <w:szCs w:val="16"/>
          <w:color w:val="auto"/>
        </w:rPr>
        <w:t>actual or constructive total loss, for all of our owned vessels. Each of the owned vessels is covered up to at least fair market value, with a deductible of $0.1 million per Panamax, and Handymax vessel and $0.2 million per Capesize vessel for the hull and machinery insurance. We have also extended our war risk insurance to include war loss of hire for any loss of time to the vessel, including for physical repairs, caused by a warlike incident and piracy seizure for up to 270 days of detention / loss of time. There are no deductibles for the war risk insurance or the war loss of hire cover.</w:t>
      </w:r>
    </w:p>
    <w:p>
      <w:pPr>
        <w:spacing w:after="0" w:line="161"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We have arranged, as necessary, increased value insurance for our vessels. With the increased value insurance, in case of total loss of the vessel, we will be able to recover the sum insured under the increased value policy in addition to the sum insured under the hull and machinery policy. Increased value insurance also covers excess liabilities that are not recoverable in full by the hull and machinery policies by reason of underinsurance. We do not expect to maintain loss of hire insurance for our vessels. Loss of hire insurance covers business interruptions that result in the loss of use of a vessel.</w:t>
      </w:r>
    </w:p>
    <w:p>
      <w:pPr>
        <w:spacing w:after="0" w:line="188"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i w:val="1"/>
          <w:iCs w:val="1"/>
          <w:color w:val="auto"/>
        </w:rPr>
        <w:t xml:space="preserve">Protection and Indemnity Insurance: </w:t>
      </w:r>
      <w:r>
        <w:rPr>
          <w:rFonts w:ascii="Arial" w:cs="Arial" w:eastAsia="Arial" w:hAnsi="Arial"/>
          <w:sz w:val="17"/>
          <w:szCs w:val="17"/>
          <w:color w:val="auto"/>
        </w:rPr>
        <w:t>Protection and indemnity insurance is expected to be provided by mutual protection and indemnity</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associations (“P&amp;I Associations”), who indemnify members in respect of discharging their tortious, contractual or statutory third-party legal liabilities arising from the operation of an entered ship. Such liabilities include but are not limited to third-party liability and other related expenses from injury or death of crew, passengers and other third parties, loss or damage to cargo, claims arising from collisions with other vessels, damage to other third-party property, pollution arising from oil or other substances, and salvage, towing and other related costs, including wreck removal. Protection and indemnity insurance is a form of mutual indemnity insurance, extended by protection and indemnity mutual associations and always provided in accordance with the applicable associations’ rules and members’ agreed terms and conditions.</w:t>
      </w:r>
    </w:p>
    <w:p>
      <w:pPr>
        <w:spacing w:after="0" w:line="177"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Our fleet is currently entered for protection and indemnity insurance with International Group associations where, in line with all International Group Clubs, coverage for oil pollution is limited to $1.0 billion per event. The 13 P&amp;I Associations that comprise the International Group insure approximately 95% of the world’s commercial tonnage and have entered into a pooling</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20"/>
          </w:cols>
          <w:pgMar w:left="320" w:top="459" w:right="4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8" w:lineRule="auto"/>
        <w:rPr>
          <w:sz w:val="20"/>
          <w:szCs w:val="20"/>
          <w:color w:val="auto"/>
        </w:rPr>
      </w:pPr>
      <w:r>
        <w:rPr>
          <w:rFonts w:ascii="Arial" w:cs="Arial" w:eastAsia="Arial" w:hAnsi="Arial"/>
          <w:sz w:val="16"/>
          <w:szCs w:val="16"/>
          <w:color w:val="auto"/>
        </w:rPr>
        <w:t>agreement to collectively reinsure each association’s liabilities. Each vessel that we acquire will be entered with P&amp;I Associations of the International Group. Under the International Group reinsurance program for the current policy year, each P&amp;I club in the International Group is responsible for the first $10.0 million of every claim. In every claim the amount in excess of $10.0 million and up to $100.0 million is shared by the clubs under the pooling agreement. Any claim in excess of $100.0 million is reinsured by the International Group in the international reinsurance market under the General Excess of Loss Reinsurance Contract. This policy currently provides an additional $2.0 billion of coverage for non-oil pollution claims. Further to this, an additional reinsurance layer has been placed by the International Group for claims up to $1.0 billion in excess of $2.1 billion, or $3.1 billion in total. For passengers and crew claims, the overall limit is $3.0 billion for any one event on any one vessel with a sub-limit of $2.0 billion for passengers. With the exception of pollution, passenger or crew claims, should any other P&amp;I claim exceed Group reinsurance limits, the provisions of all International Group Club’s overspill claim rules will operate and members of any International Group Club will be liable for additional contributions in accordance with such rules. To date, there has never been an overspill claim, or one even nearing this level.</w:t>
      </w:r>
    </w:p>
    <w:p>
      <w:pPr>
        <w:spacing w:after="0" w:line="168"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As a member of the P&amp;I Associations that are members of the International Group, we will be subject to calls payable to the associations based on our individual fleet record, the associations’ overall its claim records as well as the claim records of all other members of the individual associations, and members of the pool of P&amp;I Associations comprising the International Group. The P&amp;I Associations’ policy year commences on February 20th. Calls are levied by means of Estimated Total Premiums (“ETP”) and the amount of the final installment of the ETP varies according to the actual total premium ultimately required by the club for a particular policy year. Members have a liability to pay supplementary calls, which might be levied by the board of directors of the club if the ETP is insufficient to cover amounts paid out by the club. Should a member leave or entry cease with any of the associations, at the Club’s Managers discretion, they may be also be liable to pay release calls or provide adequate security for the same amount. Such calls are levied in respect of potential outstanding Club/Member liabilities on open policy years and include but are not limited to liabilities for deferred calls and supplementary calls.</w:t>
      </w:r>
    </w:p>
    <w:p>
      <w:pPr>
        <w:spacing w:after="0" w:line="181"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i w:val="1"/>
          <w:iCs w:val="1"/>
          <w:color w:val="auto"/>
        </w:rPr>
        <w:t xml:space="preserve">Uninsured Risks: </w:t>
      </w:r>
      <w:r>
        <w:rPr>
          <w:rFonts w:ascii="Arial" w:cs="Arial" w:eastAsia="Arial" w:hAnsi="Arial"/>
          <w:sz w:val="16"/>
          <w:szCs w:val="16"/>
          <w:color w:val="auto"/>
        </w:rPr>
        <w:t>Not all risks are insured and not all risks are insurable. The principal insurable risks, which nonetheless remain uninsured across</w:t>
      </w:r>
      <w:r>
        <w:rPr>
          <w:rFonts w:ascii="Arial" w:cs="Arial" w:eastAsia="Arial" w:hAnsi="Arial"/>
          <w:sz w:val="16"/>
          <w:szCs w:val="16"/>
          <w:i w:val="1"/>
          <w:iCs w:val="1"/>
          <w:color w:val="auto"/>
        </w:rPr>
        <w:t xml:space="preserve"> </w:t>
      </w:r>
      <w:r>
        <w:rPr>
          <w:rFonts w:ascii="Arial" w:cs="Arial" w:eastAsia="Arial" w:hAnsi="Arial"/>
          <w:sz w:val="16"/>
          <w:szCs w:val="16"/>
          <w:color w:val="auto"/>
        </w:rPr>
        <w:t>our businesses, are “loss of hire”, “strikes,” except in cases of loss of hire due to war or a piracy event or due to presence of contraband on board, “defense,” and “credit risk. Specifically, we do not insure these risks because the costs are regarded as disproportionate. These insurances provide, subject to a deductible, a limited indemnity for hire that would not be receivable by the shipowner for reasons set forth in the policy. Should a vessel on time charter, where the vessel is paid a fixed hire day by day, suffer a serious mechanical breakdown, the daily hire will no longer be payable by the charterer. The purpose of the loss of hire insurance is to secure the loss of hire during such periods. In the case of strikes insurance, if a vessel is being paid a fixed sum to perform a voyage and the ship becomes strike bound at a loading or discharging port, the insurance covers the loss of earnings during such periods. However, in some cases when a vessel is transiting high risk war and/or piracy areas, we arrange war loss of hire insurance to cover up to 270 days of detention/loss of time. When our charterers engage in legally permitted trading in locations which may still be subject to sanctions or boycott, such as Iran, Syria and Sudan, our insurers may be contractually or by operation of law prohibited from honoring our insurance contract for such trading, which could result in reduced insurance coverage for losses incurred by the related vessels. Furthermore, our insurers and we may be prohibited from posting or otherwise be unable to post security in respect of any incident in such locations, resulting in the loss of use of the relevant vessel and negative publicity for our Company which could negatively impact our business, results of operations, cash flows and share price.</w:t>
      </w:r>
    </w:p>
    <w:p>
      <w:pPr>
        <w:spacing w:after="0" w:line="174"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There are no deductibles for the war loss of hire cover in case of piracy and contraband cover. We maintain strike and business interruption insurance for our port terminal operations.</w:t>
      </w:r>
    </w:p>
    <w:p>
      <w:pPr>
        <w:spacing w:after="0" w:line="170"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Even if our insurance coverage is adequate to cover our losses, if we suffer a loss of a vessel, we may not be able to obtain a timely replacement for any lost vessel. Furthermore, in the future, we may not be able to obtain adequate insurance coverage at reasonable rates for our fleet. For example, more stringent environmental regulations have led to increased costs for, and in the future may result in the lack of availability of, insurance against risks of environmental damage or pollution. We may also be subject to calls, or premiums, in amounts based not only on our own claim records but also on the claim records of all other members of the protection and indemnity associations through which we receive indemnity insurance coverage. A catastrophic oil spill or marine disaster could exceed our insurance coverage, which could have a material adverse effect on our business, results of operations and financial condition. Any uninsured or underinsured loss could harm our business and financial condition. In addition, the insurance may be voidable by the insurers as a result of certain actions, such as vessels failing to maintain required certification.</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 Management</w:t>
      </w:r>
    </w:p>
    <w:p>
      <w:pPr>
        <w:spacing w:after="0" w:line="121"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Risk management in the shipping industry involves balancing a number of factors in a cyclical and potentially volatile environment. Fundamentally, the challenge is to appropriately allocate capital to competing opportunities of owning or chartering vessels. In part, this requires a view of the overall health of the market as well as an understanding of capital costs and returns. Thus, stated simply, one may charter-in part of a fleet as opposed to owning the entire fleet to maximize risk management and economic results. This is coupled with the challenge posed by the complex logistics of ensuring that the vessels controlled by Navios Holdings are fully employed.</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40"/>
          </w:cols>
          <w:pgMar w:left="32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Navios Holdings seeks to manage risk through a number of strategies, including vessel control strategies (chartering and ownership) and freight carriage. Navios Holdings’ vessel control strategies include seeking the appropriate mix of owned vessels, long-term charter-in vessels, coupled with purchase options, when available, and spot charters. Navios Holdings has from time to time entered into COAs, which gives Navios Holdings, subject to certain limitations, the flexibility to determine the means of getting a particular cargo to its destination.</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Navios Holdings is not involved in any legal proceedings that it believes will have a material adverse effect on its business, financial position, results of operations and liquidity.</w:t>
      </w:r>
    </w:p>
    <w:p>
      <w:pPr>
        <w:spacing w:after="0" w:line="170"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From time to time, Navios Holdings may be subject to legal proceedings and claims in the ordinary course of business. It is expected that these claims would be covered by insurance if they involved liabilities such as those that arise from a collision, other marine casualty, damage to cargoes, oil pollution and death or personal injuries to crew, subject to customary deductibles. Those claims, even if lacking merit, could result in the expenditure of significant financial and managerial resources.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Refer to “Item 8. Financial Information” in “Legal Proceedings”.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Crewing and Shore Employees</w:t>
      </w:r>
    </w:p>
    <w:p>
      <w:pPr>
        <w:spacing w:after="0" w:line="12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Employees of the Manager provide assistance to us and our operating subsidiaries pursuant to the Management Agreement and the Administrative Services Agreement. The Manager crews its vessels primarily with Ukrainian, Polish, Filipino, Russian, Indian, Georgian, Romanian officers and Filipino, Georgian, Ethiopian, Indian and Ukrainian seamen. For these nationalities, officers and seamen are referred to the Manager by local crewing agencies. The crewing agencies handle each seaman’s training while the Manager handles their travel and payroll. The Manager requires that all of its seamen have the qualifications and licenses required to comply with international regulations and shipping conventions. Navios Logistics crews its fleet with Argentine, Brazilian and Paraguayan officers and seamen. Navios Logistics’ fleet managers are responsible for selecting the crew. Following the sale of the management division, Navios Holdings does not employ any staff. As of December 31, 2020, Navios Logistics employed 396 land-based employees: 28 employees in the Asuncion, Paraguay office, 49 employees at the port facility in San Antonio, Paraguay, 99 employees in the Buenos Aires, Argentina office, six employees in the Montevideo, Uruguay office, 203 employees at the dry port facilities in Uruguay and 11 employees in the Corumba, Brazil office.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Our principal place of business is located at Strathvale House, 90 N Church Street, P.O. Box 309, Grand Cayman, KY1-1104 Cayman Islands. We believe that our office facilities are suitable and adequate for our business as it is presently conducted. We presently occupy office space provided by the Manager. The Manager has agreed that it will make such office space, as well as certain office and secretarial services, available to us, as may be required by us from time to time. Previously, until the sale of the management division Navios Holdings and its affiliate companies leased through August 30, 2019 various properties in Greece, Belgium, New York and Monaco.</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Navios Logistics and its subsidiaries currently lease, (or occupy as free zone users, as the case may be), the following premises:</w:t>
      </w:r>
    </w:p>
    <w:p>
      <w:pPr>
        <w:spacing w:after="0" w:line="131" w:lineRule="exact"/>
        <w:rPr>
          <w:sz w:val="20"/>
          <w:szCs w:val="20"/>
          <w:color w:val="auto"/>
        </w:rPr>
      </w:pPr>
    </w:p>
    <w:p>
      <w:pPr>
        <w:ind w:left="1080" w:right="20" w:hanging="424"/>
        <w:spacing w:after="0" w:line="286" w:lineRule="auto"/>
        <w:tabs>
          <w:tab w:leader="none" w:pos="1080" w:val="left"/>
        </w:tabs>
        <w:numPr>
          <w:ilvl w:val="0"/>
          <w:numId w:val="82"/>
        </w:numPr>
        <w:rPr>
          <w:rFonts w:ascii="Arial" w:cs="Arial" w:eastAsia="Arial" w:hAnsi="Arial"/>
          <w:sz w:val="16"/>
          <w:szCs w:val="16"/>
          <w:color w:val="auto"/>
        </w:rPr>
      </w:pPr>
      <w:r>
        <w:rPr>
          <w:rFonts w:ascii="Arial" w:cs="Arial" w:eastAsia="Arial" w:hAnsi="Arial"/>
          <w:sz w:val="16"/>
          <w:szCs w:val="16"/>
          <w:color w:val="auto"/>
        </w:rPr>
        <w:t>CNSA, as a free zone direct user at the Nueva Palmira Free Zone, holds the right to occupy the land on which it operates its port and transfer facilities, located at Zona Franca, Nueva Palmira, in Uruguay. CNSA has been authorized to operate as a free zone user on November 29, 1955 by a resolution of the Executive, who on September 27, 1956 approved an agreement, as required by applicable law at the time. On December 4, 1995, CNSA’s rights as a direct user have been renewed in a single free zone user agreement, which was subsequently amended on multiple occasions to reflect, among other things, the incorporation of new plots of land. On March 4, 2016, the extension of the agreement has been modified, allowing CNSA to install and operate a transfer station to handle and store goods, including raw manganese, minerals, grains and all types of liquid cargo and to build and operate a plant to receive, prepare and dry grain in the Nueva Palmira Free Zone. As a part of a restructuring process, on November 13, 2018, CNSA has modified its user agreement with the Free Zone of Nueva Palmira, returning to the Free Trade Zone the area in which the facilities of the grain terminal were located, so that such area was subsequently assigned to Granos, another Navios Logistics’ subsidiary. By the means of the restructuring process, CNSA currently performs all activities related to transshipment and deposit of minerals, whereas Granos performs activities related to the transshipment and deposit of agro-commodities and grains. Under the aforementioned agreement, CNSA has the right of use of approximately 37 acres and pays a total fixed annual fee that amounts to $0.1 million, payable over eight consecutive months beginning in January of each year and increasing yearly in proportion to the variation in the U.S. Consumer Price Index corresponding to the previous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00"/>
          </w:cols>
          <w:pgMar w:left="320" w:top="459" w:right="4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80"/>
        <w:spacing w:after="0" w:line="257" w:lineRule="auto"/>
        <w:rPr>
          <w:sz w:val="20"/>
          <w:szCs w:val="20"/>
          <w:color w:val="auto"/>
        </w:rPr>
      </w:pPr>
      <w:r>
        <w:rPr>
          <w:rFonts w:ascii="Arial" w:cs="Arial" w:eastAsia="Arial" w:hAnsi="Arial"/>
          <w:sz w:val="18"/>
          <w:szCs w:val="18"/>
          <w:color w:val="auto"/>
        </w:rPr>
        <w:t>year. There is also a transshipment fee of $0.25 per ton transshipped. CNSA has also assumed certain obligations with respect to improving the land subject to the agreement, and the agreement is terminable by the Free Zone Division in case there is a breach of the terms of said agreement, labor laws and social security contributions, and if CNSA commits illegal acts or acts expressly forbidden by the agreement. The agreement entered into between CNSA and the Free Zone expires on March 3, 2046, with a 20-year extension at our option, until 2066.</w:t>
      </w:r>
    </w:p>
    <w:p>
      <w:pPr>
        <w:spacing w:after="0" w:line="93" w:lineRule="exact"/>
        <w:rPr>
          <w:sz w:val="20"/>
          <w:szCs w:val="20"/>
          <w:color w:val="auto"/>
        </w:rPr>
      </w:pPr>
    </w:p>
    <w:p>
      <w:pPr>
        <w:ind w:left="1080" w:right="60" w:hanging="424"/>
        <w:spacing w:after="0" w:line="271" w:lineRule="auto"/>
        <w:tabs>
          <w:tab w:leader="none" w:pos="1080" w:val="left"/>
        </w:tabs>
        <w:numPr>
          <w:ilvl w:val="0"/>
          <w:numId w:val="83"/>
        </w:numPr>
        <w:rPr>
          <w:rFonts w:ascii="Arial" w:cs="Arial" w:eastAsia="Arial" w:hAnsi="Arial"/>
          <w:sz w:val="17"/>
          <w:szCs w:val="17"/>
          <w:color w:val="auto"/>
        </w:rPr>
      </w:pPr>
      <w:r>
        <w:rPr>
          <w:rFonts w:ascii="Arial" w:cs="Arial" w:eastAsia="Arial" w:hAnsi="Arial"/>
          <w:sz w:val="17"/>
          <w:szCs w:val="17"/>
          <w:color w:val="auto"/>
        </w:rPr>
        <w:t>As a consequence of the above-mentioned restructuring process, on November 13, 2018, Granos entered into a user agreement with the Free Zone of Nueva Palmira, having been authorized to operate as a direct free zone user, therefore being allowed to install and operate a transfer station to handle and store goods, including raw manganese, minerals, grains and all types of liquid cargo and to build and operate a plant to receive, prepare and dry grain in the Nueva Palmira Free Zone. By the means of the such agreement, Granos currently has the right of use of approximately 46 acres and pays a total fixed annual fee that amounts to $0.2 million, payable over eight consecutive months beginning in January of each year and increasing yearly in proportion to the variation in the U.S. Consumer Price Index corresponding to the previous year. There is also a transshipment fee of $ 0.25 per ton transshipped. The agreement with the Free Zone expires on March 3, 2046, with a 20-year extension at our option, until 2066.</w:t>
      </w:r>
    </w:p>
    <w:p>
      <w:pPr>
        <w:spacing w:after="0" w:line="83" w:lineRule="exact"/>
        <w:rPr>
          <w:rFonts w:ascii="Arial" w:cs="Arial" w:eastAsia="Arial" w:hAnsi="Arial"/>
          <w:sz w:val="17"/>
          <w:szCs w:val="17"/>
          <w:color w:val="auto"/>
        </w:rPr>
      </w:pPr>
    </w:p>
    <w:p>
      <w:pPr>
        <w:ind w:left="1080" w:hanging="424"/>
        <w:spacing w:after="0" w:line="290" w:lineRule="auto"/>
        <w:tabs>
          <w:tab w:leader="none" w:pos="10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On August 4, 2011, Enresur entered into a direct user agreement with the Free Zone of Nueva Palmira and subsequently, due to the acquisition of Enresur by Navios Logistics, such agreement has been revised by an amendment entered into with the Free Zone in July 22, 2016. Therefore, Enresur obtained an authorization to operate as a free zone user, being allowed to build, install and operate a system of handling, storage and treatment of materials in general and raw materials, including raw manganese, minerals, grains and all types of liquid cargo. As a consequence of the agreement, Enresur currently has the right of use of 27 acres and 9556 square meters and pays a total fixed annual fee that amounts to $0.1 million, payable over eight consecutive months beginning in January of each year and increasing yearly in proportion to the variation in the U.S. Consumer Price Index corresponding to the previous year. There is also a transshipment fee of $0.25 per ton transshipped. The agreement expires on July 22, 2046, with a 20-year extension at our option, until 2066.</w:t>
      </w:r>
    </w:p>
    <w:p>
      <w:pPr>
        <w:spacing w:after="0" w:line="70" w:lineRule="exact"/>
        <w:rPr>
          <w:rFonts w:ascii="Arial" w:cs="Arial" w:eastAsia="Arial" w:hAnsi="Arial"/>
          <w:sz w:val="16"/>
          <w:szCs w:val="16"/>
          <w:color w:val="auto"/>
        </w:rPr>
      </w:pPr>
    </w:p>
    <w:p>
      <w:pPr>
        <w:ind w:left="1080" w:hanging="424"/>
        <w:spacing w:after="0" w:line="289" w:lineRule="auto"/>
        <w:tabs>
          <w:tab w:leader="none" w:pos="10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On December 29, 2008, Edolmix S.A. entered into a direct user agreement with the Free Zone of Nueva Palmira and, due to the acquisition of Edolmix by Navios Logistics in December 2014, such agreement has been revised by an amendment entered into with the Free Zone in July 22, 2016. Therefore, Edolmix has obtained an authorization to operate as a free zone user, being allowed to install and operate warehouses, silos, industrial facilities for the storage and handling of materials in general and raw materials, including raw manganese, minerals, grains and liquid cargo, containers and pallets; having being also authorized to install and operate a barge dock and a port terminal. As a consequence of the agreement, Edolmix currently has the right of use of 34.5 acres and 3,546 square meters and pays a total fixed annual fee that amounts to $0.1 million, payable over eight consecutive months beginning in January of each year and increasing yearly in proportion to the variation in the U.S. Consumer Price Index corresponding to the previous year. There is also a transshipment fee of $ 0.25 per ton transshipped. The agreement expires on July 22, 2046, with a 20-year extension at our option until 2066.</w:t>
      </w:r>
    </w:p>
    <w:p>
      <w:pPr>
        <w:spacing w:after="0" w:line="71" w:lineRule="exact"/>
        <w:rPr>
          <w:rFonts w:ascii="Arial" w:cs="Arial" w:eastAsia="Arial" w:hAnsi="Arial"/>
          <w:sz w:val="16"/>
          <w:szCs w:val="16"/>
          <w:color w:val="auto"/>
        </w:rPr>
      </w:pPr>
    </w:p>
    <w:p>
      <w:pPr>
        <w:ind w:left="1080" w:right="140" w:hanging="424"/>
        <w:spacing w:after="0" w:line="277"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Granos also leases approximately 204 square meters of space at 2141 Paraguay, Montevideo, Uruguay, pursuant to a lease agreement that expires in November 2026.</w:t>
      </w:r>
    </w:p>
    <w:p>
      <w:pPr>
        <w:spacing w:after="0" w:line="75"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Compania Naviera Horamar S.A. leases approximately 409 square meters at 429 Cepeda Street, San Nicolás, Buenos Aires, Argentina, pursuant to a lease agreement that expires in November 30, 2023.</w:t>
      </w:r>
    </w:p>
    <w:p>
      <w:pPr>
        <w:spacing w:after="0" w:line="75" w:lineRule="exact"/>
        <w:rPr>
          <w:rFonts w:ascii="Arial" w:cs="Arial" w:eastAsia="Arial" w:hAnsi="Arial"/>
          <w:sz w:val="18"/>
          <w:szCs w:val="18"/>
          <w:color w:val="auto"/>
        </w:rPr>
      </w:pPr>
    </w:p>
    <w:p>
      <w:pPr>
        <w:ind w:left="1080" w:right="140" w:hanging="424"/>
        <w:spacing w:after="0" w:line="311" w:lineRule="auto"/>
        <w:tabs>
          <w:tab w:leader="none" w:pos="10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Compania Naviera Horamar S.A. leases approximately 277 square meters of a warehouse located at 874 California Str., Buenos Aires, Argentina. The lease agreement expires on August 31, 2021. Compania Naviera Horamar S.A. also leases an apartment for the use of one of its employees located at 206 Nicasio Oroño, Rosario, Argentina. The lease agreement expires on October 31, 2023.</w:t>
      </w:r>
    </w:p>
    <w:p>
      <w:pPr>
        <w:spacing w:after="0" w:line="54" w:lineRule="exact"/>
        <w:rPr>
          <w:rFonts w:ascii="Arial" w:cs="Arial" w:eastAsia="Arial" w:hAnsi="Arial"/>
          <w:sz w:val="16"/>
          <w:szCs w:val="16"/>
          <w:color w:val="auto"/>
        </w:rPr>
      </w:pPr>
    </w:p>
    <w:p>
      <w:pPr>
        <w:ind w:left="1080" w:right="220" w:hanging="424"/>
        <w:spacing w:after="0" w:line="342" w:lineRule="auto"/>
        <w:tabs>
          <w:tab w:leader="none" w:pos="10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Compania Naviera Horamar S.A. leases a piece of land called “La Misteriosa” in an Island in the Province of Entre Rios, Argentina, Department of Islands of Ibicuy and Paranacito. As per new contract dated June 28, 2019, the lease agreement expires on June 30, 2021.</w:t>
      </w:r>
    </w:p>
    <w:p>
      <w:pPr>
        <w:spacing w:after="0" w:line="29" w:lineRule="exact"/>
        <w:rPr>
          <w:rFonts w:ascii="Arial" w:cs="Arial" w:eastAsia="Arial" w:hAnsi="Arial"/>
          <w:sz w:val="16"/>
          <w:szCs w:val="16"/>
          <w:color w:val="auto"/>
        </w:rPr>
      </w:pPr>
    </w:p>
    <w:p>
      <w:pPr>
        <w:ind w:left="1080" w:right="120" w:hanging="424"/>
        <w:spacing w:after="0" w:line="263"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Compania Naviera Horamar S.A. leases approximately 1,370 square meters of an office space at Av. Juana Manso 205, Buenos Aires, Argentina, pursuant to a lease agreement that expires in June 2021. As per addendum dated November 21, 2019, CNH has agreed to lease nine additional parking spaces and one storage until expiration date.</w:t>
      </w:r>
    </w:p>
    <w:p>
      <w:pPr>
        <w:spacing w:after="0" w:line="89"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Merco Par S.A.C.I. leases approximately 655 square meters of office space at Avenida Aviadores del Chaco No 1.669 corner San Martín, Asuncion, Paraguay, pursuant to a lease agreement that expires in October 2023.</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20"/>
          </w:cols>
          <w:pgMar w:left="320" w:top="459" w:right="4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80" w:hanging="424"/>
        <w:spacing w:after="0" w:line="277" w:lineRule="auto"/>
        <w:tabs>
          <w:tab w:leader="none" w:pos="10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CNSA owns premises in Montevideo, Uruguay. This space is approximately 112 square meters and is located at Juan Carlos Gomez 1445, Oficina 701, Montevideo 1100, Uruguay.</w:t>
      </w:r>
    </w:p>
    <w:p>
      <w:pPr>
        <w:spacing w:after="0" w:line="75" w:lineRule="exact"/>
        <w:rPr>
          <w:rFonts w:ascii="Arial" w:cs="Arial" w:eastAsia="Arial" w:hAnsi="Arial"/>
          <w:sz w:val="18"/>
          <w:szCs w:val="18"/>
          <w:color w:val="auto"/>
        </w:rPr>
      </w:pPr>
    </w:p>
    <w:p>
      <w:pPr>
        <w:ind w:left="1080" w:right="400" w:hanging="424"/>
        <w:spacing w:after="0" w:line="342" w:lineRule="auto"/>
        <w:tabs>
          <w:tab w:leader="none" w:pos="1080" w:val="left"/>
        </w:tabs>
        <w:numPr>
          <w:ilvl w:val="1"/>
          <w:numId w:val="84"/>
        </w:numPr>
        <w:rPr>
          <w:rFonts w:ascii="Arial" w:cs="Arial" w:eastAsia="Arial" w:hAnsi="Arial"/>
          <w:sz w:val="16"/>
          <w:szCs w:val="16"/>
          <w:color w:val="auto"/>
        </w:rPr>
      </w:pPr>
      <w:r>
        <w:rPr>
          <w:rFonts w:ascii="Arial" w:cs="Arial" w:eastAsia="Arial" w:hAnsi="Arial"/>
          <w:sz w:val="16"/>
          <w:szCs w:val="16"/>
          <w:color w:val="auto"/>
        </w:rPr>
        <w:t>Petrolera San Antonio S.A. owns the premises from which it operates in Avenida San Antonio, Paraguay. This space is approximately 146,744 square meters and is located between Avenida San Antonio and Virgen de Caacupe, San Antonio, Paraguay.</w:t>
      </w:r>
    </w:p>
    <w:p>
      <w:pPr>
        <w:spacing w:after="0" w:line="29" w:lineRule="exact"/>
        <w:rPr>
          <w:rFonts w:ascii="Arial" w:cs="Arial" w:eastAsia="Arial" w:hAnsi="Arial"/>
          <w:sz w:val="16"/>
          <w:szCs w:val="16"/>
          <w:color w:val="auto"/>
        </w:rPr>
      </w:pPr>
    </w:p>
    <w:p>
      <w:pPr>
        <w:ind w:left="1080" w:hanging="424"/>
        <w:spacing w:after="0" w:line="259" w:lineRule="auto"/>
        <w:tabs>
          <w:tab w:leader="none" w:pos="10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Compania Naviera Horamar S.A. owns two storehouses located at 880 Calle California, Ciudad Autonoma de Buenos Aires, Argentina and at 791/795 Calle General Daniel Cerri, Ciudad Autonoma de Buenos Aires, Argentina of approximately 259 and 825 square meters, respectively. Compania Naviera Horamar S.A. also owns approximately 1,139 square meters of office space located in 846 Avenida Santa Fe, Ciudad Autonoma de Buenos Aires, Argentina.</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1"/>
          <w:numId w:val="84"/>
        </w:numPr>
        <w:rPr>
          <w:rFonts w:ascii="Arial" w:cs="Arial" w:eastAsia="Arial" w:hAnsi="Arial"/>
          <w:sz w:val="16"/>
          <w:szCs w:val="16"/>
          <w:color w:val="auto"/>
        </w:rPr>
      </w:pPr>
      <w:r>
        <w:rPr>
          <w:rFonts w:ascii="Arial" w:cs="Arial" w:eastAsia="Arial" w:hAnsi="Arial"/>
          <w:sz w:val="16"/>
          <w:szCs w:val="16"/>
          <w:color w:val="auto"/>
        </w:rPr>
        <w:t>Petrovia Internacional S.A. owns three plots of land in Nueva Palmira, Uruguay, two of approximately 29 acres each and one of 23 acres.</w:t>
      </w:r>
    </w:p>
    <w:p>
      <w:pPr>
        <w:spacing w:after="0" w:line="153" w:lineRule="exact"/>
        <w:rPr>
          <w:rFonts w:ascii="Arial" w:cs="Arial" w:eastAsia="Arial" w:hAnsi="Arial"/>
          <w:sz w:val="16"/>
          <w:szCs w:val="16"/>
          <w:color w:val="auto"/>
        </w:rPr>
      </w:pPr>
    </w:p>
    <w:p>
      <w:pPr>
        <w:ind w:left="1080" w:right="740" w:hanging="424"/>
        <w:spacing w:after="0" w:line="342" w:lineRule="auto"/>
        <w:tabs>
          <w:tab w:leader="none" w:pos="1080" w:val="left"/>
        </w:tabs>
        <w:numPr>
          <w:ilvl w:val="1"/>
          <w:numId w:val="84"/>
        </w:numPr>
        <w:rPr>
          <w:rFonts w:ascii="Arial" w:cs="Arial" w:eastAsia="Arial" w:hAnsi="Arial"/>
          <w:sz w:val="16"/>
          <w:szCs w:val="16"/>
          <w:color w:val="auto"/>
        </w:rPr>
      </w:pPr>
      <w:r>
        <w:rPr>
          <w:rFonts w:ascii="Arial" w:cs="Arial" w:eastAsia="Arial" w:hAnsi="Arial"/>
          <w:sz w:val="16"/>
          <w:szCs w:val="16"/>
          <w:color w:val="auto"/>
        </w:rPr>
        <w:t>Hidronave South American Logistics leases an office space at 688, 15 De Novembro Street, Corumbá, Brazil, pursuant to a lease agreement that expired in May 2020 and was automatically renewed, according to the terms set forth in the lease agreement.</w:t>
      </w:r>
    </w:p>
    <w:p>
      <w:pPr>
        <w:spacing w:after="0" w:line="29" w:lineRule="exact"/>
        <w:rPr>
          <w:rFonts w:ascii="Arial" w:cs="Arial" w:eastAsia="Arial" w:hAnsi="Arial"/>
          <w:sz w:val="16"/>
          <w:szCs w:val="16"/>
          <w:color w:val="auto"/>
        </w:rPr>
      </w:pPr>
    </w:p>
    <w:p>
      <w:pPr>
        <w:ind w:left="1080" w:right="180" w:hanging="424"/>
        <w:spacing w:after="0" w:line="259" w:lineRule="auto"/>
        <w:tabs>
          <w:tab w:leader="none" w:pos="10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Docas, in 2018, acquired a plot of land in Porto Murtinho, Brazil of approximately 3.5 hectares and it is located on the shoreline of the Paraguay River. On September 10, 2019 Docas has also acquired a new plot and on June 4, 2020 Docas has acquired from AABB Banco do Brasil an additional plot of land totaling 3.2 hectares for 2019 and 2020. On March 24, 2021, Docas acquired a plot of land of approximately 2.3 hectares.</w:t>
      </w:r>
    </w:p>
    <w:p>
      <w:pPr>
        <w:spacing w:after="0" w:line="294" w:lineRule="exact"/>
        <w:rPr>
          <w:rFonts w:ascii="Arial" w:cs="Arial" w:eastAsia="Arial" w:hAnsi="Arial"/>
          <w:sz w:val="18"/>
          <w:szCs w:val="18"/>
          <w:color w:val="auto"/>
        </w:rPr>
      </w:pPr>
    </w:p>
    <w:p>
      <w:pPr>
        <w:ind w:left="320" w:hanging="204"/>
        <w:spacing w:after="0"/>
        <w:tabs>
          <w:tab w:leader="none" w:pos="320" w:val="left"/>
        </w:tabs>
        <w:numPr>
          <w:ilvl w:val="0"/>
          <w:numId w:val="8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Organizational structure</w:t>
      </w:r>
    </w:p>
    <w:p>
      <w:pPr>
        <w:spacing w:after="0" w:line="117" w:lineRule="exact"/>
        <w:rPr>
          <w:sz w:val="20"/>
          <w:szCs w:val="20"/>
          <w:color w:val="auto"/>
        </w:rPr>
      </w:pPr>
    </w:p>
    <w:p>
      <w:pPr>
        <w:jc w:val="both"/>
        <w:ind w:left="120" w:right="120" w:firstLine="440"/>
        <w:spacing w:after="0" w:line="286" w:lineRule="auto"/>
        <w:rPr>
          <w:sz w:val="20"/>
          <w:szCs w:val="20"/>
          <w:color w:val="auto"/>
        </w:rPr>
      </w:pPr>
      <w:r>
        <w:rPr>
          <w:rFonts w:ascii="Arial" w:cs="Arial" w:eastAsia="Arial" w:hAnsi="Arial"/>
          <w:sz w:val="17"/>
          <w:szCs w:val="17"/>
          <w:color w:val="auto"/>
        </w:rPr>
        <w:t>Navios Holdings maintains its head offices in the Cayman Islands. Navios Logistics maintains offices in Montevideo—Uruguay, Buenos Aires— Argentina, Asunción—Paraguay, and Corumbá—Brazil. Navios Logistics owns the Nueva Palmiradry ports and transfer facilities indirectly through its Uruguayan subsidiaries CNSA and Granos and the San Antonio port facility through its Paraguayan subsidiary, Petrosan.</w:t>
      </w:r>
    </w:p>
    <w:p>
      <w:pPr>
        <w:spacing w:after="0" w:line="165"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As of December 31, 2020, all subsidiaries included in the consolidated financial statements are 100% owned, except for Navios Logistics and its subsidiaries, which are 63.8% owned by Navios Holdings.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 below sets forth Navios Holdings’ corporate structure for each of the periods presented.</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20"/>
          </w:cols>
          <w:pgMar w:left="320" w:top="459"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Subsidiaries included in the consolidation:</w:t>
      </w:r>
    </w:p>
    <w:p>
      <w:pPr>
        <w:spacing w:after="0" w:line="126"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060" w:type="dxa"/>
            <w:vAlign w:val="bottom"/>
            <w:vMerge w:val="restart"/>
          </w:tcPr>
          <w:p>
            <w:pPr>
              <w:spacing w:after="0"/>
              <w:rPr>
                <w:sz w:val="20"/>
                <w:szCs w:val="20"/>
                <w:color w:val="auto"/>
              </w:rPr>
            </w:pPr>
            <w:r>
              <w:rPr>
                <w:rFonts w:ascii="Arial" w:cs="Arial" w:eastAsia="Arial" w:hAnsi="Arial"/>
                <w:sz w:val="14"/>
                <w:szCs w:val="14"/>
                <w:b w:val="1"/>
                <w:bCs w:val="1"/>
                <w:color w:val="auto"/>
              </w:rPr>
              <w:t>Company Name</w:t>
            </w:r>
          </w:p>
        </w:tc>
        <w:tc>
          <w:tcPr>
            <w:tcW w:w="1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Ownership</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Country of</w:t>
            </w:r>
          </w:p>
        </w:tc>
        <w:tc>
          <w:tcPr>
            <w:tcW w:w="2940" w:type="dxa"/>
            <w:vAlign w:val="bottom"/>
            <w:tcBorders>
              <w:bottom w:val="single" w:sz="8" w:color="auto"/>
            </w:tcBorders>
            <w:gridSpan w:val="5"/>
          </w:tcPr>
          <w:p>
            <w:pPr>
              <w:ind w:left="720"/>
              <w:spacing w:after="0"/>
              <w:rPr>
                <w:sz w:val="20"/>
                <w:szCs w:val="20"/>
                <w:color w:val="auto"/>
              </w:rPr>
            </w:pPr>
            <w:r>
              <w:rPr>
                <w:rFonts w:ascii="Arial" w:cs="Arial" w:eastAsia="Arial" w:hAnsi="Arial"/>
                <w:sz w:val="14"/>
                <w:szCs w:val="14"/>
                <w:b w:val="1"/>
                <w:bCs w:val="1"/>
                <w:color w:val="auto"/>
              </w:rPr>
              <w:t>Statement of Operations</w:t>
            </w:r>
          </w:p>
        </w:tc>
        <w:tc>
          <w:tcPr>
            <w:tcW w:w="0" w:type="dxa"/>
            <w:vAlign w:val="bottom"/>
          </w:tcPr>
          <w:p>
            <w:pPr>
              <w:spacing w:after="0"/>
              <w:rPr>
                <w:sz w:val="1"/>
                <w:szCs w:val="1"/>
                <w:color w:val="auto"/>
              </w:rPr>
            </w:pPr>
          </w:p>
        </w:tc>
      </w:tr>
      <w:tr>
        <w:trPr>
          <w:trHeight w:val="142"/>
        </w:trPr>
        <w:tc>
          <w:tcPr>
            <w:tcW w:w="4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gridSpan w:val="2"/>
          </w:tcPr>
          <w:p>
            <w:pPr>
              <w:ind w:left="780"/>
              <w:spacing w:after="0" w:line="142" w:lineRule="exact"/>
              <w:rPr>
                <w:sz w:val="20"/>
                <w:szCs w:val="20"/>
                <w:color w:val="auto"/>
              </w:rPr>
            </w:pPr>
            <w:r>
              <w:rPr>
                <w:rFonts w:ascii="Arial" w:cs="Arial" w:eastAsia="Arial" w:hAnsi="Arial"/>
                <w:sz w:val="14"/>
                <w:szCs w:val="14"/>
                <w:b w:val="1"/>
                <w:bCs w:val="1"/>
                <w:color w:val="auto"/>
              </w:rPr>
              <w:t>Nature</w:t>
            </w:r>
          </w:p>
        </w:tc>
        <w:tc>
          <w:tcPr>
            <w:tcW w:w="82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4"/>
              </w:rPr>
              <w:t>Interest</w:t>
            </w:r>
          </w:p>
        </w:tc>
        <w:tc>
          <w:tcPr>
            <w:tcW w:w="1020" w:type="dxa"/>
            <w:vAlign w:val="bottom"/>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w w:val="95"/>
              </w:rPr>
              <w:t>Incorporation</w:t>
            </w:r>
          </w:p>
        </w:tc>
        <w:tc>
          <w:tcPr>
            <w:tcW w:w="8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6"/>
              </w:rPr>
              <w:t>2018</w:t>
            </w:r>
          </w:p>
        </w:tc>
        <w:tc>
          <w:tcPr>
            <w:tcW w:w="0" w:type="dxa"/>
            <w:vAlign w:val="bottom"/>
          </w:tcPr>
          <w:p>
            <w:pPr>
              <w:spacing w:after="0"/>
              <w:rPr>
                <w:sz w:val="1"/>
                <w:szCs w:val="1"/>
                <w:color w:val="auto"/>
              </w:rPr>
            </w:pPr>
          </w:p>
        </w:tc>
      </w:tr>
      <w:tr>
        <w:trPr>
          <w:trHeight w:val="209"/>
        </w:trPr>
        <w:tc>
          <w:tcPr>
            <w:tcW w:w="4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Navios Maritime Holdings Inc.</w:t>
            </w:r>
          </w:p>
        </w:tc>
        <w:tc>
          <w:tcPr>
            <w:tcW w:w="100" w:type="dxa"/>
            <w:vAlign w:val="bottom"/>
            <w:tcBorders>
              <w:top w:val="single" w:sz="8" w:color="CCEEFF"/>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Holding Company</w:t>
            </w: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1/1 - 12/31</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1/1 - 12/31</w:t>
            </w: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1/1 - 12/31</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Navios South American Logistics Inc.</w:t>
            </w:r>
          </w:p>
        </w:tc>
        <w:tc>
          <w:tcPr>
            <w:tcW w:w="2180" w:type="dxa"/>
            <w:vAlign w:val="bottom"/>
            <w:gridSpan w:val="3"/>
          </w:tcPr>
          <w:p>
            <w:pPr>
              <w:ind w:left="100"/>
              <w:spacing w:after="0"/>
              <w:rPr>
                <w:sz w:val="20"/>
                <w:szCs w:val="20"/>
                <w:color w:val="auto"/>
              </w:rPr>
            </w:pPr>
            <w:r>
              <w:rPr>
                <w:rFonts w:ascii="Arial" w:cs="Arial" w:eastAsia="Arial" w:hAnsi="Arial"/>
                <w:sz w:val="18"/>
                <w:szCs w:val="18"/>
                <w:color w:val="auto"/>
              </w:rPr>
              <w:t>Sub-Holding Company</w:t>
            </w:r>
          </w:p>
        </w:tc>
        <w:tc>
          <w:tcPr>
            <w:tcW w:w="720" w:type="dxa"/>
            <w:vAlign w:val="bottom"/>
          </w:tcPr>
          <w:p>
            <w:pPr>
              <w:jc w:val="center"/>
              <w:spacing w:after="0"/>
              <w:rPr>
                <w:sz w:val="20"/>
                <w:szCs w:val="20"/>
                <w:color w:val="auto"/>
              </w:rPr>
            </w:pPr>
            <w:r>
              <w:rPr>
                <w:rFonts w:ascii="Arial" w:cs="Arial" w:eastAsia="Arial" w:hAnsi="Arial"/>
                <w:sz w:val="18"/>
                <w:szCs w:val="18"/>
                <w:color w:val="auto"/>
                <w:w w:val="90"/>
              </w:rPr>
              <w:t>63.8%</w:t>
            </w:r>
          </w:p>
        </w:tc>
        <w:tc>
          <w:tcPr>
            <w:tcW w:w="100" w:type="dxa"/>
            <w:vAlign w:val="bottom"/>
          </w:tcPr>
          <w:p>
            <w:pPr>
              <w:spacing w:after="0"/>
              <w:rPr>
                <w:sz w:val="18"/>
                <w:szCs w:val="18"/>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Marshall Is.</w:t>
            </w:r>
          </w:p>
        </w:tc>
        <w:tc>
          <w:tcPr>
            <w:tcW w:w="1780" w:type="dxa"/>
            <w:vAlign w:val="bottom"/>
            <w:gridSpan w:val="3"/>
          </w:tcPr>
          <w:p>
            <w:pPr>
              <w:jc w:val="right"/>
              <w:spacing w:after="0"/>
              <w:rPr>
                <w:sz w:val="20"/>
                <w:szCs w:val="20"/>
                <w:color w:val="auto"/>
              </w:rPr>
            </w:pPr>
            <w:r>
              <w:rPr>
                <w:rFonts w:ascii="Arial" w:cs="Arial" w:eastAsia="Arial" w:hAnsi="Arial"/>
                <w:sz w:val="18"/>
                <w:szCs w:val="18"/>
                <w:color w:val="auto"/>
                <w:w w:val="95"/>
              </w:rPr>
              <w:t>1/1 - 12/31  1/1 - 12/31</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1/1 - 12/31</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Navios Maritime Containers L.P.</w:t>
            </w:r>
          </w:p>
        </w:tc>
        <w:tc>
          <w:tcPr>
            <w:tcW w:w="21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Holding Company</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3"/>
              </w:rPr>
              <w:t>Marshall Is.</w:t>
            </w:r>
          </w:p>
        </w:tc>
        <w:tc>
          <w:tcPr>
            <w:tcW w:w="9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1/1 - 8/29</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11/30 - 12/31</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Navios Corporation</w:t>
            </w:r>
          </w:p>
        </w:tc>
        <w:tc>
          <w:tcPr>
            <w:tcW w:w="2180" w:type="dxa"/>
            <w:vAlign w:val="bottom"/>
            <w:gridSpan w:val="3"/>
          </w:tcPr>
          <w:p>
            <w:pPr>
              <w:ind w:left="100"/>
              <w:spacing w:after="0"/>
              <w:rPr>
                <w:sz w:val="20"/>
                <w:szCs w:val="20"/>
                <w:color w:val="auto"/>
              </w:rPr>
            </w:pPr>
            <w:r>
              <w:rPr>
                <w:rFonts w:ascii="Arial" w:cs="Arial" w:eastAsia="Arial" w:hAnsi="Arial"/>
                <w:sz w:val="18"/>
                <w:szCs w:val="18"/>
                <w:color w:val="auto"/>
              </w:rPr>
              <w:t>Sub-Holding Company</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8"/>
                <w:szCs w:val="18"/>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Marshall Is.</w:t>
            </w:r>
          </w:p>
        </w:tc>
        <w:tc>
          <w:tcPr>
            <w:tcW w:w="1780" w:type="dxa"/>
            <w:vAlign w:val="bottom"/>
            <w:gridSpan w:val="3"/>
          </w:tcPr>
          <w:p>
            <w:pPr>
              <w:jc w:val="right"/>
              <w:spacing w:after="0"/>
              <w:rPr>
                <w:sz w:val="20"/>
                <w:szCs w:val="20"/>
                <w:color w:val="auto"/>
              </w:rPr>
            </w:pPr>
            <w:r>
              <w:rPr>
                <w:rFonts w:ascii="Arial" w:cs="Arial" w:eastAsia="Arial" w:hAnsi="Arial"/>
                <w:sz w:val="18"/>
                <w:szCs w:val="18"/>
                <w:color w:val="auto"/>
                <w:w w:val="95"/>
              </w:rPr>
              <w:t>1/1 - 12/31  1/1 - 12/31</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1/1 - 12/31</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Navios International Inc.</w:t>
            </w:r>
          </w:p>
        </w:tc>
        <w:tc>
          <w:tcPr>
            <w:tcW w:w="21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Operating Company</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3"/>
              </w:rPr>
              <w:t>Marshall Is.</w:t>
            </w:r>
          </w:p>
        </w:tc>
        <w:tc>
          <w:tcPr>
            <w:tcW w:w="1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1/1 - 12/31  1/1 - 12/31</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1/1 - 12/31</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Navimax Corporation</w:t>
            </w:r>
          </w:p>
        </w:tc>
        <w:tc>
          <w:tcPr>
            <w:tcW w:w="2180" w:type="dxa"/>
            <w:vAlign w:val="bottom"/>
            <w:gridSpan w:val="3"/>
          </w:tcPr>
          <w:p>
            <w:pPr>
              <w:ind w:left="100"/>
              <w:spacing w:after="0"/>
              <w:rPr>
                <w:sz w:val="20"/>
                <w:szCs w:val="20"/>
                <w:color w:val="auto"/>
              </w:rPr>
            </w:pPr>
            <w:r>
              <w:rPr>
                <w:rFonts w:ascii="Arial" w:cs="Arial" w:eastAsia="Arial" w:hAnsi="Arial"/>
                <w:sz w:val="18"/>
                <w:szCs w:val="18"/>
                <w:color w:val="auto"/>
              </w:rPr>
              <w:t>Operating Company</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8"/>
                <w:szCs w:val="18"/>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Marshall Is.</w:t>
            </w:r>
          </w:p>
        </w:tc>
        <w:tc>
          <w:tcPr>
            <w:tcW w:w="1780" w:type="dxa"/>
            <w:vAlign w:val="bottom"/>
            <w:gridSpan w:val="3"/>
          </w:tcPr>
          <w:p>
            <w:pPr>
              <w:jc w:val="right"/>
              <w:spacing w:after="0"/>
              <w:rPr>
                <w:sz w:val="20"/>
                <w:szCs w:val="20"/>
                <w:color w:val="auto"/>
              </w:rPr>
            </w:pPr>
            <w:r>
              <w:rPr>
                <w:rFonts w:ascii="Arial" w:cs="Arial" w:eastAsia="Arial" w:hAnsi="Arial"/>
                <w:sz w:val="18"/>
                <w:szCs w:val="18"/>
                <w:color w:val="auto"/>
                <w:w w:val="95"/>
              </w:rPr>
              <w:t>1/1 - 12/31  1/1 - 12/31</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1/1 - 12/31</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Navios Handybulk Inc.</w:t>
            </w:r>
          </w:p>
        </w:tc>
        <w:tc>
          <w:tcPr>
            <w:tcW w:w="21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Operating Company</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3"/>
              </w:rPr>
              <w:t>Marshall Is.</w:t>
            </w:r>
          </w:p>
        </w:tc>
        <w:tc>
          <w:tcPr>
            <w:tcW w:w="1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1/1 - 12/31  1/1 - 12/31</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1/1 - 12/31</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Hestia Shipping Ltd.</w:t>
            </w:r>
          </w:p>
        </w:tc>
        <w:tc>
          <w:tcPr>
            <w:tcW w:w="2180" w:type="dxa"/>
            <w:vAlign w:val="bottom"/>
            <w:gridSpan w:val="3"/>
          </w:tcPr>
          <w:p>
            <w:pPr>
              <w:ind w:left="100"/>
              <w:spacing w:after="0"/>
              <w:rPr>
                <w:sz w:val="20"/>
                <w:szCs w:val="20"/>
                <w:color w:val="auto"/>
              </w:rPr>
            </w:pPr>
            <w:r>
              <w:rPr>
                <w:rFonts w:ascii="Arial" w:cs="Arial" w:eastAsia="Arial" w:hAnsi="Arial"/>
                <w:sz w:val="18"/>
                <w:szCs w:val="18"/>
                <w:color w:val="auto"/>
              </w:rPr>
              <w:t>Operating Company</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8"/>
                <w:szCs w:val="18"/>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Malta</w:t>
            </w:r>
          </w:p>
        </w:tc>
        <w:tc>
          <w:tcPr>
            <w:tcW w:w="1780" w:type="dxa"/>
            <w:vAlign w:val="bottom"/>
            <w:gridSpan w:val="3"/>
          </w:tcPr>
          <w:p>
            <w:pPr>
              <w:jc w:val="right"/>
              <w:spacing w:after="0"/>
              <w:rPr>
                <w:sz w:val="20"/>
                <w:szCs w:val="20"/>
                <w:color w:val="auto"/>
              </w:rPr>
            </w:pPr>
            <w:r>
              <w:rPr>
                <w:rFonts w:ascii="Arial" w:cs="Arial" w:eastAsia="Arial" w:hAnsi="Arial"/>
                <w:sz w:val="18"/>
                <w:szCs w:val="18"/>
                <w:color w:val="auto"/>
                <w:w w:val="95"/>
              </w:rPr>
              <w:t>1/1 - 12/31  1/1 - 12/31</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1/1 - 12/31</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Anemos Maritime Holdings Inc.</w:t>
            </w:r>
          </w:p>
        </w:tc>
        <w:tc>
          <w:tcPr>
            <w:tcW w:w="21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Sub-Holding Company</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3"/>
              </w:rPr>
              <w:t>Marshall Is.</w:t>
            </w:r>
          </w:p>
        </w:tc>
        <w:tc>
          <w:tcPr>
            <w:tcW w:w="1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1/1 - 12/31  1/1 - 12/31</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1/1 - 12/31</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Navios Shipmanagement Inc.</w:t>
            </w:r>
          </w:p>
        </w:tc>
        <w:tc>
          <w:tcPr>
            <w:tcW w:w="2180" w:type="dxa"/>
            <w:vAlign w:val="bottom"/>
            <w:gridSpan w:val="3"/>
          </w:tcPr>
          <w:p>
            <w:pPr>
              <w:ind w:left="100"/>
              <w:spacing w:after="0"/>
              <w:rPr>
                <w:sz w:val="20"/>
                <w:szCs w:val="20"/>
                <w:color w:val="auto"/>
              </w:rPr>
            </w:pPr>
            <w:r>
              <w:rPr>
                <w:rFonts w:ascii="Arial" w:cs="Arial" w:eastAsia="Arial" w:hAnsi="Arial"/>
                <w:sz w:val="18"/>
                <w:szCs w:val="18"/>
                <w:color w:val="auto"/>
              </w:rPr>
              <w:t>Management Company</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8"/>
                <w:szCs w:val="18"/>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Marshall Is.</w:t>
            </w:r>
          </w:p>
        </w:tc>
        <w:tc>
          <w:tcPr>
            <w:tcW w:w="9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1/1 - 8/29</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1/1 - 12/31</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NAV Holdings Limited</w:t>
            </w:r>
          </w:p>
        </w:tc>
        <w:tc>
          <w:tcPr>
            <w:tcW w:w="21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Sub-Holding Company</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5"/>
              </w:rPr>
              <w:t>Malta</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1/1 - 12/31</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1/1 - 12/31</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1/1 - 12/31</w:t>
            </w:r>
          </w:p>
        </w:tc>
        <w:tc>
          <w:tcPr>
            <w:tcW w:w="0" w:type="dxa"/>
            <w:vAlign w:val="bottom"/>
          </w:tcPr>
          <w:p>
            <w:pPr>
              <w:spacing w:after="0"/>
              <w:rPr>
                <w:sz w:val="1"/>
                <w:szCs w:val="1"/>
                <w:color w:val="auto"/>
              </w:rPr>
            </w:pPr>
          </w:p>
        </w:tc>
      </w:tr>
      <w:tr>
        <w:trPr>
          <w:trHeight w:val="202"/>
        </w:trPr>
        <w:tc>
          <w:tcPr>
            <w:tcW w:w="4060" w:type="dxa"/>
            <w:vAlign w:val="bottom"/>
          </w:tcPr>
          <w:p>
            <w:pPr>
              <w:spacing w:after="0" w:line="201" w:lineRule="exact"/>
              <w:rPr>
                <w:sz w:val="20"/>
                <w:szCs w:val="20"/>
                <w:color w:val="auto"/>
              </w:rPr>
            </w:pPr>
            <w:r>
              <w:rPr>
                <w:rFonts w:ascii="Arial" w:cs="Arial" w:eastAsia="Arial" w:hAnsi="Arial"/>
                <w:sz w:val="18"/>
                <w:szCs w:val="18"/>
                <w:color w:val="auto"/>
              </w:rPr>
              <w:t>Kleimar N.V.</w:t>
            </w:r>
          </w:p>
        </w:tc>
        <w:tc>
          <w:tcPr>
            <w:tcW w:w="218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Operating Company/</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2180" w:type="dxa"/>
            <w:vAlign w:val="bottom"/>
            <w:gridSpan w:val="3"/>
          </w:tcPr>
          <w:p>
            <w:pPr>
              <w:ind w:left="100"/>
              <w:spacing w:after="0"/>
              <w:rPr>
                <w:sz w:val="20"/>
                <w:szCs w:val="20"/>
                <w:color w:val="auto"/>
              </w:rPr>
            </w:pPr>
            <w:r>
              <w:rPr>
                <w:rFonts w:ascii="Arial" w:cs="Arial" w:eastAsia="Arial" w:hAnsi="Arial"/>
                <w:sz w:val="18"/>
                <w:szCs w:val="18"/>
                <w:color w:val="auto"/>
                <w:w w:val="99"/>
              </w:rPr>
              <w:t>Vessel Owning Company/</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060" w:type="dxa"/>
            <w:vAlign w:val="bottom"/>
          </w:tcPr>
          <w:p>
            <w:pPr>
              <w:spacing w:after="0"/>
              <w:rPr>
                <w:sz w:val="21"/>
                <w:szCs w:val="21"/>
                <w:color w:val="auto"/>
              </w:rPr>
            </w:pPr>
          </w:p>
        </w:tc>
        <w:tc>
          <w:tcPr>
            <w:tcW w:w="2180" w:type="dxa"/>
            <w:vAlign w:val="bottom"/>
            <w:gridSpan w:val="3"/>
          </w:tcPr>
          <w:p>
            <w:pPr>
              <w:ind w:left="100"/>
              <w:spacing w:after="0"/>
              <w:rPr>
                <w:sz w:val="20"/>
                <w:szCs w:val="20"/>
                <w:color w:val="auto"/>
              </w:rPr>
            </w:pPr>
            <w:r>
              <w:rPr>
                <w:rFonts w:ascii="Arial" w:cs="Arial" w:eastAsia="Arial" w:hAnsi="Arial"/>
                <w:sz w:val="18"/>
                <w:szCs w:val="18"/>
                <w:color w:val="auto"/>
              </w:rPr>
              <w:t>Management Company</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21"/>
                <w:szCs w:val="21"/>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Belgium</w:t>
            </w:r>
          </w:p>
        </w:tc>
        <w:tc>
          <w:tcPr>
            <w:tcW w:w="840" w:type="dxa"/>
            <w:vAlign w:val="bottom"/>
          </w:tcPr>
          <w:p>
            <w:pPr>
              <w:jc w:val="center"/>
              <w:spacing w:after="0"/>
              <w:rPr>
                <w:sz w:val="20"/>
                <w:szCs w:val="20"/>
                <w:color w:val="auto"/>
              </w:rPr>
            </w:pPr>
            <w:r>
              <w:rPr>
                <w:rFonts w:ascii="Arial" w:cs="Arial" w:eastAsia="Arial" w:hAnsi="Arial"/>
                <w:sz w:val="18"/>
                <w:szCs w:val="18"/>
                <w:color w:val="auto"/>
                <w:w w:val="92"/>
              </w:rPr>
              <w:t>1/1 - 12/31</w:t>
            </w: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2"/>
              </w:rPr>
              <w:t>1/1 - 12/31</w:t>
            </w:r>
          </w:p>
        </w:tc>
        <w:tc>
          <w:tcPr>
            <w:tcW w:w="1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1/1 - 12/31</w:t>
            </w:r>
          </w:p>
        </w:tc>
        <w:tc>
          <w:tcPr>
            <w:tcW w:w="0" w:type="dxa"/>
            <w:vAlign w:val="bottom"/>
          </w:tcPr>
          <w:p>
            <w:pPr>
              <w:spacing w:after="0"/>
              <w:rPr>
                <w:sz w:val="1"/>
                <w:szCs w:val="1"/>
                <w:color w:val="auto"/>
              </w:rPr>
            </w:pPr>
          </w:p>
        </w:tc>
      </w:tr>
      <w:tr>
        <w:trPr>
          <w:trHeight w:val="364"/>
        </w:trPr>
        <w:tc>
          <w:tcPr>
            <w:tcW w:w="4060" w:type="dxa"/>
            <w:vAlign w:val="bottom"/>
          </w:tcPr>
          <w:p>
            <w:pPr>
              <w:spacing w:after="0"/>
              <w:rPr>
                <w:sz w:val="24"/>
                <w:szCs w:val="24"/>
                <w:color w:val="auto"/>
              </w:rPr>
            </w:pPr>
          </w:p>
        </w:tc>
        <w:tc>
          <w:tcPr>
            <w:tcW w:w="2080" w:type="dxa"/>
            <w:vAlign w:val="bottom"/>
            <w:gridSpan w:val="2"/>
          </w:tcPr>
          <w:p>
            <w:pPr>
              <w:jc w:val="right"/>
              <w:ind w:right="459"/>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 Name</w:t>
            </w: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Ownership</w:t>
            </w: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Country of</w:t>
            </w:r>
          </w:p>
        </w:tc>
        <w:tc>
          <w:tcPr>
            <w:tcW w:w="2820" w:type="dxa"/>
            <w:vAlign w:val="bottom"/>
            <w:tcBorders>
              <w:bottom w:val="single" w:sz="8" w:color="auto"/>
            </w:tcBorders>
            <w:gridSpan w:val="5"/>
          </w:tcPr>
          <w:p>
            <w:pPr>
              <w:jc w:val="right"/>
              <w:ind w:right="572"/>
              <w:spacing w:after="0"/>
              <w:rPr>
                <w:sz w:val="20"/>
                <w:szCs w:val="20"/>
                <w:color w:val="auto"/>
              </w:rPr>
            </w:pPr>
            <w:r>
              <w:rPr>
                <w:rFonts w:ascii="Arial" w:cs="Arial" w:eastAsia="Arial" w:hAnsi="Arial"/>
                <w:sz w:val="14"/>
                <w:szCs w:val="14"/>
                <w:b w:val="1"/>
                <w:bCs w:val="1"/>
                <w:color w:val="auto"/>
              </w:rPr>
              <w:t>Statement of Operations</w:t>
            </w:r>
          </w:p>
        </w:tc>
        <w:tc>
          <w:tcPr>
            <w:tcW w:w="0" w:type="dxa"/>
            <w:vAlign w:val="bottom"/>
          </w:tcPr>
          <w:p>
            <w:pPr>
              <w:spacing w:after="0"/>
              <w:rPr>
                <w:sz w:val="1"/>
                <w:szCs w:val="1"/>
                <w:color w:val="auto"/>
              </w:rPr>
            </w:pPr>
          </w:p>
        </w:tc>
      </w:tr>
      <w:tr>
        <w:trPr>
          <w:trHeight w:val="142"/>
        </w:trPr>
        <w:tc>
          <w:tcPr>
            <w:tcW w:w="4280" w:type="dxa"/>
            <w:vAlign w:val="bottom"/>
            <w:gridSpan w:val="2"/>
            <w:vMerge w:val="continue"/>
          </w:tcPr>
          <w:p>
            <w:pPr>
              <w:spacing w:after="0"/>
              <w:rPr>
                <w:sz w:val="12"/>
                <w:szCs w:val="12"/>
                <w:color w:val="auto"/>
              </w:rPr>
            </w:pPr>
          </w:p>
        </w:tc>
        <w:tc>
          <w:tcPr>
            <w:tcW w:w="2020" w:type="dxa"/>
            <w:vAlign w:val="bottom"/>
            <w:gridSpan w:val="2"/>
          </w:tcPr>
          <w:p>
            <w:pPr>
              <w:ind w:left="740"/>
              <w:spacing w:after="0" w:line="142" w:lineRule="exact"/>
              <w:rPr>
                <w:sz w:val="20"/>
                <w:szCs w:val="20"/>
                <w:color w:val="auto"/>
              </w:rPr>
            </w:pPr>
            <w:r>
              <w:rPr>
                <w:rFonts w:ascii="Arial" w:cs="Arial" w:eastAsia="Arial" w:hAnsi="Arial"/>
                <w:sz w:val="14"/>
                <w:szCs w:val="14"/>
                <w:b w:val="1"/>
                <w:bCs w:val="1"/>
                <w:color w:val="auto"/>
              </w:rPr>
              <w:t>Nature</w:t>
            </w:r>
          </w:p>
        </w:tc>
        <w:tc>
          <w:tcPr>
            <w:tcW w:w="82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4"/>
              </w:rPr>
              <w:t>Interest</w:t>
            </w:r>
          </w:p>
        </w:tc>
        <w:tc>
          <w:tcPr>
            <w:tcW w:w="108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5"/>
              </w:rPr>
              <w:t>Incorporation</w:t>
            </w:r>
          </w:p>
        </w:tc>
        <w:tc>
          <w:tcPr>
            <w:tcW w:w="8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2"/>
                <w:szCs w:val="12"/>
                <w:color w:val="auto"/>
              </w:rPr>
            </w:pPr>
          </w:p>
        </w:tc>
        <w:tc>
          <w:tcPr>
            <w:tcW w:w="9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2"/>
                <w:szCs w:val="12"/>
                <w:color w:val="auto"/>
              </w:rPr>
            </w:pPr>
          </w:p>
        </w:tc>
        <w:tc>
          <w:tcPr>
            <w:tcW w:w="840" w:type="dxa"/>
            <w:vAlign w:val="bottom"/>
          </w:tcPr>
          <w:p>
            <w:pPr>
              <w:jc w:val="right"/>
              <w:ind w:right="192"/>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09"/>
        </w:trPr>
        <w:tc>
          <w:tcPr>
            <w:tcW w:w="4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Kleimar Ltd.</w:t>
            </w:r>
          </w:p>
        </w:tc>
        <w:tc>
          <w:tcPr>
            <w:tcW w:w="10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Company</w:t>
            </w: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1/1 - 8/29</w:t>
            </w: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1/1 - 12/31</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Bulkinvest S.A.</w:t>
            </w:r>
          </w:p>
        </w:tc>
        <w:tc>
          <w:tcPr>
            <w:tcW w:w="2020" w:type="dxa"/>
            <w:vAlign w:val="bottom"/>
            <w:gridSpan w:val="2"/>
          </w:tcPr>
          <w:p>
            <w:pPr>
              <w:spacing w:after="0"/>
              <w:rPr>
                <w:sz w:val="20"/>
                <w:szCs w:val="20"/>
                <w:color w:val="auto"/>
              </w:rPr>
            </w:pPr>
            <w:r>
              <w:rPr>
                <w:rFonts w:ascii="Arial" w:cs="Arial" w:eastAsia="Arial" w:hAnsi="Arial"/>
                <w:sz w:val="18"/>
                <w:szCs w:val="18"/>
                <w:color w:val="auto"/>
              </w:rPr>
              <w:t>Operating Company</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8"/>
                <w:szCs w:val="18"/>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Luxembourg</w:t>
            </w: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1/1 - 12/31</w:t>
            </w:r>
          </w:p>
        </w:tc>
        <w:tc>
          <w:tcPr>
            <w:tcW w:w="120" w:type="dxa"/>
            <w:vAlign w:val="bottom"/>
          </w:tcPr>
          <w:p>
            <w:pPr>
              <w:spacing w:after="0"/>
              <w:rPr>
                <w:sz w:val="18"/>
                <w:szCs w:val="18"/>
                <w:color w:val="auto"/>
              </w:rPr>
            </w:pPr>
          </w:p>
        </w:tc>
        <w:tc>
          <w:tcPr>
            <w:tcW w:w="1880" w:type="dxa"/>
            <w:vAlign w:val="bottom"/>
            <w:gridSpan w:val="3"/>
          </w:tcPr>
          <w:p>
            <w:pPr>
              <w:jc w:val="right"/>
              <w:spacing w:after="0"/>
              <w:rPr>
                <w:sz w:val="20"/>
                <w:szCs w:val="20"/>
                <w:color w:val="auto"/>
              </w:rPr>
            </w:pPr>
            <w:r>
              <w:rPr>
                <w:rFonts w:ascii="Arial" w:cs="Arial" w:eastAsia="Arial" w:hAnsi="Arial"/>
                <w:sz w:val="18"/>
                <w:szCs w:val="18"/>
                <w:color w:val="auto"/>
                <w:w w:val="99"/>
              </w:rPr>
              <w:t>1/1 - 12/31  1/1 - 12/31</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Primavera Shipping Corporation</w:t>
            </w:r>
          </w:p>
        </w:tc>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Company</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Marshall Is.</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1/1 - 12/31</w:t>
            </w:r>
          </w:p>
        </w:tc>
        <w:tc>
          <w:tcPr>
            <w:tcW w:w="12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1/1 - 12/31  1/1 - 12/31</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Ginger Services Co.</w:t>
            </w:r>
          </w:p>
        </w:tc>
        <w:tc>
          <w:tcPr>
            <w:tcW w:w="2020" w:type="dxa"/>
            <w:vAlign w:val="bottom"/>
            <w:gridSpan w:val="2"/>
          </w:tcPr>
          <w:p>
            <w:pPr>
              <w:spacing w:after="0"/>
              <w:rPr>
                <w:sz w:val="20"/>
                <w:szCs w:val="20"/>
                <w:color w:val="auto"/>
              </w:rPr>
            </w:pPr>
            <w:r>
              <w:rPr>
                <w:rFonts w:ascii="Arial" w:cs="Arial" w:eastAsia="Arial" w:hAnsi="Arial"/>
                <w:sz w:val="18"/>
                <w:szCs w:val="18"/>
                <w:color w:val="auto"/>
              </w:rPr>
              <w:t>Operating Company</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8"/>
                <w:szCs w:val="18"/>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Marshall Is.</w:t>
            </w: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1/1 - 12/31</w:t>
            </w:r>
          </w:p>
        </w:tc>
        <w:tc>
          <w:tcPr>
            <w:tcW w:w="120" w:type="dxa"/>
            <w:vAlign w:val="bottom"/>
          </w:tcPr>
          <w:p>
            <w:pPr>
              <w:spacing w:after="0"/>
              <w:rPr>
                <w:sz w:val="18"/>
                <w:szCs w:val="18"/>
                <w:color w:val="auto"/>
              </w:rPr>
            </w:pPr>
          </w:p>
        </w:tc>
        <w:tc>
          <w:tcPr>
            <w:tcW w:w="1880" w:type="dxa"/>
            <w:vAlign w:val="bottom"/>
            <w:gridSpan w:val="3"/>
          </w:tcPr>
          <w:p>
            <w:pPr>
              <w:jc w:val="right"/>
              <w:spacing w:after="0"/>
              <w:rPr>
                <w:sz w:val="20"/>
                <w:szCs w:val="20"/>
                <w:color w:val="auto"/>
              </w:rPr>
            </w:pPr>
            <w:r>
              <w:rPr>
                <w:rFonts w:ascii="Arial" w:cs="Arial" w:eastAsia="Arial" w:hAnsi="Arial"/>
                <w:sz w:val="18"/>
                <w:szCs w:val="18"/>
                <w:color w:val="auto"/>
                <w:w w:val="99"/>
              </w:rPr>
              <w:t>1/1 - 12/31  1/1 - 12/31</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Aquis Marine Corp.</w:t>
            </w:r>
          </w:p>
        </w:tc>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Sub-Holding Company</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Marshall Is.</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1/1 - 12/31</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1/1 - 12/31</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1/1 - 12/31</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Navios Tankers Management Inc.</w:t>
            </w:r>
          </w:p>
        </w:tc>
        <w:tc>
          <w:tcPr>
            <w:tcW w:w="2020" w:type="dxa"/>
            <w:vAlign w:val="bottom"/>
            <w:gridSpan w:val="2"/>
          </w:tcPr>
          <w:p>
            <w:pPr>
              <w:spacing w:after="0"/>
              <w:rPr>
                <w:sz w:val="20"/>
                <w:szCs w:val="20"/>
                <w:color w:val="auto"/>
              </w:rPr>
            </w:pPr>
            <w:r>
              <w:rPr>
                <w:rFonts w:ascii="Arial" w:cs="Arial" w:eastAsia="Arial" w:hAnsi="Arial"/>
                <w:sz w:val="18"/>
                <w:szCs w:val="18"/>
                <w:color w:val="auto"/>
              </w:rPr>
              <w:t>Management Company</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8"/>
                <w:szCs w:val="18"/>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Marshall Is.</w:t>
            </w:r>
          </w:p>
        </w:tc>
        <w:tc>
          <w:tcPr>
            <w:tcW w:w="9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1/1 - 8/29</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1/1 - 12/31</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Astra Maritime Corporation</w:t>
            </w:r>
          </w:p>
        </w:tc>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Vessel Owning Company</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Marshall Is.</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1/1 - 12/31</w:t>
            </w:r>
          </w:p>
        </w:tc>
        <w:tc>
          <w:tcPr>
            <w:tcW w:w="12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1/1 - 12/31  1/1 - 12/31</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Achilles Shipping Corporation</w:t>
            </w:r>
          </w:p>
        </w:tc>
        <w:tc>
          <w:tcPr>
            <w:tcW w:w="2020" w:type="dxa"/>
            <w:vAlign w:val="bottom"/>
            <w:gridSpan w:val="2"/>
          </w:tcPr>
          <w:p>
            <w:pPr>
              <w:spacing w:after="0"/>
              <w:rPr>
                <w:sz w:val="20"/>
                <w:szCs w:val="20"/>
                <w:color w:val="auto"/>
              </w:rPr>
            </w:pPr>
            <w:r>
              <w:rPr>
                <w:rFonts w:ascii="Arial" w:cs="Arial" w:eastAsia="Arial" w:hAnsi="Arial"/>
                <w:sz w:val="18"/>
                <w:szCs w:val="18"/>
                <w:color w:val="auto"/>
              </w:rPr>
              <w:t>Operating Company</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8"/>
                <w:szCs w:val="18"/>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Marshall Is.</w:t>
            </w: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1/1 - 12/31</w:t>
            </w:r>
          </w:p>
        </w:tc>
        <w:tc>
          <w:tcPr>
            <w:tcW w:w="120" w:type="dxa"/>
            <w:vAlign w:val="bottom"/>
          </w:tcPr>
          <w:p>
            <w:pPr>
              <w:spacing w:after="0"/>
              <w:rPr>
                <w:sz w:val="18"/>
                <w:szCs w:val="18"/>
                <w:color w:val="auto"/>
              </w:rPr>
            </w:pPr>
          </w:p>
        </w:tc>
        <w:tc>
          <w:tcPr>
            <w:tcW w:w="1880" w:type="dxa"/>
            <w:vAlign w:val="bottom"/>
            <w:gridSpan w:val="3"/>
          </w:tcPr>
          <w:p>
            <w:pPr>
              <w:jc w:val="right"/>
              <w:spacing w:after="0"/>
              <w:rPr>
                <w:sz w:val="20"/>
                <w:szCs w:val="20"/>
                <w:color w:val="auto"/>
              </w:rPr>
            </w:pPr>
            <w:r>
              <w:rPr>
                <w:rFonts w:ascii="Arial" w:cs="Arial" w:eastAsia="Arial" w:hAnsi="Arial"/>
                <w:sz w:val="18"/>
                <w:szCs w:val="18"/>
                <w:color w:val="auto"/>
                <w:w w:val="99"/>
              </w:rPr>
              <w:t>1/1 - 12/31  1/1 - 12/31</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Apollon Shipping Corporation</w:t>
            </w:r>
          </w:p>
        </w:tc>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Company</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Marshall Is.</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1/1 - 12/31</w:t>
            </w:r>
          </w:p>
        </w:tc>
        <w:tc>
          <w:tcPr>
            <w:tcW w:w="12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1/1 - 12/31  1/1 - 12/31</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Herakles Shipping Corporation</w:t>
            </w:r>
          </w:p>
        </w:tc>
        <w:tc>
          <w:tcPr>
            <w:tcW w:w="2020" w:type="dxa"/>
            <w:vAlign w:val="bottom"/>
            <w:gridSpan w:val="2"/>
          </w:tcPr>
          <w:p>
            <w:pPr>
              <w:spacing w:after="0"/>
              <w:rPr>
                <w:sz w:val="20"/>
                <w:szCs w:val="20"/>
                <w:color w:val="auto"/>
              </w:rPr>
            </w:pPr>
            <w:r>
              <w:rPr>
                <w:rFonts w:ascii="Arial" w:cs="Arial" w:eastAsia="Arial" w:hAnsi="Arial"/>
                <w:sz w:val="18"/>
                <w:szCs w:val="18"/>
                <w:color w:val="auto"/>
              </w:rPr>
              <w:t>Operating Company</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8"/>
                <w:szCs w:val="18"/>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Marshall Is.</w:t>
            </w: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1/1 - 12/31</w:t>
            </w:r>
          </w:p>
        </w:tc>
        <w:tc>
          <w:tcPr>
            <w:tcW w:w="120" w:type="dxa"/>
            <w:vAlign w:val="bottom"/>
          </w:tcPr>
          <w:p>
            <w:pPr>
              <w:spacing w:after="0"/>
              <w:rPr>
                <w:sz w:val="18"/>
                <w:szCs w:val="18"/>
                <w:color w:val="auto"/>
              </w:rPr>
            </w:pPr>
          </w:p>
        </w:tc>
        <w:tc>
          <w:tcPr>
            <w:tcW w:w="1880" w:type="dxa"/>
            <w:vAlign w:val="bottom"/>
            <w:gridSpan w:val="3"/>
          </w:tcPr>
          <w:p>
            <w:pPr>
              <w:jc w:val="right"/>
              <w:spacing w:after="0"/>
              <w:rPr>
                <w:sz w:val="20"/>
                <w:szCs w:val="20"/>
                <w:color w:val="auto"/>
              </w:rPr>
            </w:pPr>
            <w:r>
              <w:rPr>
                <w:rFonts w:ascii="Arial" w:cs="Arial" w:eastAsia="Arial" w:hAnsi="Arial"/>
                <w:sz w:val="18"/>
                <w:szCs w:val="18"/>
                <w:color w:val="auto"/>
                <w:w w:val="99"/>
              </w:rPr>
              <w:t>1/1 - 12/31  1/1 - 12/31</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Hios Shipping Corporation</w:t>
            </w:r>
          </w:p>
        </w:tc>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Company</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Marshall Is.</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1/1 - 12/31</w:t>
            </w:r>
          </w:p>
        </w:tc>
        <w:tc>
          <w:tcPr>
            <w:tcW w:w="12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1/1 - 12/31  1/1 - 12/31</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Ionian Shipping Corporation</w:t>
            </w:r>
          </w:p>
        </w:tc>
        <w:tc>
          <w:tcPr>
            <w:tcW w:w="2020" w:type="dxa"/>
            <w:vAlign w:val="bottom"/>
            <w:gridSpan w:val="2"/>
          </w:tcPr>
          <w:p>
            <w:pPr>
              <w:spacing w:after="0"/>
              <w:rPr>
                <w:sz w:val="20"/>
                <w:szCs w:val="20"/>
                <w:color w:val="auto"/>
              </w:rPr>
            </w:pPr>
            <w:r>
              <w:rPr>
                <w:rFonts w:ascii="Arial" w:cs="Arial" w:eastAsia="Arial" w:hAnsi="Arial"/>
                <w:sz w:val="18"/>
                <w:szCs w:val="18"/>
                <w:color w:val="auto"/>
              </w:rPr>
              <w:t>Operating Company</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8"/>
                <w:szCs w:val="18"/>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Marshall Is.</w:t>
            </w: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1/1 - 12/31</w:t>
            </w:r>
          </w:p>
        </w:tc>
        <w:tc>
          <w:tcPr>
            <w:tcW w:w="120" w:type="dxa"/>
            <w:vAlign w:val="bottom"/>
          </w:tcPr>
          <w:p>
            <w:pPr>
              <w:spacing w:after="0"/>
              <w:rPr>
                <w:sz w:val="18"/>
                <w:szCs w:val="18"/>
                <w:color w:val="auto"/>
              </w:rPr>
            </w:pPr>
          </w:p>
        </w:tc>
        <w:tc>
          <w:tcPr>
            <w:tcW w:w="1880" w:type="dxa"/>
            <w:vAlign w:val="bottom"/>
            <w:gridSpan w:val="3"/>
          </w:tcPr>
          <w:p>
            <w:pPr>
              <w:jc w:val="right"/>
              <w:spacing w:after="0"/>
              <w:rPr>
                <w:sz w:val="20"/>
                <w:szCs w:val="20"/>
                <w:color w:val="auto"/>
              </w:rPr>
            </w:pPr>
            <w:r>
              <w:rPr>
                <w:rFonts w:ascii="Arial" w:cs="Arial" w:eastAsia="Arial" w:hAnsi="Arial"/>
                <w:sz w:val="18"/>
                <w:szCs w:val="18"/>
                <w:color w:val="auto"/>
                <w:w w:val="99"/>
              </w:rPr>
              <w:t>1/1 - 12/31  1/1 - 12/31</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Kypros Shipping Corporation</w:t>
            </w:r>
          </w:p>
        </w:tc>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Company</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Marshall Is.</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1/1 - 12/31</w:t>
            </w:r>
          </w:p>
        </w:tc>
        <w:tc>
          <w:tcPr>
            <w:tcW w:w="12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1/1 - 12/31  1/1 - 12/31</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Meridian Shipping Enterprises Inc.</w:t>
            </w:r>
          </w:p>
        </w:tc>
        <w:tc>
          <w:tcPr>
            <w:tcW w:w="2020" w:type="dxa"/>
            <w:vAlign w:val="bottom"/>
            <w:gridSpan w:val="2"/>
          </w:tcPr>
          <w:p>
            <w:pPr>
              <w:spacing w:after="0"/>
              <w:rPr>
                <w:sz w:val="20"/>
                <w:szCs w:val="20"/>
                <w:color w:val="auto"/>
              </w:rPr>
            </w:pPr>
            <w:r>
              <w:rPr>
                <w:rFonts w:ascii="Arial" w:cs="Arial" w:eastAsia="Arial" w:hAnsi="Arial"/>
                <w:sz w:val="18"/>
                <w:szCs w:val="18"/>
                <w:color w:val="auto"/>
                <w:w w:val="98"/>
              </w:rPr>
              <w:t>Vessel Owning Company</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8"/>
                <w:szCs w:val="18"/>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Marshall Is.</w:t>
            </w: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1/1 - 12/31</w:t>
            </w:r>
          </w:p>
        </w:tc>
        <w:tc>
          <w:tcPr>
            <w:tcW w:w="120" w:type="dxa"/>
            <w:vAlign w:val="bottom"/>
          </w:tcPr>
          <w:p>
            <w:pPr>
              <w:spacing w:after="0"/>
              <w:rPr>
                <w:sz w:val="18"/>
                <w:szCs w:val="18"/>
                <w:color w:val="auto"/>
              </w:rPr>
            </w:pPr>
          </w:p>
        </w:tc>
        <w:tc>
          <w:tcPr>
            <w:tcW w:w="1880" w:type="dxa"/>
            <w:vAlign w:val="bottom"/>
            <w:gridSpan w:val="3"/>
          </w:tcPr>
          <w:p>
            <w:pPr>
              <w:jc w:val="right"/>
              <w:spacing w:after="0"/>
              <w:rPr>
                <w:sz w:val="20"/>
                <w:szCs w:val="20"/>
                <w:color w:val="auto"/>
              </w:rPr>
            </w:pPr>
            <w:r>
              <w:rPr>
                <w:rFonts w:ascii="Arial" w:cs="Arial" w:eastAsia="Arial" w:hAnsi="Arial"/>
                <w:sz w:val="18"/>
                <w:szCs w:val="18"/>
                <w:color w:val="auto"/>
                <w:w w:val="99"/>
              </w:rPr>
              <w:t>1/1 - 12/31  1/1 - 12/31</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Mercator Shipping Corporation</w:t>
            </w:r>
          </w:p>
        </w:tc>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Vessel Owning Company</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Marshall Is.</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1/1 - 12/31</w:t>
            </w:r>
          </w:p>
        </w:tc>
        <w:tc>
          <w:tcPr>
            <w:tcW w:w="12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1/1 - 12/31  1/1 - 12/31</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Arc Shipping Corporation</w:t>
            </w:r>
          </w:p>
        </w:tc>
        <w:tc>
          <w:tcPr>
            <w:tcW w:w="2020" w:type="dxa"/>
            <w:vAlign w:val="bottom"/>
            <w:gridSpan w:val="2"/>
          </w:tcPr>
          <w:p>
            <w:pPr>
              <w:spacing w:after="0"/>
              <w:rPr>
                <w:sz w:val="20"/>
                <w:szCs w:val="20"/>
                <w:color w:val="auto"/>
              </w:rPr>
            </w:pPr>
            <w:r>
              <w:rPr>
                <w:rFonts w:ascii="Arial" w:cs="Arial" w:eastAsia="Arial" w:hAnsi="Arial"/>
                <w:sz w:val="18"/>
                <w:szCs w:val="18"/>
                <w:color w:val="auto"/>
                <w:w w:val="98"/>
              </w:rPr>
              <w:t>Vessel Owning Company</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8"/>
                <w:szCs w:val="18"/>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Marshall Is.</w:t>
            </w: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1/1 - 12/31</w:t>
            </w:r>
          </w:p>
        </w:tc>
        <w:tc>
          <w:tcPr>
            <w:tcW w:w="120" w:type="dxa"/>
            <w:vAlign w:val="bottom"/>
          </w:tcPr>
          <w:p>
            <w:pPr>
              <w:spacing w:after="0"/>
              <w:rPr>
                <w:sz w:val="18"/>
                <w:szCs w:val="18"/>
                <w:color w:val="auto"/>
              </w:rPr>
            </w:pPr>
          </w:p>
        </w:tc>
        <w:tc>
          <w:tcPr>
            <w:tcW w:w="1880" w:type="dxa"/>
            <w:vAlign w:val="bottom"/>
            <w:gridSpan w:val="3"/>
          </w:tcPr>
          <w:p>
            <w:pPr>
              <w:jc w:val="right"/>
              <w:spacing w:after="0"/>
              <w:rPr>
                <w:sz w:val="20"/>
                <w:szCs w:val="20"/>
                <w:color w:val="auto"/>
              </w:rPr>
            </w:pPr>
            <w:r>
              <w:rPr>
                <w:rFonts w:ascii="Arial" w:cs="Arial" w:eastAsia="Arial" w:hAnsi="Arial"/>
                <w:sz w:val="18"/>
                <w:szCs w:val="18"/>
                <w:color w:val="auto"/>
                <w:w w:val="99"/>
              </w:rPr>
              <w:t>1/1 - 12/31  1/1 - 12/31</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Horizon Shipping Enterprises Corporation</w:t>
            </w:r>
          </w:p>
        </w:tc>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Vessel Owning Company</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Marshall Is.</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1/1 - 12/31</w:t>
            </w:r>
          </w:p>
        </w:tc>
        <w:tc>
          <w:tcPr>
            <w:tcW w:w="12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1/1 - 12/31  1/1 - 12/31</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Magellan Shipping Corporation</w:t>
            </w:r>
          </w:p>
        </w:tc>
        <w:tc>
          <w:tcPr>
            <w:tcW w:w="2020" w:type="dxa"/>
            <w:vAlign w:val="bottom"/>
            <w:gridSpan w:val="2"/>
          </w:tcPr>
          <w:p>
            <w:pPr>
              <w:spacing w:after="0"/>
              <w:rPr>
                <w:sz w:val="20"/>
                <w:szCs w:val="20"/>
                <w:color w:val="auto"/>
              </w:rPr>
            </w:pPr>
            <w:r>
              <w:rPr>
                <w:rFonts w:ascii="Arial" w:cs="Arial" w:eastAsia="Arial" w:hAnsi="Arial"/>
                <w:sz w:val="18"/>
                <w:szCs w:val="18"/>
                <w:color w:val="auto"/>
                <w:w w:val="98"/>
              </w:rPr>
              <w:t>Vessel Owning Company</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8"/>
                <w:szCs w:val="18"/>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Marshall Is.</w:t>
            </w: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1/1 - 12/31</w:t>
            </w:r>
          </w:p>
        </w:tc>
        <w:tc>
          <w:tcPr>
            <w:tcW w:w="120" w:type="dxa"/>
            <w:vAlign w:val="bottom"/>
          </w:tcPr>
          <w:p>
            <w:pPr>
              <w:spacing w:after="0"/>
              <w:rPr>
                <w:sz w:val="18"/>
                <w:szCs w:val="18"/>
                <w:color w:val="auto"/>
              </w:rPr>
            </w:pPr>
          </w:p>
        </w:tc>
        <w:tc>
          <w:tcPr>
            <w:tcW w:w="1880" w:type="dxa"/>
            <w:vAlign w:val="bottom"/>
            <w:gridSpan w:val="3"/>
          </w:tcPr>
          <w:p>
            <w:pPr>
              <w:jc w:val="right"/>
              <w:spacing w:after="0"/>
              <w:rPr>
                <w:sz w:val="20"/>
                <w:szCs w:val="20"/>
                <w:color w:val="auto"/>
              </w:rPr>
            </w:pPr>
            <w:r>
              <w:rPr>
                <w:rFonts w:ascii="Arial" w:cs="Arial" w:eastAsia="Arial" w:hAnsi="Arial"/>
                <w:sz w:val="18"/>
                <w:szCs w:val="18"/>
                <w:color w:val="auto"/>
                <w:w w:val="99"/>
              </w:rPr>
              <w:t>1/1 - 12/31  1/1 - 12/31</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Aegean Shipping Corporation</w:t>
            </w:r>
          </w:p>
        </w:tc>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Company</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Marshall Is.</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1/1 - 12/31</w:t>
            </w:r>
          </w:p>
        </w:tc>
        <w:tc>
          <w:tcPr>
            <w:tcW w:w="12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1/1 - 12/31  1/1 - 12/31</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Star Maritime Enterprises Corporation</w:t>
            </w:r>
          </w:p>
        </w:tc>
        <w:tc>
          <w:tcPr>
            <w:tcW w:w="2020" w:type="dxa"/>
            <w:vAlign w:val="bottom"/>
            <w:gridSpan w:val="2"/>
          </w:tcPr>
          <w:p>
            <w:pPr>
              <w:spacing w:after="0"/>
              <w:rPr>
                <w:sz w:val="20"/>
                <w:szCs w:val="20"/>
                <w:color w:val="auto"/>
              </w:rPr>
            </w:pPr>
            <w:r>
              <w:rPr>
                <w:rFonts w:ascii="Arial" w:cs="Arial" w:eastAsia="Arial" w:hAnsi="Arial"/>
                <w:sz w:val="18"/>
                <w:szCs w:val="18"/>
                <w:color w:val="auto"/>
                <w:w w:val="98"/>
              </w:rPr>
              <w:t>Vessel Owning Company</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8"/>
                <w:szCs w:val="18"/>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Marshall Is.</w:t>
            </w: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1/1 - 12/31</w:t>
            </w:r>
          </w:p>
        </w:tc>
        <w:tc>
          <w:tcPr>
            <w:tcW w:w="120" w:type="dxa"/>
            <w:vAlign w:val="bottom"/>
          </w:tcPr>
          <w:p>
            <w:pPr>
              <w:spacing w:after="0"/>
              <w:rPr>
                <w:sz w:val="18"/>
                <w:szCs w:val="18"/>
                <w:color w:val="auto"/>
              </w:rPr>
            </w:pPr>
          </w:p>
        </w:tc>
        <w:tc>
          <w:tcPr>
            <w:tcW w:w="1880" w:type="dxa"/>
            <w:vAlign w:val="bottom"/>
            <w:gridSpan w:val="3"/>
          </w:tcPr>
          <w:p>
            <w:pPr>
              <w:jc w:val="right"/>
              <w:spacing w:after="0"/>
              <w:rPr>
                <w:sz w:val="20"/>
                <w:szCs w:val="20"/>
                <w:color w:val="auto"/>
              </w:rPr>
            </w:pPr>
            <w:r>
              <w:rPr>
                <w:rFonts w:ascii="Arial" w:cs="Arial" w:eastAsia="Arial" w:hAnsi="Arial"/>
                <w:sz w:val="18"/>
                <w:szCs w:val="18"/>
                <w:color w:val="auto"/>
                <w:w w:val="99"/>
              </w:rPr>
              <w:t>1/1 - 12/31  1/1 - 12/31</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Corsair Shipping Ltd.</w:t>
            </w:r>
          </w:p>
        </w:tc>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Vessel Owning Company</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Marshall Is.</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1/1 - 12/31</w:t>
            </w:r>
          </w:p>
        </w:tc>
        <w:tc>
          <w:tcPr>
            <w:tcW w:w="12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1/1 - 12/31  1/1 - 12/31</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Rowboat Marine Inc.</w:t>
            </w:r>
          </w:p>
        </w:tc>
        <w:tc>
          <w:tcPr>
            <w:tcW w:w="2020" w:type="dxa"/>
            <w:vAlign w:val="bottom"/>
            <w:gridSpan w:val="2"/>
          </w:tcPr>
          <w:p>
            <w:pPr>
              <w:spacing w:after="0"/>
              <w:rPr>
                <w:sz w:val="20"/>
                <w:szCs w:val="20"/>
                <w:color w:val="auto"/>
              </w:rPr>
            </w:pPr>
            <w:r>
              <w:rPr>
                <w:rFonts w:ascii="Arial" w:cs="Arial" w:eastAsia="Arial" w:hAnsi="Arial"/>
                <w:sz w:val="18"/>
                <w:szCs w:val="18"/>
                <w:color w:val="auto"/>
              </w:rPr>
              <w:t>Operating Company</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8"/>
                <w:szCs w:val="18"/>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Marshall Is.</w:t>
            </w: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1/1 - 12/31</w:t>
            </w:r>
          </w:p>
        </w:tc>
        <w:tc>
          <w:tcPr>
            <w:tcW w:w="120" w:type="dxa"/>
            <w:vAlign w:val="bottom"/>
          </w:tcPr>
          <w:p>
            <w:pPr>
              <w:spacing w:after="0"/>
              <w:rPr>
                <w:sz w:val="18"/>
                <w:szCs w:val="18"/>
                <w:color w:val="auto"/>
              </w:rPr>
            </w:pPr>
          </w:p>
        </w:tc>
        <w:tc>
          <w:tcPr>
            <w:tcW w:w="1880" w:type="dxa"/>
            <w:vAlign w:val="bottom"/>
            <w:gridSpan w:val="3"/>
          </w:tcPr>
          <w:p>
            <w:pPr>
              <w:jc w:val="right"/>
              <w:spacing w:after="0"/>
              <w:rPr>
                <w:sz w:val="20"/>
                <w:szCs w:val="20"/>
                <w:color w:val="auto"/>
              </w:rPr>
            </w:pPr>
            <w:r>
              <w:rPr>
                <w:rFonts w:ascii="Arial" w:cs="Arial" w:eastAsia="Arial" w:hAnsi="Arial"/>
                <w:sz w:val="18"/>
                <w:szCs w:val="18"/>
                <w:color w:val="auto"/>
                <w:w w:val="99"/>
              </w:rPr>
              <w:t>1/1 - 12/31  1/1 - 12/31</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Rondine Management Corp.</w:t>
            </w:r>
          </w:p>
        </w:tc>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Vessel Owning Company</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Marshall Is.</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1/1 - 9/30</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3/22 - 12/31</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Vernazza Shiptrade Inc.</w:t>
            </w:r>
          </w:p>
        </w:tc>
        <w:tc>
          <w:tcPr>
            <w:tcW w:w="2020" w:type="dxa"/>
            <w:vAlign w:val="bottom"/>
            <w:gridSpan w:val="2"/>
          </w:tcPr>
          <w:p>
            <w:pPr>
              <w:spacing w:after="0"/>
              <w:rPr>
                <w:sz w:val="20"/>
                <w:szCs w:val="20"/>
                <w:color w:val="auto"/>
              </w:rPr>
            </w:pPr>
            <w:r>
              <w:rPr>
                <w:rFonts w:ascii="Arial" w:cs="Arial" w:eastAsia="Arial" w:hAnsi="Arial"/>
                <w:sz w:val="18"/>
                <w:szCs w:val="18"/>
                <w:color w:val="auto"/>
              </w:rPr>
              <w:t>Operating Company</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8"/>
                <w:szCs w:val="18"/>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Marshall Is.</w:t>
            </w: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1/1 - 12/31</w:t>
            </w: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9/25 - 12/31</w:t>
            </w:r>
          </w:p>
        </w:tc>
        <w:tc>
          <w:tcPr>
            <w:tcW w:w="120" w:type="dxa"/>
            <w:vAlign w:val="bottom"/>
          </w:tcPr>
          <w:p>
            <w:pPr>
              <w:spacing w:after="0"/>
              <w:rPr>
                <w:sz w:val="18"/>
                <w:szCs w:val="18"/>
                <w:color w:val="auto"/>
              </w:rPr>
            </w:pPr>
          </w:p>
        </w:tc>
        <w:tc>
          <w:tcPr>
            <w:tcW w:w="84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Navios Corporation Management Inc.</w:t>
            </w:r>
          </w:p>
        </w:tc>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Company</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Marshall Is.</w:t>
            </w:r>
          </w:p>
        </w:tc>
        <w:tc>
          <w:tcPr>
            <w:tcW w:w="9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7/4 - 8/29</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Beaufiks Shipping Corporation</w:t>
            </w:r>
          </w:p>
        </w:tc>
        <w:tc>
          <w:tcPr>
            <w:tcW w:w="2020" w:type="dxa"/>
            <w:vAlign w:val="bottom"/>
            <w:gridSpan w:val="2"/>
          </w:tcPr>
          <w:p>
            <w:pPr>
              <w:spacing w:after="0"/>
              <w:rPr>
                <w:sz w:val="20"/>
                <w:szCs w:val="20"/>
                <w:color w:val="auto"/>
              </w:rPr>
            </w:pPr>
            <w:r>
              <w:rPr>
                <w:rFonts w:ascii="Arial" w:cs="Arial" w:eastAsia="Arial" w:hAnsi="Arial"/>
                <w:sz w:val="18"/>
                <w:szCs w:val="18"/>
                <w:color w:val="auto"/>
              </w:rPr>
              <w:t>Operating Company</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8"/>
                <w:szCs w:val="18"/>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Marshall Is.</w:t>
            </w: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1/1 - 12/31</w:t>
            </w:r>
          </w:p>
        </w:tc>
        <w:tc>
          <w:tcPr>
            <w:tcW w:w="120" w:type="dxa"/>
            <w:vAlign w:val="bottom"/>
          </w:tcPr>
          <w:p>
            <w:pPr>
              <w:spacing w:after="0"/>
              <w:rPr>
                <w:sz w:val="18"/>
                <w:szCs w:val="18"/>
                <w:color w:val="auto"/>
              </w:rPr>
            </w:pPr>
          </w:p>
        </w:tc>
        <w:tc>
          <w:tcPr>
            <w:tcW w:w="1880" w:type="dxa"/>
            <w:vAlign w:val="bottom"/>
            <w:gridSpan w:val="3"/>
          </w:tcPr>
          <w:p>
            <w:pPr>
              <w:jc w:val="right"/>
              <w:spacing w:after="0"/>
              <w:rPr>
                <w:sz w:val="20"/>
                <w:szCs w:val="20"/>
                <w:color w:val="auto"/>
              </w:rPr>
            </w:pPr>
            <w:r>
              <w:rPr>
                <w:rFonts w:ascii="Arial" w:cs="Arial" w:eastAsia="Arial" w:hAnsi="Arial"/>
                <w:sz w:val="18"/>
                <w:szCs w:val="18"/>
                <w:color w:val="auto"/>
                <w:w w:val="99"/>
              </w:rPr>
              <w:t>1/1 - 12/31  1/1 - 12/31</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Nostos Shipmanagement Corp.</w:t>
            </w:r>
          </w:p>
        </w:tc>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Vessel Owning Company</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Marshall Is.</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1/1 - 12/31</w:t>
            </w:r>
          </w:p>
        </w:tc>
        <w:tc>
          <w:tcPr>
            <w:tcW w:w="12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1/1 - 12/31  1/1 - 12/31</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Portorosa Marine Corp.</w:t>
            </w:r>
          </w:p>
        </w:tc>
        <w:tc>
          <w:tcPr>
            <w:tcW w:w="2020" w:type="dxa"/>
            <w:vAlign w:val="bottom"/>
            <w:gridSpan w:val="2"/>
          </w:tcPr>
          <w:p>
            <w:pPr>
              <w:spacing w:after="0"/>
              <w:rPr>
                <w:sz w:val="20"/>
                <w:szCs w:val="20"/>
                <w:color w:val="auto"/>
              </w:rPr>
            </w:pPr>
            <w:r>
              <w:rPr>
                <w:rFonts w:ascii="Arial" w:cs="Arial" w:eastAsia="Arial" w:hAnsi="Arial"/>
                <w:sz w:val="18"/>
                <w:szCs w:val="18"/>
                <w:color w:val="auto"/>
              </w:rPr>
              <w:t>Operating Company</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8"/>
                <w:szCs w:val="18"/>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Marshall Is.</w:t>
            </w: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1/1 - 12/31</w:t>
            </w:r>
          </w:p>
        </w:tc>
        <w:tc>
          <w:tcPr>
            <w:tcW w:w="120" w:type="dxa"/>
            <w:vAlign w:val="bottom"/>
          </w:tcPr>
          <w:p>
            <w:pPr>
              <w:spacing w:after="0"/>
              <w:rPr>
                <w:sz w:val="18"/>
                <w:szCs w:val="18"/>
                <w:color w:val="auto"/>
              </w:rPr>
            </w:pPr>
          </w:p>
        </w:tc>
        <w:tc>
          <w:tcPr>
            <w:tcW w:w="1880" w:type="dxa"/>
            <w:vAlign w:val="bottom"/>
            <w:gridSpan w:val="3"/>
          </w:tcPr>
          <w:p>
            <w:pPr>
              <w:jc w:val="right"/>
              <w:spacing w:after="0"/>
              <w:rPr>
                <w:sz w:val="20"/>
                <w:szCs w:val="20"/>
                <w:color w:val="auto"/>
              </w:rPr>
            </w:pPr>
            <w:r>
              <w:rPr>
                <w:rFonts w:ascii="Arial" w:cs="Arial" w:eastAsia="Arial" w:hAnsi="Arial"/>
                <w:sz w:val="18"/>
                <w:szCs w:val="18"/>
                <w:color w:val="auto"/>
                <w:w w:val="99"/>
              </w:rPr>
              <w:t>1/1 - 12/31  1/1 - 12/31</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Shikhar Ventures S.A.</w:t>
            </w:r>
          </w:p>
        </w:tc>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Vessel Owning Company</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Liberia</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1/1 - 12/31</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1/1 - 12/31</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1/1 - 12/31</w:t>
            </w:r>
          </w:p>
        </w:tc>
        <w:tc>
          <w:tcPr>
            <w:tcW w:w="0" w:type="dxa"/>
            <w:vAlign w:val="bottom"/>
          </w:tcPr>
          <w:p>
            <w:pPr>
              <w:spacing w:after="0"/>
              <w:rPr>
                <w:sz w:val="1"/>
                <w:szCs w:val="1"/>
                <w:color w:val="auto"/>
              </w:rPr>
            </w:pPr>
          </w:p>
        </w:tc>
      </w:tr>
      <w:tr>
        <w:trPr>
          <w:trHeight w:val="365"/>
        </w:trPr>
        <w:tc>
          <w:tcPr>
            <w:tcW w:w="4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ind w:left="114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 Name</w:t>
            </w: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Ownership</w:t>
            </w: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Country of</w:t>
            </w:r>
          </w:p>
        </w:tc>
        <w:tc>
          <w:tcPr>
            <w:tcW w:w="2700" w:type="dxa"/>
            <w:vAlign w:val="bottom"/>
            <w:tcBorders>
              <w:bottom w:val="single" w:sz="8" w:color="auto"/>
            </w:tcBorders>
            <w:gridSpan w:val="5"/>
          </w:tcPr>
          <w:p>
            <w:pPr>
              <w:jc w:val="right"/>
              <w:ind w:right="514"/>
              <w:spacing w:after="0"/>
              <w:rPr>
                <w:sz w:val="20"/>
                <w:szCs w:val="20"/>
                <w:color w:val="auto"/>
              </w:rPr>
            </w:pPr>
            <w:r>
              <w:rPr>
                <w:rFonts w:ascii="Arial" w:cs="Arial" w:eastAsia="Arial" w:hAnsi="Arial"/>
                <w:sz w:val="14"/>
                <w:szCs w:val="14"/>
                <w:b w:val="1"/>
                <w:bCs w:val="1"/>
                <w:color w:val="auto"/>
              </w:rPr>
              <w:t>Statement of Operations</w:t>
            </w:r>
          </w:p>
        </w:tc>
        <w:tc>
          <w:tcPr>
            <w:tcW w:w="0" w:type="dxa"/>
            <w:vAlign w:val="bottom"/>
          </w:tcPr>
          <w:p>
            <w:pPr>
              <w:spacing w:after="0"/>
              <w:rPr>
                <w:sz w:val="1"/>
                <w:szCs w:val="1"/>
                <w:color w:val="auto"/>
              </w:rPr>
            </w:pPr>
          </w:p>
        </w:tc>
      </w:tr>
      <w:tr>
        <w:trPr>
          <w:trHeight w:val="142"/>
        </w:trPr>
        <w:tc>
          <w:tcPr>
            <w:tcW w:w="4500" w:type="dxa"/>
            <w:vAlign w:val="bottom"/>
            <w:gridSpan w:val="2"/>
            <w:vMerge w:val="continue"/>
          </w:tcPr>
          <w:p>
            <w:pPr>
              <w:spacing w:after="0"/>
              <w:rPr>
                <w:sz w:val="12"/>
                <w:szCs w:val="12"/>
                <w:color w:val="auto"/>
              </w:rPr>
            </w:pPr>
          </w:p>
        </w:tc>
        <w:tc>
          <w:tcPr>
            <w:tcW w:w="2000" w:type="dxa"/>
            <w:vAlign w:val="bottom"/>
            <w:gridSpan w:val="2"/>
          </w:tcPr>
          <w:p>
            <w:pPr>
              <w:ind w:left="740"/>
              <w:spacing w:after="0" w:line="142" w:lineRule="exact"/>
              <w:rPr>
                <w:sz w:val="20"/>
                <w:szCs w:val="20"/>
                <w:color w:val="auto"/>
              </w:rPr>
            </w:pPr>
            <w:r>
              <w:rPr>
                <w:rFonts w:ascii="Arial" w:cs="Arial" w:eastAsia="Arial" w:hAnsi="Arial"/>
                <w:sz w:val="14"/>
                <w:szCs w:val="14"/>
                <w:b w:val="1"/>
                <w:bCs w:val="1"/>
                <w:color w:val="auto"/>
              </w:rPr>
              <w:t>Nature</w:t>
            </w:r>
          </w:p>
        </w:tc>
        <w:tc>
          <w:tcPr>
            <w:tcW w:w="82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4"/>
              </w:rPr>
              <w:t>Interest</w:t>
            </w:r>
          </w:p>
        </w:tc>
        <w:tc>
          <w:tcPr>
            <w:tcW w:w="100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97"/>
              </w:rPr>
              <w:t>Incorporation</w:t>
            </w:r>
          </w:p>
        </w:tc>
        <w:tc>
          <w:tcPr>
            <w:tcW w:w="8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2"/>
                <w:szCs w:val="12"/>
                <w:color w:val="auto"/>
              </w:rPr>
            </w:pPr>
          </w:p>
        </w:tc>
        <w:tc>
          <w:tcPr>
            <w:tcW w:w="8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6"/>
              </w:rPr>
              <w:t>2018</w:t>
            </w:r>
          </w:p>
        </w:tc>
        <w:tc>
          <w:tcPr>
            <w:tcW w:w="0" w:type="dxa"/>
            <w:vAlign w:val="bottom"/>
          </w:tcPr>
          <w:p>
            <w:pPr>
              <w:spacing w:after="0"/>
              <w:rPr>
                <w:sz w:val="1"/>
                <w:szCs w:val="1"/>
                <w:color w:val="auto"/>
              </w:rPr>
            </w:pPr>
          </w:p>
        </w:tc>
      </w:tr>
      <w:tr>
        <w:trPr>
          <w:trHeight w:val="209"/>
        </w:trPr>
        <w:tc>
          <w:tcPr>
            <w:tcW w:w="4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Sizzling Ventures Inc.</w:t>
            </w:r>
          </w:p>
        </w:tc>
        <w:tc>
          <w:tcPr>
            <w:tcW w:w="10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Company</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Liberia</w:t>
            </w: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1/1 - 12/31</w:t>
            </w: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1/1 - 12/31</w:t>
            </w: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1/1 - 12/31</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Rheia Associates Co.</w:t>
            </w:r>
          </w:p>
        </w:tc>
        <w:tc>
          <w:tcPr>
            <w:tcW w:w="2000" w:type="dxa"/>
            <w:vAlign w:val="bottom"/>
            <w:gridSpan w:val="2"/>
          </w:tcPr>
          <w:p>
            <w:pPr>
              <w:spacing w:after="0"/>
              <w:rPr>
                <w:sz w:val="20"/>
                <w:szCs w:val="20"/>
                <w:color w:val="auto"/>
              </w:rPr>
            </w:pPr>
            <w:r>
              <w:rPr>
                <w:rFonts w:ascii="Arial" w:cs="Arial" w:eastAsia="Arial" w:hAnsi="Arial"/>
                <w:sz w:val="18"/>
                <w:szCs w:val="18"/>
                <w:color w:val="auto"/>
              </w:rPr>
              <w:t>Operating Company</w:t>
            </w:r>
          </w:p>
        </w:tc>
        <w:tc>
          <w:tcPr>
            <w:tcW w:w="7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20" w:type="dxa"/>
            <w:vAlign w:val="bottom"/>
          </w:tcPr>
          <w:p>
            <w:pPr>
              <w:spacing w:after="0"/>
              <w:rPr>
                <w:sz w:val="18"/>
                <w:szCs w:val="18"/>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Marshall Is.</w:t>
            </w:r>
          </w:p>
        </w:tc>
        <w:tc>
          <w:tcPr>
            <w:tcW w:w="2700" w:type="dxa"/>
            <w:vAlign w:val="bottom"/>
            <w:gridSpan w:val="5"/>
          </w:tcPr>
          <w:p>
            <w:pPr>
              <w:jc w:val="right"/>
              <w:spacing w:after="0"/>
              <w:rPr>
                <w:sz w:val="20"/>
                <w:szCs w:val="20"/>
                <w:color w:val="auto"/>
              </w:rPr>
            </w:pPr>
            <w:r>
              <w:rPr>
                <w:rFonts w:ascii="Arial" w:cs="Arial" w:eastAsia="Arial" w:hAnsi="Arial"/>
                <w:sz w:val="18"/>
                <w:szCs w:val="18"/>
                <w:color w:val="auto"/>
                <w:w w:val="94"/>
              </w:rPr>
              <w:t>1/1 - 12/31  1/1 - 12/31  1/1 - 12/31</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Taharqa Spirit Corp.</w:t>
            </w:r>
          </w:p>
        </w:tc>
        <w:tc>
          <w:tcPr>
            <w:tcW w:w="2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Company</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3"/>
              </w:rPr>
              <w:t>Marshall Is.</w:t>
            </w:r>
          </w:p>
        </w:tc>
        <w:tc>
          <w:tcPr>
            <w:tcW w:w="27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94"/>
              </w:rPr>
              <w:t>1/1 - 12/31  1/1 - 12/31  1/1 - 12/31</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Rumer Holding Ltd.</w:t>
            </w:r>
          </w:p>
        </w:tc>
        <w:tc>
          <w:tcPr>
            <w:tcW w:w="2000" w:type="dxa"/>
            <w:vAlign w:val="bottom"/>
            <w:gridSpan w:val="2"/>
          </w:tcPr>
          <w:p>
            <w:pPr>
              <w:spacing w:after="0"/>
              <w:rPr>
                <w:sz w:val="20"/>
                <w:szCs w:val="20"/>
                <w:color w:val="auto"/>
              </w:rPr>
            </w:pPr>
            <w:r>
              <w:rPr>
                <w:rFonts w:ascii="Arial" w:cs="Arial" w:eastAsia="Arial" w:hAnsi="Arial"/>
                <w:sz w:val="18"/>
                <w:szCs w:val="18"/>
                <w:color w:val="auto"/>
                <w:w w:val="97"/>
              </w:rPr>
              <w:t>Vessel Owning Company</w:t>
            </w:r>
          </w:p>
        </w:tc>
        <w:tc>
          <w:tcPr>
            <w:tcW w:w="7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20" w:type="dxa"/>
            <w:vAlign w:val="bottom"/>
          </w:tcPr>
          <w:p>
            <w:pPr>
              <w:spacing w:after="0"/>
              <w:rPr>
                <w:sz w:val="18"/>
                <w:szCs w:val="18"/>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Marshall Is.</w:t>
            </w:r>
          </w:p>
        </w:tc>
        <w:tc>
          <w:tcPr>
            <w:tcW w:w="2700" w:type="dxa"/>
            <w:vAlign w:val="bottom"/>
            <w:gridSpan w:val="5"/>
          </w:tcPr>
          <w:p>
            <w:pPr>
              <w:jc w:val="right"/>
              <w:spacing w:after="0"/>
              <w:rPr>
                <w:sz w:val="20"/>
                <w:szCs w:val="20"/>
                <w:color w:val="auto"/>
              </w:rPr>
            </w:pPr>
            <w:r>
              <w:rPr>
                <w:rFonts w:ascii="Arial" w:cs="Arial" w:eastAsia="Arial" w:hAnsi="Arial"/>
                <w:sz w:val="18"/>
                <w:szCs w:val="18"/>
                <w:color w:val="auto"/>
                <w:w w:val="94"/>
              </w:rPr>
              <w:t>1/1 - 12/31  1/1 - 12/31  1/1 - 12/31</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Pharos Navigation S.A.</w:t>
            </w:r>
          </w:p>
        </w:tc>
        <w:tc>
          <w:tcPr>
            <w:tcW w:w="20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Vessel Owning Company</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3"/>
              </w:rPr>
              <w:t>Marshall Is.</w:t>
            </w:r>
          </w:p>
        </w:tc>
        <w:tc>
          <w:tcPr>
            <w:tcW w:w="27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94"/>
              </w:rPr>
              <w:t>1/1 - 12/31  1/1 - 12/31  1/1 - 12/31</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Pueblo Holdings Ltd.</w:t>
            </w:r>
          </w:p>
        </w:tc>
        <w:tc>
          <w:tcPr>
            <w:tcW w:w="2000" w:type="dxa"/>
            <w:vAlign w:val="bottom"/>
            <w:gridSpan w:val="2"/>
          </w:tcPr>
          <w:p>
            <w:pPr>
              <w:spacing w:after="0"/>
              <w:rPr>
                <w:sz w:val="20"/>
                <w:szCs w:val="20"/>
                <w:color w:val="auto"/>
              </w:rPr>
            </w:pPr>
            <w:r>
              <w:rPr>
                <w:rFonts w:ascii="Arial" w:cs="Arial" w:eastAsia="Arial" w:hAnsi="Arial"/>
                <w:sz w:val="18"/>
                <w:szCs w:val="18"/>
                <w:color w:val="auto"/>
                <w:w w:val="97"/>
              </w:rPr>
              <w:t>Vessel Owning Company</w:t>
            </w:r>
          </w:p>
        </w:tc>
        <w:tc>
          <w:tcPr>
            <w:tcW w:w="7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20" w:type="dxa"/>
            <w:vAlign w:val="bottom"/>
          </w:tcPr>
          <w:p>
            <w:pPr>
              <w:spacing w:after="0"/>
              <w:rPr>
                <w:sz w:val="18"/>
                <w:szCs w:val="18"/>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Marshall Is.</w:t>
            </w:r>
          </w:p>
        </w:tc>
        <w:tc>
          <w:tcPr>
            <w:tcW w:w="2700" w:type="dxa"/>
            <w:vAlign w:val="bottom"/>
            <w:gridSpan w:val="5"/>
          </w:tcPr>
          <w:p>
            <w:pPr>
              <w:jc w:val="right"/>
              <w:spacing w:after="0"/>
              <w:rPr>
                <w:sz w:val="20"/>
                <w:szCs w:val="20"/>
                <w:color w:val="auto"/>
              </w:rPr>
            </w:pPr>
            <w:r>
              <w:rPr>
                <w:rFonts w:ascii="Arial" w:cs="Arial" w:eastAsia="Arial" w:hAnsi="Arial"/>
                <w:sz w:val="18"/>
                <w:szCs w:val="18"/>
                <w:color w:val="auto"/>
                <w:w w:val="94"/>
              </w:rPr>
              <w:t>1/1 - 12/31  1/1 - 12/31  1/1 - 12/31</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Quena Shipmanagement Inc.</w:t>
            </w:r>
          </w:p>
        </w:tc>
        <w:tc>
          <w:tcPr>
            <w:tcW w:w="2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Company</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3"/>
              </w:rPr>
              <w:t>Marshall Is.</w:t>
            </w:r>
          </w:p>
        </w:tc>
        <w:tc>
          <w:tcPr>
            <w:tcW w:w="27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94"/>
              </w:rPr>
              <w:t>1/1 - 12/31  1/1 - 12/31  1/1 - 12/31</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Aramis Navigation Inc.</w:t>
            </w:r>
          </w:p>
        </w:tc>
        <w:tc>
          <w:tcPr>
            <w:tcW w:w="2000" w:type="dxa"/>
            <w:vAlign w:val="bottom"/>
            <w:gridSpan w:val="2"/>
          </w:tcPr>
          <w:p>
            <w:pPr>
              <w:spacing w:after="0"/>
              <w:rPr>
                <w:sz w:val="20"/>
                <w:szCs w:val="20"/>
                <w:color w:val="auto"/>
              </w:rPr>
            </w:pPr>
            <w:r>
              <w:rPr>
                <w:rFonts w:ascii="Arial" w:cs="Arial" w:eastAsia="Arial" w:hAnsi="Arial"/>
                <w:sz w:val="18"/>
                <w:szCs w:val="18"/>
                <w:color w:val="auto"/>
                <w:w w:val="97"/>
              </w:rPr>
              <w:t>Vessel Owning Company</w:t>
            </w:r>
          </w:p>
        </w:tc>
        <w:tc>
          <w:tcPr>
            <w:tcW w:w="7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20" w:type="dxa"/>
            <w:vAlign w:val="bottom"/>
          </w:tcPr>
          <w:p>
            <w:pPr>
              <w:spacing w:after="0"/>
              <w:rPr>
                <w:sz w:val="18"/>
                <w:szCs w:val="18"/>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Marshall Is.</w:t>
            </w:r>
          </w:p>
        </w:tc>
        <w:tc>
          <w:tcPr>
            <w:tcW w:w="2700" w:type="dxa"/>
            <w:vAlign w:val="bottom"/>
            <w:gridSpan w:val="5"/>
          </w:tcPr>
          <w:p>
            <w:pPr>
              <w:jc w:val="right"/>
              <w:spacing w:after="0"/>
              <w:rPr>
                <w:sz w:val="20"/>
                <w:szCs w:val="20"/>
                <w:color w:val="auto"/>
              </w:rPr>
            </w:pPr>
            <w:r>
              <w:rPr>
                <w:rFonts w:ascii="Arial" w:cs="Arial" w:eastAsia="Arial" w:hAnsi="Arial"/>
                <w:sz w:val="18"/>
                <w:szCs w:val="18"/>
                <w:color w:val="auto"/>
                <w:w w:val="94"/>
              </w:rPr>
              <w:t>1/1 - 12/31  1/1 - 12/31  1/1 - 12/31</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White Narcissus Marine S.A.</w:t>
            </w:r>
          </w:p>
        </w:tc>
        <w:tc>
          <w:tcPr>
            <w:tcW w:w="20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Vessel Owning Company</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3"/>
              </w:rPr>
              <w:t>Panama</w:t>
            </w:r>
          </w:p>
        </w:tc>
        <w:tc>
          <w:tcPr>
            <w:tcW w:w="27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94"/>
              </w:rPr>
              <w:t>1/1 - 12/31  1/1 - 12/31  1/1 - 12/31</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Navios GP L.L.C.</w:t>
            </w:r>
          </w:p>
        </w:tc>
        <w:tc>
          <w:tcPr>
            <w:tcW w:w="2000" w:type="dxa"/>
            <w:vAlign w:val="bottom"/>
            <w:gridSpan w:val="2"/>
          </w:tcPr>
          <w:p>
            <w:pPr>
              <w:spacing w:after="0"/>
              <w:rPr>
                <w:sz w:val="20"/>
                <w:szCs w:val="20"/>
                <w:color w:val="auto"/>
              </w:rPr>
            </w:pPr>
            <w:r>
              <w:rPr>
                <w:rFonts w:ascii="Arial" w:cs="Arial" w:eastAsia="Arial" w:hAnsi="Arial"/>
                <w:sz w:val="18"/>
                <w:szCs w:val="18"/>
                <w:color w:val="auto"/>
              </w:rPr>
              <w:t>Operating Company</w:t>
            </w:r>
          </w:p>
        </w:tc>
        <w:tc>
          <w:tcPr>
            <w:tcW w:w="7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20" w:type="dxa"/>
            <w:vAlign w:val="bottom"/>
          </w:tcPr>
          <w:p>
            <w:pPr>
              <w:spacing w:after="0"/>
              <w:rPr>
                <w:sz w:val="18"/>
                <w:szCs w:val="18"/>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Marshall Is.</w:t>
            </w:r>
          </w:p>
        </w:tc>
        <w:tc>
          <w:tcPr>
            <w:tcW w:w="2700" w:type="dxa"/>
            <w:vAlign w:val="bottom"/>
            <w:gridSpan w:val="5"/>
          </w:tcPr>
          <w:p>
            <w:pPr>
              <w:jc w:val="right"/>
              <w:spacing w:after="0"/>
              <w:rPr>
                <w:sz w:val="20"/>
                <w:szCs w:val="20"/>
                <w:color w:val="auto"/>
              </w:rPr>
            </w:pPr>
            <w:r>
              <w:rPr>
                <w:rFonts w:ascii="Arial" w:cs="Arial" w:eastAsia="Arial" w:hAnsi="Arial"/>
                <w:sz w:val="18"/>
                <w:szCs w:val="18"/>
                <w:color w:val="auto"/>
                <w:w w:val="94"/>
              </w:rPr>
              <w:t>1/1 - 12/31  1/1 - 12/31  1/1 - 12/31</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 Rose Shipping Corp.</w:t>
            </w:r>
          </w:p>
        </w:tc>
        <w:tc>
          <w:tcPr>
            <w:tcW w:w="20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Vessel Owning Company</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3"/>
              </w:rPr>
              <w:t>Marshall Is.</w:t>
            </w:r>
          </w:p>
        </w:tc>
        <w:tc>
          <w:tcPr>
            <w:tcW w:w="27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94"/>
              </w:rPr>
              <w:t>1/1 - 12/31  1/1 - 12/31  1/1 - 12/31</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Highbird Management Inc.</w:t>
            </w:r>
          </w:p>
        </w:tc>
        <w:tc>
          <w:tcPr>
            <w:tcW w:w="2000" w:type="dxa"/>
            <w:vAlign w:val="bottom"/>
            <w:gridSpan w:val="2"/>
          </w:tcPr>
          <w:p>
            <w:pPr>
              <w:spacing w:after="0"/>
              <w:rPr>
                <w:sz w:val="20"/>
                <w:szCs w:val="20"/>
                <w:color w:val="auto"/>
              </w:rPr>
            </w:pPr>
            <w:r>
              <w:rPr>
                <w:rFonts w:ascii="Arial" w:cs="Arial" w:eastAsia="Arial" w:hAnsi="Arial"/>
                <w:sz w:val="18"/>
                <w:szCs w:val="18"/>
                <w:color w:val="auto"/>
                <w:w w:val="97"/>
              </w:rPr>
              <w:t>Vessel Owning Company</w:t>
            </w:r>
          </w:p>
        </w:tc>
        <w:tc>
          <w:tcPr>
            <w:tcW w:w="7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20" w:type="dxa"/>
            <w:vAlign w:val="bottom"/>
          </w:tcPr>
          <w:p>
            <w:pPr>
              <w:spacing w:after="0"/>
              <w:rPr>
                <w:sz w:val="18"/>
                <w:szCs w:val="18"/>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Marshall Is.</w:t>
            </w:r>
          </w:p>
        </w:tc>
        <w:tc>
          <w:tcPr>
            <w:tcW w:w="2700" w:type="dxa"/>
            <w:vAlign w:val="bottom"/>
            <w:gridSpan w:val="5"/>
          </w:tcPr>
          <w:p>
            <w:pPr>
              <w:jc w:val="right"/>
              <w:spacing w:after="0"/>
              <w:rPr>
                <w:sz w:val="20"/>
                <w:szCs w:val="20"/>
                <w:color w:val="auto"/>
              </w:rPr>
            </w:pPr>
            <w:r>
              <w:rPr>
                <w:rFonts w:ascii="Arial" w:cs="Arial" w:eastAsia="Arial" w:hAnsi="Arial"/>
                <w:sz w:val="18"/>
                <w:szCs w:val="18"/>
                <w:color w:val="auto"/>
                <w:w w:val="94"/>
              </w:rPr>
              <w:t>1/1 - 12/31  1/1 - 12/31  1/1 - 12/31</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Ducale Marine Inc.</w:t>
            </w:r>
          </w:p>
        </w:tc>
        <w:tc>
          <w:tcPr>
            <w:tcW w:w="20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Vessel Owning Company</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3"/>
              </w:rPr>
              <w:t>Marshall Is.</w:t>
            </w:r>
          </w:p>
        </w:tc>
        <w:tc>
          <w:tcPr>
            <w:tcW w:w="27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94"/>
              </w:rPr>
              <w:t>1/1 - 12/31  1/1 - 12/31  1/1 - 12/31</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Vector Shipping Corporation</w:t>
            </w:r>
          </w:p>
        </w:tc>
        <w:tc>
          <w:tcPr>
            <w:tcW w:w="2000" w:type="dxa"/>
            <w:vAlign w:val="bottom"/>
            <w:gridSpan w:val="2"/>
          </w:tcPr>
          <w:p>
            <w:pPr>
              <w:spacing w:after="0"/>
              <w:rPr>
                <w:sz w:val="20"/>
                <w:szCs w:val="20"/>
                <w:color w:val="auto"/>
              </w:rPr>
            </w:pPr>
            <w:r>
              <w:rPr>
                <w:rFonts w:ascii="Arial" w:cs="Arial" w:eastAsia="Arial" w:hAnsi="Arial"/>
                <w:sz w:val="18"/>
                <w:szCs w:val="18"/>
                <w:color w:val="auto"/>
                <w:w w:val="97"/>
              </w:rPr>
              <w:t>Vessel Owning Company</w:t>
            </w:r>
          </w:p>
        </w:tc>
        <w:tc>
          <w:tcPr>
            <w:tcW w:w="7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20" w:type="dxa"/>
            <w:vAlign w:val="bottom"/>
          </w:tcPr>
          <w:p>
            <w:pPr>
              <w:spacing w:after="0"/>
              <w:rPr>
                <w:sz w:val="18"/>
                <w:szCs w:val="18"/>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Marshall Is.</w:t>
            </w:r>
          </w:p>
        </w:tc>
        <w:tc>
          <w:tcPr>
            <w:tcW w:w="2700" w:type="dxa"/>
            <w:vAlign w:val="bottom"/>
            <w:gridSpan w:val="5"/>
          </w:tcPr>
          <w:p>
            <w:pPr>
              <w:jc w:val="right"/>
              <w:spacing w:after="0"/>
              <w:rPr>
                <w:sz w:val="20"/>
                <w:szCs w:val="20"/>
                <w:color w:val="auto"/>
              </w:rPr>
            </w:pPr>
            <w:r>
              <w:rPr>
                <w:rFonts w:ascii="Arial" w:cs="Arial" w:eastAsia="Arial" w:hAnsi="Arial"/>
                <w:sz w:val="18"/>
                <w:szCs w:val="18"/>
                <w:color w:val="auto"/>
                <w:w w:val="94"/>
              </w:rPr>
              <w:t>1/1 - 12/31  1/1 - 12/31  1/1 - 12/31</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Faith Marine Ltd.</w:t>
            </w:r>
          </w:p>
        </w:tc>
        <w:tc>
          <w:tcPr>
            <w:tcW w:w="20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Vessel Owning Company</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6"/>
              </w:rPr>
              <w:t>Liberia</w:t>
            </w:r>
          </w:p>
        </w:tc>
        <w:tc>
          <w:tcPr>
            <w:tcW w:w="27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94"/>
              </w:rPr>
              <w:t>1/1 - 12/31  1/1 - 12/31  1/1 - 12/31</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Navios Maritime Finance (US) Inc.</w:t>
            </w:r>
          </w:p>
        </w:tc>
        <w:tc>
          <w:tcPr>
            <w:tcW w:w="2000" w:type="dxa"/>
            <w:vAlign w:val="bottom"/>
            <w:gridSpan w:val="2"/>
          </w:tcPr>
          <w:p>
            <w:pPr>
              <w:spacing w:after="0"/>
              <w:rPr>
                <w:sz w:val="20"/>
                <w:szCs w:val="20"/>
                <w:color w:val="auto"/>
              </w:rPr>
            </w:pPr>
            <w:r>
              <w:rPr>
                <w:rFonts w:ascii="Arial" w:cs="Arial" w:eastAsia="Arial" w:hAnsi="Arial"/>
                <w:sz w:val="18"/>
                <w:szCs w:val="18"/>
                <w:color w:val="auto"/>
              </w:rPr>
              <w:t>Operating Company</w:t>
            </w:r>
          </w:p>
        </w:tc>
        <w:tc>
          <w:tcPr>
            <w:tcW w:w="7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2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Delaware</w:t>
            </w:r>
          </w:p>
        </w:tc>
        <w:tc>
          <w:tcPr>
            <w:tcW w:w="2700" w:type="dxa"/>
            <w:vAlign w:val="bottom"/>
            <w:gridSpan w:val="5"/>
          </w:tcPr>
          <w:p>
            <w:pPr>
              <w:jc w:val="right"/>
              <w:spacing w:after="0"/>
              <w:rPr>
                <w:sz w:val="20"/>
                <w:szCs w:val="20"/>
                <w:color w:val="auto"/>
              </w:rPr>
            </w:pPr>
            <w:r>
              <w:rPr>
                <w:rFonts w:ascii="Arial" w:cs="Arial" w:eastAsia="Arial" w:hAnsi="Arial"/>
                <w:sz w:val="18"/>
                <w:szCs w:val="18"/>
                <w:color w:val="auto"/>
                <w:w w:val="94"/>
              </w:rPr>
              <w:t>1/1 - 12/31  1/1 - 12/31  1/1 - 12/31</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Navios Maritime Finance II (US) Inc.</w:t>
            </w:r>
          </w:p>
        </w:tc>
        <w:tc>
          <w:tcPr>
            <w:tcW w:w="2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Company</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Delaware</w:t>
            </w:r>
          </w:p>
        </w:tc>
        <w:tc>
          <w:tcPr>
            <w:tcW w:w="27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94"/>
              </w:rPr>
              <w:t>1/1 - 12/31  1/1 - 12/31  1/1 - 12/31</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Tulsi Shipmanagement Co.</w:t>
            </w:r>
          </w:p>
        </w:tc>
        <w:tc>
          <w:tcPr>
            <w:tcW w:w="2000" w:type="dxa"/>
            <w:vAlign w:val="bottom"/>
            <w:gridSpan w:val="2"/>
          </w:tcPr>
          <w:p>
            <w:pPr>
              <w:spacing w:after="0"/>
              <w:rPr>
                <w:sz w:val="20"/>
                <w:szCs w:val="20"/>
                <w:color w:val="auto"/>
              </w:rPr>
            </w:pPr>
            <w:r>
              <w:rPr>
                <w:rFonts w:ascii="Arial" w:cs="Arial" w:eastAsia="Arial" w:hAnsi="Arial"/>
                <w:sz w:val="18"/>
                <w:szCs w:val="18"/>
                <w:color w:val="auto"/>
              </w:rPr>
              <w:t>Operating Company</w:t>
            </w:r>
          </w:p>
        </w:tc>
        <w:tc>
          <w:tcPr>
            <w:tcW w:w="7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20" w:type="dxa"/>
            <w:vAlign w:val="bottom"/>
          </w:tcPr>
          <w:p>
            <w:pPr>
              <w:spacing w:after="0"/>
              <w:rPr>
                <w:sz w:val="18"/>
                <w:szCs w:val="18"/>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Marshall Is.</w:t>
            </w:r>
          </w:p>
        </w:tc>
        <w:tc>
          <w:tcPr>
            <w:tcW w:w="2700" w:type="dxa"/>
            <w:vAlign w:val="bottom"/>
            <w:gridSpan w:val="5"/>
          </w:tcPr>
          <w:p>
            <w:pPr>
              <w:jc w:val="right"/>
              <w:spacing w:after="0"/>
              <w:rPr>
                <w:sz w:val="20"/>
                <w:szCs w:val="20"/>
                <w:color w:val="auto"/>
              </w:rPr>
            </w:pPr>
            <w:r>
              <w:rPr>
                <w:rFonts w:ascii="Arial" w:cs="Arial" w:eastAsia="Arial" w:hAnsi="Arial"/>
                <w:sz w:val="18"/>
                <w:szCs w:val="18"/>
                <w:color w:val="auto"/>
                <w:w w:val="94"/>
              </w:rPr>
              <w:t>1/1 - 12/31  1/1 - 12/31  1/1 - 12/31</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Cinthara Shipping Ltd.</w:t>
            </w:r>
          </w:p>
        </w:tc>
        <w:tc>
          <w:tcPr>
            <w:tcW w:w="2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Company</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3"/>
              </w:rPr>
              <w:t>Marshall Is.</w:t>
            </w:r>
          </w:p>
        </w:tc>
        <w:tc>
          <w:tcPr>
            <w:tcW w:w="27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94"/>
              </w:rPr>
              <w:t>1/1 - 12/31  1/1 - 12/31  1/1 - 12/31</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Rawlin Services Company</w:t>
            </w:r>
          </w:p>
        </w:tc>
        <w:tc>
          <w:tcPr>
            <w:tcW w:w="2000" w:type="dxa"/>
            <w:vAlign w:val="bottom"/>
            <w:gridSpan w:val="2"/>
          </w:tcPr>
          <w:p>
            <w:pPr>
              <w:spacing w:after="0"/>
              <w:rPr>
                <w:sz w:val="20"/>
                <w:szCs w:val="20"/>
                <w:color w:val="auto"/>
              </w:rPr>
            </w:pPr>
            <w:r>
              <w:rPr>
                <w:rFonts w:ascii="Arial" w:cs="Arial" w:eastAsia="Arial" w:hAnsi="Arial"/>
                <w:sz w:val="18"/>
                <w:szCs w:val="18"/>
                <w:color w:val="auto"/>
              </w:rPr>
              <w:t>Operating Company</w:t>
            </w:r>
          </w:p>
        </w:tc>
        <w:tc>
          <w:tcPr>
            <w:tcW w:w="7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20" w:type="dxa"/>
            <w:vAlign w:val="bottom"/>
          </w:tcPr>
          <w:p>
            <w:pPr>
              <w:spacing w:after="0"/>
              <w:rPr>
                <w:sz w:val="18"/>
                <w:szCs w:val="18"/>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Marshall Is.</w:t>
            </w:r>
          </w:p>
        </w:tc>
        <w:tc>
          <w:tcPr>
            <w:tcW w:w="2700" w:type="dxa"/>
            <w:vAlign w:val="bottom"/>
            <w:gridSpan w:val="5"/>
          </w:tcPr>
          <w:p>
            <w:pPr>
              <w:jc w:val="right"/>
              <w:spacing w:after="0"/>
              <w:rPr>
                <w:sz w:val="20"/>
                <w:szCs w:val="20"/>
                <w:color w:val="auto"/>
              </w:rPr>
            </w:pPr>
            <w:r>
              <w:rPr>
                <w:rFonts w:ascii="Arial" w:cs="Arial" w:eastAsia="Arial" w:hAnsi="Arial"/>
                <w:sz w:val="18"/>
                <w:szCs w:val="18"/>
                <w:color w:val="auto"/>
                <w:w w:val="94"/>
              </w:rPr>
              <w:t>1/1 - 12/31  1/1 - 12/31  1/1 - 12/31</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Mauve International S.A.</w:t>
            </w:r>
          </w:p>
        </w:tc>
        <w:tc>
          <w:tcPr>
            <w:tcW w:w="2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Company</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3"/>
              </w:rPr>
              <w:t>Marshall Is.</w:t>
            </w:r>
          </w:p>
        </w:tc>
        <w:tc>
          <w:tcPr>
            <w:tcW w:w="27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94"/>
              </w:rPr>
              <w:t>1/1 - 12/31  1/1 - 12/31  1/1 - 12/31</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Serenity Shipping Enterprises Inc.</w:t>
            </w:r>
          </w:p>
        </w:tc>
        <w:tc>
          <w:tcPr>
            <w:tcW w:w="2000" w:type="dxa"/>
            <w:vAlign w:val="bottom"/>
            <w:gridSpan w:val="2"/>
          </w:tcPr>
          <w:p>
            <w:pPr>
              <w:spacing w:after="0"/>
              <w:rPr>
                <w:sz w:val="20"/>
                <w:szCs w:val="20"/>
                <w:color w:val="auto"/>
              </w:rPr>
            </w:pPr>
            <w:r>
              <w:rPr>
                <w:rFonts w:ascii="Arial" w:cs="Arial" w:eastAsia="Arial" w:hAnsi="Arial"/>
                <w:sz w:val="18"/>
                <w:szCs w:val="18"/>
                <w:color w:val="auto"/>
                <w:w w:val="97"/>
              </w:rPr>
              <w:t>Vessel Owning Company</w:t>
            </w:r>
          </w:p>
        </w:tc>
        <w:tc>
          <w:tcPr>
            <w:tcW w:w="7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20" w:type="dxa"/>
            <w:vAlign w:val="bottom"/>
          </w:tcPr>
          <w:p>
            <w:pPr>
              <w:spacing w:after="0"/>
              <w:rPr>
                <w:sz w:val="18"/>
                <w:szCs w:val="18"/>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Marshall Is.</w:t>
            </w:r>
          </w:p>
        </w:tc>
        <w:tc>
          <w:tcPr>
            <w:tcW w:w="2700" w:type="dxa"/>
            <w:vAlign w:val="bottom"/>
            <w:gridSpan w:val="5"/>
          </w:tcPr>
          <w:p>
            <w:pPr>
              <w:jc w:val="right"/>
              <w:spacing w:after="0"/>
              <w:rPr>
                <w:sz w:val="20"/>
                <w:szCs w:val="20"/>
                <w:color w:val="auto"/>
              </w:rPr>
            </w:pPr>
            <w:r>
              <w:rPr>
                <w:rFonts w:ascii="Arial" w:cs="Arial" w:eastAsia="Arial" w:hAnsi="Arial"/>
                <w:sz w:val="18"/>
                <w:szCs w:val="18"/>
                <w:color w:val="auto"/>
                <w:w w:val="94"/>
              </w:rPr>
              <w:t>1/1 - 12/31  1/1 - 12/31  1/1 - 12/31</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Mandora Shipping Ltd.</w:t>
            </w:r>
          </w:p>
        </w:tc>
        <w:tc>
          <w:tcPr>
            <w:tcW w:w="20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Vessel Owning Company</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3"/>
              </w:rPr>
              <w:t>Marshall Is.</w:t>
            </w:r>
          </w:p>
        </w:tc>
        <w:tc>
          <w:tcPr>
            <w:tcW w:w="27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94"/>
              </w:rPr>
              <w:t>1/1 - 12/31  1/1 - 12/31  1/1 - 12/31</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Solange Shipping Ltd.</w:t>
            </w:r>
          </w:p>
        </w:tc>
        <w:tc>
          <w:tcPr>
            <w:tcW w:w="2000" w:type="dxa"/>
            <w:vAlign w:val="bottom"/>
            <w:gridSpan w:val="2"/>
          </w:tcPr>
          <w:p>
            <w:pPr>
              <w:spacing w:after="0"/>
              <w:rPr>
                <w:sz w:val="20"/>
                <w:szCs w:val="20"/>
                <w:color w:val="auto"/>
              </w:rPr>
            </w:pPr>
            <w:r>
              <w:rPr>
                <w:rFonts w:ascii="Arial" w:cs="Arial" w:eastAsia="Arial" w:hAnsi="Arial"/>
                <w:sz w:val="18"/>
                <w:szCs w:val="18"/>
                <w:color w:val="auto"/>
                <w:w w:val="97"/>
              </w:rPr>
              <w:t>Vessel Owning Company</w:t>
            </w:r>
          </w:p>
        </w:tc>
        <w:tc>
          <w:tcPr>
            <w:tcW w:w="7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20" w:type="dxa"/>
            <w:vAlign w:val="bottom"/>
          </w:tcPr>
          <w:p>
            <w:pPr>
              <w:spacing w:after="0"/>
              <w:rPr>
                <w:sz w:val="18"/>
                <w:szCs w:val="18"/>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Marshall Is.</w:t>
            </w:r>
          </w:p>
        </w:tc>
        <w:tc>
          <w:tcPr>
            <w:tcW w:w="2700" w:type="dxa"/>
            <w:vAlign w:val="bottom"/>
            <w:gridSpan w:val="5"/>
          </w:tcPr>
          <w:p>
            <w:pPr>
              <w:jc w:val="right"/>
              <w:spacing w:after="0"/>
              <w:rPr>
                <w:sz w:val="20"/>
                <w:szCs w:val="20"/>
                <w:color w:val="auto"/>
              </w:rPr>
            </w:pPr>
            <w:r>
              <w:rPr>
                <w:rFonts w:ascii="Arial" w:cs="Arial" w:eastAsia="Arial" w:hAnsi="Arial"/>
                <w:sz w:val="18"/>
                <w:szCs w:val="18"/>
                <w:color w:val="auto"/>
                <w:w w:val="94"/>
              </w:rPr>
              <w:t>1/1 - 12/31  1/1 - 12/31  1/1 - 12/31</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Diesis Ship Management Ltd.</w:t>
            </w:r>
          </w:p>
        </w:tc>
        <w:tc>
          <w:tcPr>
            <w:tcW w:w="2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Company</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3"/>
              </w:rPr>
              <w:t>Marshall Is.</w:t>
            </w:r>
          </w:p>
        </w:tc>
        <w:tc>
          <w:tcPr>
            <w:tcW w:w="27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94"/>
              </w:rPr>
              <w:t>1/1 - 12/31  1/1 - 12/31  1/1 - 12/31</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Navios Holdings Europe Finance Inc.</w:t>
            </w:r>
          </w:p>
        </w:tc>
        <w:tc>
          <w:tcPr>
            <w:tcW w:w="2000" w:type="dxa"/>
            <w:vAlign w:val="bottom"/>
            <w:gridSpan w:val="2"/>
          </w:tcPr>
          <w:p>
            <w:pPr>
              <w:spacing w:after="0"/>
              <w:rPr>
                <w:sz w:val="20"/>
                <w:szCs w:val="20"/>
                <w:color w:val="auto"/>
              </w:rPr>
            </w:pPr>
            <w:r>
              <w:rPr>
                <w:rFonts w:ascii="Arial" w:cs="Arial" w:eastAsia="Arial" w:hAnsi="Arial"/>
                <w:sz w:val="18"/>
                <w:szCs w:val="18"/>
                <w:color w:val="auto"/>
              </w:rPr>
              <w:t>Sub-Holding Company</w:t>
            </w:r>
          </w:p>
        </w:tc>
        <w:tc>
          <w:tcPr>
            <w:tcW w:w="7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20" w:type="dxa"/>
            <w:vAlign w:val="bottom"/>
          </w:tcPr>
          <w:p>
            <w:pPr>
              <w:spacing w:after="0"/>
              <w:rPr>
                <w:sz w:val="18"/>
                <w:szCs w:val="18"/>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Marshall Is.</w:t>
            </w:r>
          </w:p>
        </w:tc>
        <w:tc>
          <w:tcPr>
            <w:tcW w:w="2700" w:type="dxa"/>
            <w:vAlign w:val="bottom"/>
            <w:gridSpan w:val="5"/>
          </w:tcPr>
          <w:p>
            <w:pPr>
              <w:jc w:val="right"/>
              <w:spacing w:after="0"/>
              <w:rPr>
                <w:sz w:val="20"/>
                <w:szCs w:val="20"/>
                <w:color w:val="auto"/>
              </w:rPr>
            </w:pPr>
            <w:r>
              <w:rPr>
                <w:rFonts w:ascii="Arial" w:cs="Arial" w:eastAsia="Arial" w:hAnsi="Arial"/>
                <w:sz w:val="18"/>
                <w:szCs w:val="18"/>
                <w:color w:val="auto"/>
                <w:w w:val="94"/>
              </w:rPr>
              <w:t>1/1 - 12/31  1/1 - 12/31  1/1 - 12/31</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Navios Asia LLC</w:t>
            </w:r>
          </w:p>
        </w:tc>
        <w:tc>
          <w:tcPr>
            <w:tcW w:w="2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Sub-Holding Company</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3"/>
              </w:rPr>
              <w:t>Marshall Is.</w:t>
            </w:r>
          </w:p>
        </w:tc>
        <w:tc>
          <w:tcPr>
            <w:tcW w:w="27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94"/>
              </w:rPr>
              <w:t>1/1 - 12/31  1/1 - 12/31  1/1 - 12/31</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Iris Shipping Corporation</w:t>
            </w:r>
          </w:p>
        </w:tc>
        <w:tc>
          <w:tcPr>
            <w:tcW w:w="2000" w:type="dxa"/>
            <w:vAlign w:val="bottom"/>
            <w:gridSpan w:val="2"/>
          </w:tcPr>
          <w:p>
            <w:pPr>
              <w:spacing w:after="0"/>
              <w:rPr>
                <w:sz w:val="20"/>
                <w:szCs w:val="20"/>
                <w:color w:val="auto"/>
              </w:rPr>
            </w:pPr>
            <w:r>
              <w:rPr>
                <w:rFonts w:ascii="Arial" w:cs="Arial" w:eastAsia="Arial" w:hAnsi="Arial"/>
                <w:sz w:val="18"/>
                <w:szCs w:val="18"/>
                <w:color w:val="auto"/>
                <w:w w:val="97"/>
              </w:rPr>
              <w:t>Vessel Owning Company</w:t>
            </w:r>
          </w:p>
        </w:tc>
        <w:tc>
          <w:tcPr>
            <w:tcW w:w="7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20" w:type="dxa"/>
            <w:vAlign w:val="bottom"/>
          </w:tcPr>
          <w:p>
            <w:pPr>
              <w:spacing w:after="0"/>
              <w:rPr>
                <w:sz w:val="18"/>
                <w:szCs w:val="18"/>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Marshall Is.</w:t>
            </w:r>
          </w:p>
        </w:tc>
        <w:tc>
          <w:tcPr>
            <w:tcW w:w="2700" w:type="dxa"/>
            <w:vAlign w:val="bottom"/>
            <w:gridSpan w:val="5"/>
          </w:tcPr>
          <w:p>
            <w:pPr>
              <w:jc w:val="right"/>
              <w:spacing w:after="0"/>
              <w:rPr>
                <w:sz w:val="20"/>
                <w:szCs w:val="20"/>
                <w:color w:val="auto"/>
              </w:rPr>
            </w:pPr>
            <w:r>
              <w:rPr>
                <w:rFonts w:ascii="Arial" w:cs="Arial" w:eastAsia="Arial" w:hAnsi="Arial"/>
                <w:sz w:val="18"/>
                <w:szCs w:val="18"/>
                <w:color w:val="auto"/>
                <w:w w:val="94"/>
              </w:rPr>
              <w:t>1/1 - 12/31  1/1 - 12/31  1/1 - 12/31</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Jasmine Shipping Corporation</w:t>
            </w:r>
          </w:p>
        </w:tc>
        <w:tc>
          <w:tcPr>
            <w:tcW w:w="20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Vessel Owning Company</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3"/>
              </w:rPr>
              <w:t>Marshall Is.</w:t>
            </w:r>
          </w:p>
        </w:tc>
        <w:tc>
          <w:tcPr>
            <w:tcW w:w="27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94"/>
              </w:rPr>
              <w:t>1/1 - 12/31  1/1 - 12/31  1/1 - 12/31</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Emery Shipping Corporation</w:t>
            </w:r>
          </w:p>
        </w:tc>
        <w:tc>
          <w:tcPr>
            <w:tcW w:w="2000" w:type="dxa"/>
            <w:vAlign w:val="bottom"/>
            <w:gridSpan w:val="2"/>
          </w:tcPr>
          <w:p>
            <w:pPr>
              <w:spacing w:after="0"/>
              <w:rPr>
                <w:sz w:val="20"/>
                <w:szCs w:val="20"/>
                <w:color w:val="auto"/>
              </w:rPr>
            </w:pPr>
            <w:r>
              <w:rPr>
                <w:rFonts w:ascii="Arial" w:cs="Arial" w:eastAsia="Arial" w:hAnsi="Arial"/>
                <w:sz w:val="18"/>
                <w:szCs w:val="18"/>
                <w:color w:val="auto"/>
                <w:w w:val="97"/>
              </w:rPr>
              <w:t>Vessel Owning Company</w:t>
            </w:r>
          </w:p>
        </w:tc>
        <w:tc>
          <w:tcPr>
            <w:tcW w:w="7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20" w:type="dxa"/>
            <w:vAlign w:val="bottom"/>
          </w:tcPr>
          <w:p>
            <w:pPr>
              <w:spacing w:after="0"/>
              <w:rPr>
                <w:sz w:val="18"/>
                <w:szCs w:val="18"/>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Marshall Is.</w:t>
            </w:r>
          </w:p>
        </w:tc>
        <w:tc>
          <w:tcPr>
            <w:tcW w:w="2700" w:type="dxa"/>
            <w:vAlign w:val="bottom"/>
            <w:gridSpan w:val="5"/>
          </w:tcPr>
          <w:p>
            <w:pPr>
              <w:jc w:val="right"/>
              <w:spacing w:after="0"/>
              <w:rPr>
                <w:sz w:val="20"/>
                <w:szCs w:val="20"/>
                <w:color w:val="auto"/>
              </w:rPr>
            </w:pPr>
            <w:r>
              <w:rPr>
                <w:rFonts w:ascii="Arial" w:cs="Arial" w:eastAsia="Arial" w:hAnsi="Arial"/>
                <w:sz w:val="18"/>
                <w:szCs w:val="18"/>
                <w:color w:val="auto"/>
                <w:w w:val="98"/>
              </w:rPr>
              <w:t>1/1 - 9/30  1/1 - 12/31  1/1 - 12/31</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Lavender Shipping Corporation</w:t>
            </w:r>
          </w:p>
        </w:tc>
        <w:tc>
          <w:tcPr>
            <w:tcW w:w="20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Vessel Owning Company</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3"/>
              </w:rPr>
              <w:t>Marshall Is.</w:t>
            </w:r>
          </w:p>
        </w:tc>
        <w:tc>
          <w:tcPr>
            <w:tcW w:w="27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94"/>
              </w:rPr>
              <w:t>1/1 - 12/31  1/1 - 12/31  1/1 - 12/31</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Esmeralda Shipping Corporation</w:t>
            </w:r>
          </w:p>
        </w:tc>
        <w:tc>
          <w:tcPr>
            <w:tcW w:w="2000" w:type="dxa"/>
            <w:vAlign w:val="bottom"/>
            <w:gridSpan w:val="2"/>
          </w:tcPr>
          <w:p>
            <w:pPr>
              <w:spacing w:after="0"/>
              <w:rPr>
                <w:sz w:val="20"/>
                <w:szCs w:val="20"/>
                <w:color w:val="auto"/>
              </w:rPr>
            </w:pPr>
            <w:r>
              <w:rPr>
                <w:rFonts w:ascii="Arial" w:cs="Arial" w:eastAsia="Arial" w:hAnsi="Arial"/>
                <w:sz w:val="18"/>
                <w:szCs w:val="18"/>
                <w:color w:val="auto"/>
                <w:w w:val="97"/>
              </w:rPr>
              <w:t>Vessel Owning Company</w:t>
            </w:r>
          </w:p>
        </w:tc>
        <w:tc>
          <w:tcPr>
            <w:tcW w:w="7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20" w:type="dxa"/>
            <w:vAlign w:val="bottom"/>
          </w:tcPr>
          <w:p>
            <w:pPr>
              <w:spacing w:after="0"/>
              <w:rPr>
                <w:sz w:val="18"/>
                <w:szCs w:val="18"/>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Marshall Is.</w:t>
            </w:r>
          </w:p>
        </w:tc>
        <w:tc>
          <w:tcPr>
            <w:tcW w:w="9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1/1 - 8/30</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Triangle Shipping Corporation</w:t>
            </w:r>
          </w:p>
        </w:tc>
        <w:tc>
          <w:tcPr>
            <w:tcW w:w="20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Vessel Owning Company</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3"/>
              </w:rPr>
              <w:t>Marshall Is.</w:t>
            </w:r>
          </w:p>
        </w:tc>
        <w:tc>
          <w:tcPr>
            <w:tcW w:w="9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1/1 - 8/30</w:t>
            </w:r>
          </w:p>
        </w:tc>
        <w:tc>
          <w:tcPr>
            <w:tcW w:w="0" w:type="dxa"/>
            <w:vAlign w:val="bottom"/>
          </w:tcPr>
          <w:p>
            <w:pPr>
              <w:spacing w:after="0"/>
              <w:rPr>
                <w:sz w:val="1"/>
                <w:szCs w:val="1"/>
                <w:color w:val="auto"/>
              </w:rPr>
            </w:pPr>
          </w:p>
        </w:tc>
      </w:tr>
      <w:tr>
        <w:trPr>
          <w:trHeight w:val="230"/>
        </w:trPr>
        <w:tc>
          <w:tcPr>
            <w:tcW w:w="4500" w:type="dxa"/>
            <w:vAlign w:val="bottom"/>
            <w:gridSpan w:val="2"/>
          </w:tcPr>
          <w:p>
            <w:pPr>
              <w:spacing w:after="0"/>
              <w:rPr>
                <w:sz w:val="20"/>
                <w:szCs w:val="20"/>
                <w:color w:val="auto"/>
              </w:rPr>
            </w:pPr>
            <w:r>
              <w:rPr>
                <w:rFonts w:ascii="Arial" w:cs="Arial" w:eastAsia="Arial" w:hAnsi="Arial"/>
                <w:sz w:val="18"/>
                <w:szCs w:val="18"/>
                <w:color w:val="auto"/>
              </w:rPr>
              <w:t>Roselite Shipping Corporation</w:t>
            </w:r>
          </w:p>
        </w:tc>
        <w:tc>
          <w:tcPr>
            <w:tcW w:w="2000" w:type="dxa"/>
            <w:vAlign w:val="bottom"/>
            <w:gridSpan w:val="2"/>
          </w:tcPr>
          <w:p>
            <w:pPr>
              <w:spacing w:after="0"/>
              <w:rPr>
                <w:sz w:val="20"/>
                <w:szCs w:val="20"/>
                <w:color w:val="auto"/>
              </w:rPr>
            </w:pPr>
            <w:r>
              <w:rPr>
                <w:rFonts w:ascii="Arial" w:cs="Arial" w:eastAsia="Arial" w:hAnsi="Arial"/>
                <w:sz w:val="18"/>
                <w:szCs w:val="18"/>
                <w:color w:val="auto"/>
              </w:rPr>
              <w:t>Operating Company</w:t>
            </w:r>
          </w:p>
        </w:tc>
        <w:tc>
          <w:tcPr>
            <w:tcW w:w="7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20" w:type="dxa"/>
            <w:vAlign w:val="bottom"/>
          </w:tcPr>
          <w:p>
            <w:pPr>
              <w:spacing w:after="0"/>
              <w:rPr>
                <w:sz w:val="20"/>
                <w:szCs w:val="20"/>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Marshall Is.</w:t>
            </w: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1/1 - 12/31</w:t>
            </w:r>
          </w:p>
        </w:tc>
        <w:tc>
          <w:tcPr>
            <w:tcW w:w="10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1/1 - 12/31</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1/1 - 12/31</w:t>
            </w:r>
          </w:p>
        </w:tc>
        <w:tc>
          <w:tcPr>
            <w:tcW w:w="0" w:type="dxa"/>
            <w:vAlign w:val="bottom"/>
          </w:tcPr>
          <w:p>
            <w:pPr>
              <w:spacing w:after="0"/>
              <w:rPr>
                <w:sz w:val="1"/>
                <w:szCs w:val="1"/>
                <w:color w:val="auto"/>
              </w:rPr>
            </w:pPr>
          </w:p>
        </w:tc>
      </w:tr>
      <w:tr>
        <w:trPr>
          <w:trHeight w:val="350"/>
        </w:trPr>
        <w:tc>
          <w:tcPr>
            <w:tcW w:w="4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ind w:left="92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 Name</w:t>
            </w: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Ownership</w:t>
            </w: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Country of</w:t>
            </w:r>
          </w:p>
        </w:tc>
        <w:tc>
          <w:tcPr>
            <w:tcW w:w="66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Statement of Operations</w:t>
            </w:r>
          </w:p>
        </w:tc>
        <w:tc>
          <w:tcPr>
            <w:tcW w:w="0" w:type="dxa"/>
            <w:vAlign w:val="bottom"/>
          </w:tcPr>
          <w:p>
            <w:pPr>
              <w:spacing w:after="0"/>
              <w:rPr>
                <w:sz w:val="1"/>
                <w:szCs w:val="1"/>
                <w:color w:val="auto"/>
              </w:rPr>
            </w:pPr>
          </w:p>
        </w:tc>
      </w:tr>
      <w:tr>
        <w:trPr>
          <w:trHeight w:val="142"/>
        </w:trPr>
        <w:tc>
          <w:tcPr>
            <w:tcW w:w="4280" w:type="dxa"/>
            <w:vAlign w:val="bottom"/>
            <w:gridSpan w:val="2"/>
            <w:vMerge w:val="continue"/>
          </w:tcPr>
          <w:p>
            <w:pPr>
              <w:spacing w:after="0"/>
              <w:rPr>
                <w:sz w:val="12"/>
                <w:szCs w:val="12"/>
                <w:color w:val="auto"/>
              </w:rPr>
            </w:pPr>
          </w:p>
        </w:tc>
        <w:tc>
          <w:tcPr>
            <w:tcW w:w="2020" w:type="dxa"/>
            <w:vAlign w:val="bottom"/>
            <w:gridSpan w:val="2"/>
          </w:tcPr>
          <w:p>
            <w:pPr>
              <w:ind w:left="740"/>
              <w:spacing w:after="0" w:line="142" w:lineRule="exact"/>
              <w:rPr>
                <w:sz w:val="20"/>
                <w:szCs w:val="20"/>
                <w:color w:val="auto"/>
              </w:rPr>
            </w:pPr>
            <w:r>
              <w:rPr>
                <w:rFonts w:ascii="Arial" w:cs="Arial" w:eastAsia="Arial" w:hAnsi="Arial"/>
                <w:sz w:val="14"/>
                <w:szCs w:val="14"/>
                <w:b w:val="1"/>
                <w:bCs w:val="1"/>
                <w:color w:val="auto"/>
              </w:rPr>
              <w:t>Nature</w:t>
            </w:r>
          </w:p>
        </w:tc>
        <w:tc>
          <w:tcPr>
            <w:tcW w:w="82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4"/>
              </w:rPr>
              <w:t>Interest</w:t>
            </w:r>
          </w:p>
        </w:tc>
        <w:tc>
          <w:tcPr>
            <w:tcW w:w="100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5"/>
              </w:rPr>
              <w:t>Incorporation</w:t>
            </w:r>
          </w:p>
        </w:tc>
        <w:tc>
          <w:tcPr>
            <w:tcW w:w="660" w:type="dxa"/>
            <w:vAlign w:val="bottom"/>
          </w:tcPr>
          <w:p>
            <w:pPr>
              <w:jc w:val="center"/>
              <w:ind w:left="91"/>
              <w:spacing w:after="0" w:line="142" w:lineRule="exact"/>
              <w:rPr>
                <w:sz w:val="20"/>
                <w:szCs w:val="20"/>
                <w:color w:val="auto"/>
              </w:rPr>
            </w:pPr>
            <w:r>
              <w:rPr>
                <w:rFonts w:ascii="Arial" w:cs="Arial" w:eastAsia="Arial" w:hAnsi="Arial"/>
                <w:sz w:val="14"/>
                <w:szCs w:val="14"/>
                <w:b w:val="1"/>
                <w:bCs w:val="1"/>
                <w:color w:val="auto"/>
                <w:w w:val="89"/>
              </w:rPr>
              <w:t>2020</w:t>
            </w:r>
          </w:p>
        </w:tc>
        <w:tc>
          <w:tcPr>
            <w:tcW w:w="1100" w:type="dxa"/>
            <w:vAlign w:val="bottom"/>
            <w:gridSpan w:val="3"/>
          </w:tcPr>
          <w:p>
            <w:pPr>
              <w:jc w:val="center"/>
              <w:ind w:left="199"/>
              <w:spacing w:after="0" w:line="142" w:lineRule="exact"/>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209"/>
        </w:trPr>
        <w:tc>
          <w:tcPr>
            <w:tcW w:w="4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Smaltite Shipping Corporation</w:t>
            </w:r>
          </w:p>
        </w:tc>
        <w:tc>
          <w:tcPr>
            <w:tcW w:w="10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Company</w:t>
            </w: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w w:val="90"/>
              </w:rPr>
              <w:t>1/1 - 12/31</w:t>
            </w: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1/1 - 12/31</w:t>
            </w: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1/1 - 12/31</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Motiva Trading Ltd.</w:t>
            </w:r>
          </w:p>
        </w:tc>
        <w:tc>
          <w:tcPr>
            <w:tcW w:w="2020" w:type="dxa"/>
            <w:vAlign w:val="bottom"/>
            <w:gridSpan w:val="2"/>
          </w:tcPr>
          <w:p>
            <w:pPr>
              <w:spacing w:after="0"/>
              <w:rPr>
                <w:sz w:val="20"/>
                <w:szCs w:val="20"/>
                <w:color w:val="auto"/>
              </w:rPr>
            </w:pPr>
            <w:r>
              <w:rPr>
                <w:rFonts w:ascii="Arial" w:cs="Arial" w:eastAsia="Arial" w:hAnsi="Arial"/>
                <w:sz w:val="18"/>
                <w:szCs w:val="18"/>
                <w:color w:val="auto"/>
              </w:rPr>
              <w:t>Operating Company</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Marshall Is.</w:t>
            </w:r>
          </w:p>
        </w:tc>
        <w:tc>
          <w:tcPr>
            <w:tcW w:w="1760" w:type="dxa"/>
            <w:vAlign w:val="bottom"/>
            <w:gridSpan w:val="4"/>
          </w:tcPr>
          <w:p>
            <w:pPr>
              <w:ind w:left="20"/>
              <w:spacing w:after="0"/>
              <w:rPr>
                <w:sz w:val="20"/>
                <w:szCs w:val="20"/>
                <w:color w:val="auto"/>
              </w:rPr>
            </w:pPr>
            <w:r>
              <w:rPr>
                <w:rFonts w:ascii="Arial" w:cs="Arial" w:eastAsia="Arial" w:hAnsi="Arial"/>
                <w:sz w:val="18"/>
                <w:szCs w:val="18"/>
                <w:color w:val="auto"/>
                <w:w w:val="94"/>
              </w:rPr>
              <w:t>1/1 - 12/31  1/1 - 12/31</w:t>
            </w:r>
          </w:p>
        </w:tc>
        <w:tc>
          <w:tcPr>
            <w:tcW w:w="1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1/1 - 12/31</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Alpha Merit Corporation</w:t>
            </w:r>
          </w:p>
        </w:tc>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Sub-Holding Company</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Marshall Is.</w:t>
            </w:r>
          </w:p>
        </w:tc>
        <w:tc>
          <w:tcPr>
            <w:tcW w:w="17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w w:val="94"/>
              </w:rPr>
              <w:t>1/1 - 12/31  1/1 - 12/31</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1/1 - 12/31</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Thalassa Marine S.A.</w:t>
            </w:r>
          </w:p>
        </w:tc>
        <w:tc>
          <w:tcPr>
            <w:tcW w:w="2020" w:type="dxa"/>
            <w:vAlign w:val="bottom"/>
            <w:gridSpan w:val="2"/>
          </w:tcPr>
          <w:p>
            <w:pPr>
              <w:spacing w:after="0"/>
              <w:rPr>
                <w:sz w:val="20"/>
                <w:szCs w:val="20"/>
                <w:color w:val="auto"/>
              </w:rPr>
            </w:pPr>
            <w:r>
              <w:rPr>
                <w:rFonts w:ascii="Arial" w:cs="Arial" w:eastAsia="Arial" w:hAnsi="Arial"/>
                <w:sz w:val="18"/>
                <w:szCs w:val="18"/>
                <w:color w:val="auto"/>
              </w:rPr>
              <w:t>Operating Company</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Marshall Is.</w:t>
            </w:r>
          </w:p>
        </w:tc>
        <w:tc>
          <w:tcPr>
            <w:tcW w:w="1760" w:type="dxa"/>
            <w:vAlign w:val="bottom"/>
            <w:gridSpan w:val="4"/>
          </w:tcPr>
          <w:p>
            <w:pPr>
              <w:ind w:left="20"/>
              <w:spacing w:after="0"/>
              <w:rPr>
                <w:sz w:val="20"/>
                <w:szCs w:val="20"/>
                <w:color w:val="auto"/>
              </w:rPr>
            </w:pPr>
            <w:r>
              <w:rPr>
                <w:rFonts w:ascii="Arial" w:cs="Arial" w:eastAsia="Arial" w:hAnsi="Arial"/>
                <w:sz w:val="18"/>
                <w:szCs w:val="18"/>
                <w:color w:val="auto"/>
                <w:w w:val="94"/>
              </w:rPr>
              <w:t>1/1 - 12/31  1/1 - 12/31</w:t>
            </w:r>
          </w:p>
        </w:tc>
        <w:tc>
          <w:tcPr>
            <w:tcW w:w="1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1/1 - 12/31</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Asteroid Shipping S.A.</w:t>
            </w:r>
          </w:p>
        </w:tc>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Company</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Marshall Is.</w:t>
            </w:r>
          </w:p>
        </w:tc>
        <w:tc>
          <w:tcPr>
            <w:tcW w:w="17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w w:val="94"/>
              </w:rPr>
              <w:t>1/1 - 12/31  1/1 - 12/31</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1/12 - 12/31</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Cloud Atlas Marine S.A.</w:t>
            </w:r>
          </w:p>
        </w:tc>
        <w:tc>
          <w:tcPr>
            <w:tcW w:w="2020" w:type="dxa"/>
            <w:vAlign w:val="bottom"/>
            <w:gridSpan w:val="2"/>
          </w:tcPr>
          <w:p>
            <w:pPr>
              <w:spacing w:after="0"/>
              <w:rPr>
                <w:sz w:val="20"/>
                <w:szCs w:val="20"/>
                <w:color w:val="auto"/>
              </w:rPr>
            </w:pPr>
            <w:r>
              <w:rPr>
                <w:rFonts w:ascii="Arial" w:cs="Arial" w:eastAsia="Arial" w:hAnsi="Arial"/>
                <w:sz w:val="18"/>
                <w:szCs w:val="18"/>
                <w:color w:val="auto"/>
              </w:rPr>
              <w:t>Operating Company</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Marshall Is.</w:t>
            </w:r>
          </w:p>
        </w:tc>
        <w:tc>
          <w:tcPr>
            <w:tcW w:w="1760" w:type="dxa"/>
            <w:vAlign w:val="bottom"/>
            <w:gridSpan w:val="4"/>
          </w:tcPr>
          <w:p>
            <w:pPr>
              <w:ind w:left="20"/>
              <w:spacing w:after="0"/>
              <w:rPr>
                <w:sz w:val="20"/>
                <w:szCs w:val="20"/>
                <w:color w:val="auto"/>
              </w:rPr>
            </w:pPr>
            <w:r>
              <w:rPr>
                <w:rFonts w:ascii="Arial" w:cs="Arial" w:eastAsia="Arial" w:hAnsi="Arial"/>
                <w:sz w:val="18"/>
                <w:szCs w:val="18"/>
                <w:color w:val="auto"/>
                <w:w w:val="94"/>
              </w:rPr>
              <w:t>1/1 - 12/31  1/1 - 12/31</w:t>
            </w:r>
          </w:p>
        </w:tc>
        <w:tc>
          <w:tcPr>
            <w:tcW w:w="1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1/15 - 12/31</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Heodor Shipping Inc.</w:t>
            </w:r>
          </w:p>
        </w:tc>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Vessel Owning Company</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Marshall Is.</w:t>
            </w:r>
          </w:p>
        </w:tc>
        <w:tc>
          <w:tcPr>
            <w:tcW w:w="17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w w:val="94"/>
              </w:rPr>
              <w:t>1/1 - 12/31  1/1 - 12/31</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2/13 - 12/31</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Navios Maritime Containers GP LLC</w:t>
            </w:r>
          </w:p>
        </w:tc>
        <w:tc>
          <w:tcPr>
            <w:tcW w:w="2020" w:type="dxa"/>
            <w:vAlign w:val="bottom"/>
            <w:gridSpan w:val="2"/>
          </w:tcPr>
          <w:p>
            <w:pPr>
              <w:spacing w:after="0"/>
              <w:rPr>
                <w:sz w:val="20"/>
                <w:szCs w:val="20"/>
                <w:color w:val="auto"/>
              </w:rPr>
            </w:pPr>
            <w:r>
              <w:rPr>
                <w:rFonts w:ascii="Arial" w:cs="Arial" w:eastAsia="Arial" w:hAnsi="Arial"/>
                <w:sz w:val="18"/>
                <w:szCs w:val="18"/>
                <w:color w:val="auto"/>
              </w:rPr>
              <w:t>Operating Company</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Marshall Is.</w:t>
            </w:r>
          </w:p>
        </w:tc>
        <w:tc>
          <w:tcPr>
            <w:tcW w:w="660" w:type="dxa"/>
            <w:vAlign w:val="bottom"/>
          </w:tcPr>
          <w:p>
            <w:pPr>
              <w:ind w:left="28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center"/>
              <w:ind w:left="199"/>
              <w:spacing w:after="0"/>
              <w:rPr>
                <w:sz w:val="20"/>
                <w:szCs w:val="20"/>
                <w:color w:val="auto"/>
              </w:rPr>
            </w:pPr>
            <w:r>
              <w:rPr>
                <w:rFonts w:ascii="Arial" w:cs="Arial" w:eastAsia="Arial" w:hAnsi="Arial"/>
                <w:sz w:val="18"/>
                <w:szCs w:val="18"/>
                <w:color w:val="auto"/>
                <w:w w:val="91"/>
              </w:rPr>
              <w:t>1/1 - 8/29</w:t>
            </w:r>
          </w:p>
        </w:tc>
        <w:tc>
          <w:tcPr>
            <w:tcW w:w="1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9/11 - 12/31</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Navios Containers Management Inc.</w:t>
            </w:r>
          </w:p>
        </w:tc>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Management Company</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Marshall Is.</w:t>
            </w:r>
          </w:p>
        </w:tc>
        <w:tc>
          <w:tcPr>
            <w:tcW w:w="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center"/>
              <w:ind w:left="199"/>
              <w:spacing w:after="0"/>
              <w:rPr>
                <w:sz w:val="20"/>
                <w:szCs w:val="20"/>
                <w:color w:val="auto"/>
              </w:rPr>
            </w:pPr>
            <w:r>
              <w:rPr>
                <w:rFonts w:ascii="Arial" w:cs="Arial" w:eastAsia="Arial" w:hAnsi="Arial"/>
                <w:sz w:val="18"/>
                <w:szCs w:val="18"/>
                <w:color w:val="auto"/>
                <w:w w:val="91"/>
              </w:rPr>
              <w:t>1/1 - 8/29</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1/1 - 12/31</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Pacifico Navigation Corp.</w:t>
            </w:r>
          </w:p>
        </w:tc>
        <w:tc>
          <w:tcPr>
            <w:tcW w:w="2020" w:type="dxa"/>
            <w:vAlign w:val="bottom"/>
            <w:gridSpan w:val="2"/>
          </w:tcPr>
          <w:p>
            <w:pPr>
              <w:spacing w:after="0"/>
              <w:rPr>
                <w:sz w:val="20"/>
                <w:szCs w:val="20"/>
                <w:color w:val="auto"/>
              </w:rPr>
            </w:pPr>
            <w:r>
              <w:rPr>
                <w:rFonts w:ascii="Arial" w:cs="Arial" w:eastAsia="Arial" w:hAnsi="Arial"/>
                <w:sz w:val="18"/>
                <w:szCs w:val="18"/>
                <w:color w:val="auto"/>
                <w:w w:val="98"/>
              </w:rPr>
              <w:t>Vessel Owning Company</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Marshall Is.</w:t>
            </w:r>
          </w:p>
        </w:tc>
        <w:tc>
          <w:tcPr>
            <w:tcW w:w="1760" w:type="dxa"/>
            <w:vAlign w:val="bottom"/>
            <w:gridSpan w:val="4"/>
          </w:tcPr>
          <w:p>
            <w:pPr>
              <w:ind w:left="20"/>
              <w:spacing w:after="0"/>
              <w:rPr>
                <w:sz w:val="20"/>
                <w:szCs w:val="20"/>
                <w:color w:val="auto"/>
              </w:rPr>
            </w:pPr>
            <w:r>
              <w:rPr>
                <w:rFonts w:ascii="Arial" w:cs="Arial" w:eastAsia="Arial" w:hAnsi="Arial"/>
                <w:sz w:val="18"/>
                <w:szCs w:val="18"/>
                <w:color w:val="auto"/>
                <w:w w:val="94"/>
              </w:rPr>
              <w:t>1/1 - 12/31  1/1 - 12/31</w:t>
            </w:r>
          </w:p>
        </w:tc>
        <w:tc>
          <w:tcPr>
            <w:tcW w:w="1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11/7 - 12/31</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Rider Shipmanagement Inc.</w:t>
            </w:r>
          </w:p>
        </w:tc>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Company</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Marshall Is.</w:t>
            </w:r>
          </w:p>
        </w:tc>
        <w:tc>
          <w:tcPr>
            <w:tcW w:w="17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w w:val="94"/>
              </w:rPr>
              <w:t>1/1 - 12/31  1/1 - 12/31</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12/4 - 12/31</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Talia Shiptrade S.A.</w:t>
            </w:r>
          </w:p>
        </w:tc>
        <w:tc>
          <w:tcPr>
            <w:tcW w:w="2020" w:type="dxa"/>
            <w:vAlign w:val="bottom"/>
            <w:gridSpan w:val="2"/>
          </w:tcPr>
          <w:p>
            <w:pPr>
              <w:spacing w:after="0"/>
              <w:rPr>
                <w:sz w:val="20"/>
                <w:szCs w:val="20"/>
                <w:color w:val="auto"/>
              </w:rPr>
            </w:pPr>
            <w:r>
              <w:rPr>
                <w:rFonts w:ascii="Arial" w:cs="Arial" w:eastAsia="Arial" w:hAnsi="Arial"/>
                <w:sz w:val="18"/>
                <w:szCs w:val="18"/>
                <w:color w:val="auto"/>
              </w:rPr>
              <w:t>Operating Company</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Marshall Is.</w:t>
            </w:r>
          </w:p>
        </w:tc>
        <w:tc>
          <w:tcPr>
            <w:tcW w:w="2900" w:type="dxa"/>
            <w:vAlign w:val="bottom"/>
            <w:gridSpan w:val="6"/>
          </w:tcPr>
          <w:p>
            <w:pPr>
              <w:ind w:left="20"/>
              <w:spacing w:after="0"/>
              <w:rPr>
                <w:sz w:val="20"/>
                <w:szCs w:val="20"/>
                <w:color w:val="auto"/>
              </w:rPr>
            </w:pPr>
            <w:r>
              <w:rPr>
                <w:rFonts w:ascii="Arial" w:cs="Arial" w:eastAsia="Arial" w:hAnsi="Arial"/>
                <w:sz w:val="18"/>
                <w:szCs w:val="18"/>
                <w:color w:val="auto"/>
                <w:w w:val="95"/>
              </w:rPr>
              <w:t>1/1 - 12/31  1/1 - 12/31  10/11 - 12/31</w:t>
            </w:r>
          </w:p>
        </w:tc>
        <w:tc>
          <w:tcPr>
            <w:tcW w:w="0" w:type="dxa"/>
            <w:vAlign w:val="bottom"/>
          </w:tcPr>
          <w:p>
            <w:pPr>
              <w:spacing w:after="0"/>
              <w:rPr>
                <w:sz w:val="1"/>
                <w:szCs w:val="1"/>
                <w:color w:val="auto"/>
              </w:rPr>
            </w:pPr>
          </w:p>
        </w:tc>
      </w:tr>
      <w:tr>
        <w:trPr>
          <w:trHeight w:val="202"/>
        </w:trPr>
        <w:tc>
          <w:tcPr>
            <w:tcW w:w="4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Moonstone Shipping Corporation</w:t>
            </w:r>
          </w:p>
        </w:tc>
        <w:tc>
          <w:tcPr>
            <w:tcW w:w="1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center"/>
              <w:ind w:left="71"/>
              <w:spacing w:after="0" w:line="201" w:lineRule="exact"/>
              <w:rPr>
                <w:sz w:val="20"/>
                <w:szCs w:val="20"/>
                <w:color w:val="auto"/>
              </w:rPr>
            </w:pPr>
            <w:r>
              <w:rPr>
                <w:rFonts w:ascii="Arial" w:cs="Arial" w:eastAsia="Arial" w:hAnsi="Arial"/>
                <w:sz w:val="18"/>
                <w:szCs w:val="18"/>
                <w:color w:val="auto"/>
                <w:w w:val="91"/>
              </w:rPr>
              <w:t>6/30 -</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Vessel Owning Company</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Marshall Is.</w:t>
            </w:r>
          </w:p>
        </w:tc>
        <w:tc>
          <w:tcPr>
            <w:tcW w:w="66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8"/>
              </w:rPr>
              <w:t>12/31</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280" w:type="dxa"/>
            <w:vAlign w:val="bottom"/>
            <w:gridSpan w:val="2"/>
          </w:tcPr>
          <w:p>
            <w:pPr>
              <w:spacing w:after="0" w:line="201" w:lineRule="exact"/>
              <w:rPr>
                <w:sz w:val="20"/>
                <w:szCs w:val="20"/>
                <w:color w:val="auto"/>
              </w:rPr>
            </w:pPr>
            <w:r>
              <w:rPr>
                <w:rFonts w:ascii="Arial" w:cs="Arial" w:eastAsia="Arial" w:hAnsi="Arial"/>
                <w:sz w:val="18"/>
                <w:szCs w:val="18"/>
                <w:color w:val="auto"/>
              </w:rPr>
              <w:t>Opal Shipping Corporation</w:t>
            </w: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center"/>
              <w:ind w:left="71"/>
              <w:spacing w:after="0" w:line="201" w:lineRule="exact"/>
              <w:rPr>
                <w:sz w:val="20"/>
                <w:szCs w:val="20"/>
                <w:color w:val="auto"/>
              </w:rPr>
            </w:pPr>
            <w:r>
              <w:rPr>
                <w:rFonts w:ascii="Arial" w:cs="Arial" w:eastAsia="Arial" w:hAnsi="Arial"/>
                <w:sz w:val="18"/>
                <w:szCs w:val="18"/>
                <w:color w:val="auto"/>
                <w:w w:val="91"/>
              </w:rPr>
              <w:t>6/30 -</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gridSpan w:val="2"/>
          </w:tcPr>
          <w:p>
            <w:pPr>
              <w:spacing w:after="0"/>
              <w:rPr>
                <w:sz w:val="20"/>
                <w:szCs w:val="20"/>
                <w:color w:val="auto"/>
              </w:rPr>
            </w:pPr>
            <w:r>
              <w:rPr>
                <w:rFonts w:ascii="Arial" w:cs="Arial" w:eastAsia="Arial" w:hAnsi="Arial"/>
                <w:sz w:val="18"/>
                <w:szCs w:val="18"/>
                <w:color w:val="auto"/>
                <w:w w:val="98"/>
              </w:rPr>
              <w:t>Vessel Owning Company</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20"/>
                <w:szCs w:val="20"/>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Marshall Is.</w:t>
            </w:r>
          </w:p>
        </w:tc>
        <w:tc>
          <w:tcPr>
            <w:tcW w:w="660" w:type="dxa"/>
            <w:vAlign w:val="bottom"/>
          </w:tcPr>
          <w:p>
            <w:pPr>
              <w:ind w:left="240"/>
              <w:spacing w:after="0"/>
              <w:rPr>
                <w:sz w:val="20"/>
                <w:szCs w:val="20"/>
                <w:color w:val="auto"/>
              </w:rPr>
            </w:pPr>
            <w:r>
              <w:rPr>
                <w:rFonts w:ascii="Arial" w:cs="Arial" w:eastAsia="Arial" w:hAnsi="Arial"/>
                <w:sz w:val="18"/>
                <w:szCs w:val="18"/>
                <w:color w:val="auto"/>
                <w:w w:val="88"/>
              </w:rPr>
              <w:t>12/31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40" w:type="dxa"/>
            <w:vAlign w:val="bottom"/>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4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ind w:left="1140"/>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Affiliate companies included in the financial statements accounted for under the equity method:</w:t>
      </w:r>
    </w:p>
    <w:p>
      <w:pPr>
        <w:spacing w:after="0" w:line="12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In the consolidated financial statements of Navios Holdings, the following entities are included as affiliate companies and are accounted for under the equity method for such periods: (i) Navios Partners and its subsidiaries (ownership interest as of December 31, 2020 was 17.9%); (ii) Navios Acquisition and its subsidiaries (economic interest as of December 31, 2020 was 29.5%); (iii) Navios Europe I and its subsidiaries (economic interest through liquidation in December 2019 was 47.5%); (iv) Navios Europe II and its subsidiaries (economic interest through liquidation in June 2020 was 47.5%); and (v) Navios Containers and its subsidiaries (ownership interest as of November 30, 2018, date of obtaining control, and from August 30, 2019, date of loss of control was 3.7% and as of December 31, 2020 was 3.9%).</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 Property, plants and equipment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only material property is the owned vessels, tanker vessels, barges and pushboats and the port terminal facilities in Paraguay and Uruguay.</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“Item 4.B Business Overview” above.</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4A. Unresolved Staff Comments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5. Operating and Financial Review and Prospects</w:t>
      </w:r>
    </w:p>
    <w:p>
      <w:pPr>
        <w:spacing w:after="0" w:line="121"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The following is a discussion of Navios Holdings’ financial condition and results of operations for each of the fiscal years ended December 31, 2020, 2019 and 2018. Navios Holdings’ financial statements have been prepared in accordance with U.S. GAAP. You should read this section together with the consolidated financial statements and the accompanying notes to those financial statements, which are included in this document.</w:t>
      </w:r>
    </w:p>
    <w:p>
      <w:pPr>
        <w:spacing w:after="0" w:line="149"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This report contains forward-looking statements made pursuant to the safe harbor provisions of the Private Securities Reform Act of 1995. These forward-looking statements are based on Navios Holdings’ current expectations and observations. Included among the factors that, in our view, could cause actual results to differ materially from the forward-looking statements contained in this report are those discussed under “Risk Factors” and “Forward-Looking Statements”.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left="120" w:right="520" w:firstLine="440"/>
        <w:spacing w:after="0" w:line="263" w:lineRule="auto"/>
        <w:rPr>
          <w:sz w:val="20"/>
          <w:szCs w:val="20"/>
          <w:color w:val="auto"/>
        </w:rPr>
      </w:pPr>
      <w:r>
        <w:rPr>
          <w:rFonts w:ascii="Arial" w:cs="Arial" w:eastAsia="Arial" w:hAnsi="Arial"/>
          <w:sz w:val="18"/>
          <w:szCs w:val="18"/>
          <w:color w:val="auto"/>
        </w:rPr>
        <w:t>Navios Holdings is a global seaborne shipping and logistics company focused on the transport and transshipment of dry bulk commodities, including iron ore, coal and grain. Following the sale of the management division effected on August 30, 2019, Navios Holdings’ owned fleet is commercially and technically managed by NSM (refer to “Related Party Transactions”).</w:t>
      </w:r>
    </w:p>
    <w:p>
      <w:pPr>
        <w:spacing w:after="0" w:line="184" w:lineRule="exact"/>
        <w:rPr>
          <w:sz w:val="20"/>
          <w:szCs w:val="20"/>
          <w:color w:val="auto"/>
        </w:rPr>
      </w:pPr>
    </w:p>
    <w:p>
      <w:pPr>
        <w:ind w:left="120" w:right="100" w:firstLine="440"/>
        <w:spacing w:after="0" w:line="269" w:lineRule="auto"/>
        <w:rPr>
          <w:sz w:val="20"/>
          <w:szCs w:val="20"/>
          <w:color w:val="auto"/>
        </w:rPr>
      </w:pPr>
      <w:r>
        <w:rPr>
          <w:rFonts w:ascii="Arial" w:cs="Arial" w:eastAsia="Arial" w:hAnsi="Arial"/>
          <w:sz w:val="17"/>
          <w:szCs w:val="17"/>
          <w:color w:val="auto"/>
        </w:rPr>
        <w:t>Navios Logistics, a consolidated subsidiary of the Company, was incorporated under the laws of the Republic of the Marshall Islands on December 17, 2007. Navios Logistics believes it is one of the largest infrastructure and logistics companies in the Hidrovia Region of South America, the main navigable river system in the region, and on the cabotage trades along the eastern coast of South America. Navios Logistics is focused on providing its customers integrated transportation, storage and related services through its strategically located port facilities, its large, versatile fleet of dry and liquid cargo barges and its product tankers. Navios Logistics serves the needs of a number of growing South American industries, including mineral and grain commodity providers as well as users of refined petroleum products. Navios Logistics serve its customers in the Hidrovia Region through its three port storage and transfer facilities, one for agricultural, forest-related exports, one for mineral related exports both located in Nueva Palmira Free Zone, Uruguay, and one for refined petroleum products in San Antonio, Paraguay. Navios Logistics complements its three Port Terminals with a diverse fleet of 359 barges and pushboats and eight vessels, including six tankers, one bunker vessel and one river and estuary tanker vessel which operate in our Cabotage Business. Navios Logistics provides transportation for dry cargo (cereals, cotton pellets, soybeans, wheat, limestone (clinker), mineral iron, and rolling stones) and liquid cargo (hydrocarbons such as crude oil, gas oil, naphtha, fuel oil and vegetable oils) and liquefied cargo (liquefied petroleum gas or LPG).</w:t>
      </w:r>
    </w:p>
    <w:p>
      <w:pPr>
        <w:spacing w:after="0" w:line="179" w:lineRule="exact"/>
        <w:rPr>
          <w:sz w:val="20"/>
          <w:szCs w:val="20"/>
          <w:color w:val="auto"/>
        </w:rPr>
      </w:pPr>
    </w:p>
    <w:p>
      <w:pPr>
        <w:ind w:left="120" w:right="160" w:firstLine="440"/>
        <w:spacing w:after="0" w:line="291" w:lineRule="auto"/>
        <w:rPr>
          <w:sz w:val="20"/>
          <w:szCs w:val="20"/>
          <w:color w:val="auto"/>
        </w:rPr>
      </w:pPr>
      <w:r>
        <w:rPr>
          <w:rFonts w:ascii="Arial" w:cs="Arial" w:eastAsia="Arial" w:hAnsi="Arial"/>
          <w:sz w:val="16"/>
          <w:szCs w:val="16"/>
          <w:color w:val="auto"/>
        </w:rPr>
        <w:t>Navios Containers (NASDAQ: NMCI), a consolidated subsidiary of the Company from November 30, 2018 (date of obtaining control) through August 30, 2019 (date of loss of control) is a growth-oriented international owner and operator of containerships. Navios Containers was formed in April 2017 to take advantage of acquisition and chartering opportunities in the container shipping sector. Following the sale of Navios Containers’ general partnership interest effected on August 30, 2019, referred to in Note 3 included elsewhere in this Annual Report, Navios Holdings lost control and deconsolidated Navios Containers from that date onwards. As a result, from August 30, 2019, Navios Containers is not a controlled subsidiary of the Company and the investment in Navios Containers is accounted for under the equity method due to Navios Holdings’ significant influence over Navios Containers. As of December 31, 2020, Navios Holdings had a 3.9% ownership interest in Navios Containers.</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080"/>
          </w:cols>
          <w:pgMar w:left="320" w:top="459" w:right="49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On August 7, 2007, Navios Holdings formed Navios Partners under the laws of Marshall Islands. Navios G.P. L.L.C. (“General Partner”), a wholly owned subsidiary of Navios Holdings, was also formed on that date to act as the general partner of Navios Partners and received a 2.0% general partner interest in Navios Partners. Navios Partners is an affiliate and not consolidated under Navios Holdings. As of December 31, 2020 and following the sale of Navios Partners’ general partnership interest, except for the incentive distribution rights (see also Note 3 included elsewhere in this Annual Report), Navios Holdings had a 17.9% ownership interest in Navios Partners.</w:t>
      </w:r>
    </w:p>
    <w:p>
      <w:pPr>
        <w:spacing w:after="0" w:line="176"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On January 4, 2021, Navios Containers and Navios Partners announced that they entered into a definitive merger agreement (the “Navios Partners’ Merger”). Under the terms of the Navios Partners’ Merger, Navios Partners acquired all of the publicly held common units of Navios Containers through the issuance of 8,133,452 newly issued common units of Navios Partners in exchange for the publicly held common units of Navios Containers at an exchange ratio of 0.39 units of Navios Partners for each Navios Containers common unit. The Navios Partners’ Merger was completed on March 31, 2021 and Navios Holdings had 12.6% ownership interest in Navios Partners. As of the close of the market on March 31, 2021, Navios Containers’ common units were no longer listed for trading on NASDAQ.</w:t>
      </w:r>
    </w:p>
    <w:p>
      <w:pPr>
        <w:spacing w:after="0" w:line="192"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On May 28, 2010, Navios Holdings acquired control over Navios Acquisition. As a result, Navios Holdings concluded that a business combination had occurred and consolidated the results of Navios Acquisition from that date until March 30, 2011. From March 30, 2011, Navios Acquisition has been considered as an affiliate entity of Navios Holdings.</w:t>
      </w:r>
    </w:p>
    <w:p>
      <w:pPr>
        <w:spacing w:after="0" w:line="184"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On December 13, 2018, Navios Acquisition completed the Merger contemplated by the previously announced Merger Agreement, dated as of October 7, 2018, by and among Navios Acquisition, its Merger Sub, Navios Midstream and NAP General Partner. Pursuant to the Merger Agreement, Merger Sub merged with and into Navios Midstream, with Navios Midstream surviving as a wholly-owned subsidiary of Navios Acquisition. As of December 31, 2020, Navios Holdings had a 29.5% economic interest in Navios Acquisition.</w:t>
      </w:r>
    </w:p>
    <w:p>
      <w:pPr>
        <w:spacing w:after="0" w:line="18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On October 9, 2013, Navios Holdings, Navios Acquisition and Navios Partners established Navios Europe I and had economic interests of 47.5%, 47.5% and 5.0%, respectively and effective November 2014 voting interests of 50%, 50% and 0%, respectively, through its liquidation in December 2019.</w:t>
      </w:r>
    </w:p>
    <w:p>
      <w:pPr>
        <w:spacing w:after="0" w:line="184" w:lineRule="exact"/>
        <w:rPr>
          <w:sz w:val="20"/>
          <w:szCs w:val="20"/>
          <w:color w:val="auto"/>
        </w:rPr>
      </w:pPr>
    </w:p>
    <w:p>
      <w:pPr>
        <w:ind w:left="120" w:right="380" w:firstLine="440"/>
        <w:spacing w:after="0" w:line="308" w:lineRule="auto"/>
        <w:rPr>
          <w:sz w:val="20"/>
          <w:szCs w:val="20"/>
          <w:color w:val="auto"/>
        </w:rPr>
      </w:pPr>
      <w:r>
        <w:rPr>
          <w:rFonts w:ascii="Arial" w:cs="Arial" w:eastAsia="Arial" w:hAnsi="Arial"/>
          <w:sz w:val="17"/>
          <w:szCs w:val="17"/>
          <w:color w:val="auto"/>
        </w:rPr>
        <w:t>On February 18, 2015, Navios Holdings, Navios Acquisition and Navios Partners established Navios Europe II and had economic interests of 47.5%, 47.5% and 5.0%, respectively and voting interests of 50%, 50% and 0%, respectively, through its liquidation in June 2020.</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Charter Policy and Industry Outlook</w:t>
      </w:r>
    </w:p>
    <w:p>
      <w:pPr>
        <w:spacing w:after="0" w:line="121"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Navios Holdings’ policy has been to take a portfolio approach to managing operating risks. This policy may lead Navios Holdings to time charter-out many of the vessels that it is operating (i.e., vessels owned by Navios Holdings or which Navios Holdings has taken into its fleet under charters having a duration of more than 12 months) for long-term periods at fixed or floating rates to various shipping industry counterparties considered by Navios Holdings to have appropriate credit profiles. By doing this, Navios Holdings aims to lock in, subject to credit and operating risks, favorable forward revenue and cash flows, which it believes, will cushion it against unfavorable market conditions, when the Company deems necessary. In addition, Navios Holdings may trade additional vessels taken in on shorter term charters of less than 12 months duration as well as voyage charters and COAs.</w:t>
      </w:r>
    </w:p>
    <w:p>
      <w:pPr>
        <w:spacing w:after="0" w:line="195"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Generally, these charters, when available, may have the effect of generating Time Charter Equivalent (“TCE”) that are higher than spot employment. The average daily charter-in vessel cost for the Navios Holdings long-term charter-in fleet (excluding Kleimar controlled fleet mainly used for servicing contracts of affreightment) was $12,311 per day for the year ended December 31, 2020. The average long-term charter-in hire rate per vessel was included in the amount of long-term hire included elsewhere in this document and was computed by (a) multiplying (i) the daily charter-in rate for each vessel by (ii) the number of days each vessel is in operation for the year; (b) summing those individual multiplications; and (c) dividing such total by the total number of charter-in vessel days for the year. Furthermore, Navios Holdings has the ability to increase its owned fleet through purchase options exercisable in the future at favorable prices relative to the then-current market. Navios Holdings holds 10 purchase options to acquire charter-in vessels, and five purchase options to acquire vessels under bareboat contracts.</w:t>
      </w:r>
    </w:p>
    <w:p>
      <w:pPr>
        <w:spacing w:after="0" w:line="178"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color w:val="auto"/>
        </w:rPr>
        <w:t>Navios Holdings believes that a decrease in global commodity demand from its current level, and the delivery of dry bulk carrier new buildings into the world fleet, could have an adverse impact on future revenue and profitability. However, Navios Holdings believes that the operating cost advantage (through the fixed cost contracts provided by NSM) of its owned vessels will continue to help mitigate the impact of any declines in freight rates. A reduced freight rate environment also has an adverse impact on the value of Navios Holdings’ owned fleet. In reaction to a decline in freight rates, available ship financing can also be negatively impacted.</w:t>
      </w:r>
    </w:p>
    <w:p>
      <w:pPr>
        <w:spacing w:after="0" w:line="188" w:lineRule="exact"/>
        <w:rPr>
          <w:sz w:val="20"/>
          <w:szCs w:val="20"/>
          <w:color w:val="auto"/>
        </w:rPr>
      </w:pPr>
    </w:p>
    <w:p>
      <w:pPr>
        <w:jc w:val="both"/>
        <w:ind w:left="120" w:right="60" w:firstLine="440"/>
        <w:spacing w:after="0" w:line="257" w:lineRule="auto"/>
        <w:rPr>
          <w:sz w:val="20"/>
          <w:szCs w:val="20"/>
          <w:color w:val="auto"/>
        </w:rPr>
      </w:pPr>
      <w:r>
        <w:rPr>
          <w:rFonts w:ascii="Arial" w:cs="Arial" w:eastAsia="Arial" w:hAnsi="Arial"/>
          <w:sz w:val="18"/>
          <w:szCs w:val="18"/>
          <w:color w:val="auto"/>
        </w:rPr>
        <w:t>Navios Logistics believes that it owns and operates the largest independent bulk transfer and storage port terminal complex in Uruguay based on throughputs, its Dry Port Terminal, and one of the largest independent storage facilities for crude and petroleum products in Paraguay based on storage capacity, its Liquid Port Terminal. Navios Logistics also believes that it is also one of the largest owners and operators of a diverse and versatile fleet of dry and wet barges, pushboats and oil tankers in the Hidrovia Region. Navios Logistics’ port, barge and cabotage operations serve the needs of a diverse range of industries, including mineral and</w:t>
      </w:r>
    </w:p>
    <w:p>
      <w:pPr>
        <w:sectPr>
          <w:pgSz w:w="11900" w:h="16838" w:orient="portrait"/>
          <w:cols w:equalWidth="0" w:num="1">
            <w:col w:w="11140"/>
          </w:cols>
          <w:pgMar w:left="320" w:top="459" w:right="439" w:bottom="1440" w:gutter="0" w:footer="0" w:header="0"/>
        </w:sectPr>
      </w:pP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140"/>
          </w:cols>
          <w:pgMar w:left="320" w:top="459" w:right="439" w:bottom="1440" w:gutter="0" w:footer="0" w:header="0"/>
          <w:type w:val="continuous"/>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1" w:lineRule="auto"/>
        <w:rPr>
          <w:sz w:val="20"/>
          <w:szCs w:val="20"/>
          <w:color w:val="auto"/>
        </w:rPr>
      </w:pPr>
      <w:r>
        <w:rPr>
          <w:rFonts w:ascii="Arial" w:cs="Arial" w:eastAsia="Arial" w:hAnsi="Arial"/>
          <w:sz w:val="17"/>
          <w:szCs w:val="17"/>
          <w:color w:val="auto"/>
        </w:rPr>
        <w:t>grain commodity providers as well as users of refined petroleum products. Navios Logistics has been able to combine its ports, barges, pushboats and tankers to offer an integrated logistics solution to its customers. Navios Logistics has customers that use both its dry port and dry barge services such as Vale, Vetorial Mineracao S.A. (“Vetorial”), Alicorp and other customers that use its liquid port and liquid barge or cabotage services such as Vitol and Petrosur. Navios Logistics believes that the scale and breadth of its integrated service offerings, together with the strategic location and unique capabilities of its infrastructure assets position it well to capitalize on the continued growth expected in iron ore, grain and liquid trade flows within the Hidrovia Region. Navios Holdings believes that the continuing development of these businesses will foster throughput growth and therefore increase revenues at Navios Logistics. Should this development be delayed, grain harvests be reduced, or the market experience an overall decrease in the demand for grain or iron ore, the operations in Navios Logistics could be adversely affected.</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Fleet</w:t>
      </w:r>
    </w:p>
    <w:p>
      <w:pPr>
        <w:spacing w:after="0" w:line="121"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The following is the current Navios Holdings’ “core fleet” employment profile (excluding Navios Logistics). The current “core fleet” consists of 45 vessels (including one agreed to be sold) totaling 5.0 million deadweight tons and has an average age of 8.2 years. The employment profile of the fleet as of April 19, 2021 is reflected in the tables below. Navios Holdings has currently chartered-out 82.1% of available days for 2021, out of which 49.9% on fixed rate and 32.2% on index. Although the rates as presented below are based on contractual charter rates, any contract is subject to performance by the counterparties and us.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Owned Vessels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9"/>
              </w:rPr>
              <w:t>Charter-</w:t>
            </w:r>
          </w:p>
        </w:tc>
        <w:tc>
          <w:tcPr>
            <w:tcW w:w="1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48"/>
        </w:trPr>
        <w:tc>
          <w:tcPr>
            <w:tcW w:w="2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Vessels</w:t>
            </w:r>
          </w:p>
        </w:tc>
        <w:tc>
          <w:tcPr>
            <w:tcW w:w="600" w:type="dxa"/>
            <w:vAlign w:val="bottom"/>
          </w:tcPr>
          <w:p>
            <w:pPr>
              <w:spacing w:after="0"/>
              <w:rPr>
                <w:sz w:val="12"/>
                <w:szCs w:val="12"/>
                <w:color w:val="auto"/>
              </w:rPr>
            </w:pPr>
          </w:p>
        </w:tc>
        <w:tc>
          <w:tcPr>
            <w:tcW w:w="182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Type</w:t>
            </w:r>
          </w:p>
        </w:tc>
        <w:tc>
          <w:tcPr>
            <w:tcW w:w="6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Built</w:t>
            </w:r>
          </w:p>
        </w:tc>
        <w:tc>
          <w:tcPr>
            <w:tcW w:w="400" w:type="dxa"/>
            <w:vAlign w:val="bottom"/>
          </w:tcPr>
          <w:p>
            <w:pPr>
              <w:spacing w:after="0"/>
              <w:rPr>
                <w:sz w:val="12"/>
                <w:szCs w:val="12"/>
                <w:color w:val="auto"/>
              </w:rPr>
            </w:pPr>
          </w:p>
        </w:tc>
        <w:tc>
          <w:tcPr>
            <w:tcW w:w="12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DWT</w:t>
            </w:r>
          </w:p>
        </w:tc>
        <w:tc>
          <w:tcPr>
            <w:tcW w:w="12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1"/>
              </w:rPr>
              <w:t>out</w:t>
            </w:r>
          </w:p>
        </w:tc>
        <w:tc>
          <w:tcPr>
            <w:tcW w:w="230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w w:val="95"/>
              </w:rPr>
              <w:t>Profit Share</w:t>
            </w: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6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1820" w:type="dxa"/>
            <w:vAlign w:val="bottom"/>
            <w:gridSpan w:val="2"/>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200" w:type="dxa"/>
            <w:vAlign w:val="bottom"/>
            <w:gridSpan w:val="2"/>
          </w:tcPr>
          <w:p>
            <w:pPr>
              <w:jc w:val="center"/>
              <w:ind w:right="660"/>
              <w:spacing w:after="0" w:line="158" w:lineRule="exact"/>
              <w:rPr>
                <w:sz w:val="20"/>
                <w:szCs w:val="20"/>
                <w:color w:val="auto"/>
              </w:rPr>
            </w:pPr>
            <w:r>
              <w:rPr>
                <w:rFonts w:ascii="Arial" w:cs="Arial" w:eastAsia="Arial" w:hAnsi="Arial"/>
                <w:sz w:val="14"/>
                <w:szCs w:val="14"/>
                <w:b w:val="1"/>
                <w:bCs w:val="1"/>
                <w:color w:val="auto"/>
                <w:w w:val="93"/>
              </w:rPr>
              <w:t>Rate</w:t>
            </w:r>
            <w:r>
              <w:rPr>
                <w:rFonts w:ascii="Arial" w:cs="Arial" w:eastAsia="Arial" w:hAnsi="Arial"/>
                <w:sz w:val="12"/>
                <w:szCs w:val="12"/>
                <w:b w:val="1"/>
                <w:bCs w:val="1"/>
                <w:color w:val="auto"/>
                <w:w w:val="93"/>
              </w:rPr>
              <w:t>(1)</w:t>
            </w:r>
          </w:p>
        </w:tc>
        <w:tc>
          <w:tcPr>
            <w:tcW w:w="2300" w:type="dxa"/>
            <w:vAlign w:val="bottom"/>
            <w:gridSpan w:val="2"/>
            <w:vMerge w:val="continue"/>
          </w:tcPr>
          <w:p>
            <w:pPr>
              <w:spacing w:after="0"/>
              <w:rPr>
                <w:sz w:val="13"/>
                <w:szCs w:val="13"/>
                <w:color w:val="auto"/>
              </w:rPr>
            </w:pPr>
          </w:p>
        </w:tc>
        <w:tc>
          <w:tcPr>
            <w:tcW w:w="740" w:type="dxa"/>
            <w:vAlign w:val="bottom"/>
            <w:gridSpan w:val="2"/>
          </w:tcPr>
          <w:p>
            <w:pPr>
              <w:ind w:left="120"/>
              <w:spacing w:after="0" w:line="158" w:lineRule="exact"/>
              <w:rPr>
                <w:sz w:val="20"/>
                <w:szCs w:val="20"/>
                <w:color w:val="auto"/>
              </w:rPr>
            </w:pPr>
            <w:r>
              <w:rPr>
                <w:rFonts w:ascii="Arial" w:cs="Arial" w:eastAsia="Arial" w:hAnsi="Arial"/>
                <w:sz w:val="14"/>
                <w:szCs w:val="14"/>
                <w:b w:val="1"/>
                <w:bCs w:val="1"/>
                <w:color w:val="auto"/>
              </w:rPr>
              <w:t>Date</w:t>
            </w:r>
            <w:r>
              <w:rPr>
                <w:rFonts w:ascii="Arial" w:cs="Arial" w:eastAsia="Arial" w:hAnsi="Arial"/>
                <w:sz w:val="12"/>
                <w:szCs w:val="12"/>
                <w:b w:val="1"/>
                <w:bCs w:val="1"/>
                <w:color w:val="auto"/>
              </w:rPr>
              <w:t>(2)</w:t>
            </w:r>
          </w:p>
        </w:tc>
        <w:tc>
          <w:tcPr>
            <w:tcW w:w="0" w:type="dxa"/>
            <w:vAlign w:val="bottom"/>
          </w:tcPr>
          <w:p>
            <w:pPr>
              <w:spacing w:after="0"/>
              <w:rPr>
                <w:sz w:val="1"/>
                <w:szCs w:val="1"/>
                <w:color w:val="auto"/>
              </w:rPr>
            </w:pPr>
          </w:p>
        </w:tc>
      </w:tr>
      <w:tr>
        <w:trPr>
          <w:trHeight w:val="20"/>
        </w:trPr>
        <w:tc>
          <w:tcPr>
            <w:tcW w:w="420" w:type="dxa"/>
            <w:vAlign w:val="bottom"/>
            <w:tcBorders>
              <w:bottom w:val="single" w:sz="8" w:color="CCEEFF"/>
            </w:tcBorders>
            <w:shd w:val="clear" w:color="auto" w:fill="000000"/>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 xml:space="preserve">Navios Serenity </w:t>
            </w:r>
            <w:r>
              <w:rPr>
                <w:rFonts w:ascii="Arial" w:cs="Arial" w:eastAsia="Arial" w:hAnsi="Arial"/>
                <w:sz w:val="15"/>
                <w:szCs w:val="15"/>
                <w:color w:val="auto"/>
              </w:rPr>
              <w:t>(3)</w:t>
            </w:r>
          </w:p>
        </w:tc>
        <w:tc>
          <w:tcPr>
            <w:tcW w:w="6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Handysize</w:t>
            </w: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2011</w:t>
            </w: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34,690</w:t>
            </w:r>
          </w:p>
        </w:tc>
        <w:tc>
          <w:tcPr>
            <w:tcW w:w="6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7,790</w:t>
            </w:r>
          </w:p>
        </w:tc>
        <w:tc>
          <w:tcPr>
            <w:tcW w:w="660" w:type="dxa"/>
            <w:vAlign w:val="bottom"/>
            <w:shd w:val="clear" w:color="auto" w:fill="CCEEFF"/>
          </w:tcPr>
          <w:p>
            <w:pPr>
              <w:spacing w:after="0"/>
              <w:rPr>
                <w:sz w:val="17"/>
                <w:szCs w:val="17"/>
                <w:color w:val="auto"/>
              </w:rPr>
            </w:pPr>
          </w:p>
        </w:tc>
        <w:tc>
          <w:tcPr>
            <w:tcW w:w="17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5"/>
              </w:rPr>
              <w:t>No</w:t>
            </w:r>
          </w:p>
        </w:tc>
        <w:tc>
          <w:tcPr>
            <w:tcW w:w="6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06/2021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Navios Ulysses</w:t>
            </w:r>
          </w:p>
        </w:tc>
        <w:tc>
          <w:tcPr>
            <w:tcW w:w="6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Ultra Handymax</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2007</w:t>
            </w:r>
          </w:p>
        </w:tc>
        <w:tc>
          <w:tcPr>
            <w:tcW w:w="16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55,728</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20,154</w:t>
            </w:r>
          </w:p>
        </w:tc>
        <w:tc>
          <w:tcPr>
            <w:tcW w:w="2300" w:type="dxa"/>
            <w:vAlign w:val="bottom"/>
            <w:gridSpan w:val="2"/>
            <w:shd w:val="clear" w:color="auto" w:fill="CCEEFF"/>
          </w:tcPr>
          <w:p>
            <w:pPr>
              <w:jc w:val="center"/>
              <w:ind w:right="600"/>
              <w:spacing w:after="0"/>
              <w:rPr>
                <w:sz w:val="20"/>
                <w:szCs w:val="20"/>
                <w:color w:val="auto"/>
              </w:rPr>
            </w:pPr>
            <w:r>
              <w:rPr>
                <w:rFonts w:ascii="Arial" w:cs="Arial" w:eastAsia="Arial" w:hAnsi="Arial"/>
                <w:sz w:val="18"/>
                <w:szCs w:val="18"/>
                <w:color w:val="auto"/>
                <w:w w:val="95"/>
              </w:rPr>
              <w:t>No</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04/2021</w:t>
            </w:r>
          </w:p>
        </w:tc>
        <w:tc>
          <w:tcPr>
            <w:tcW w:w="0" w:type="dxa"/>
            <w:vAlign w:val="bottom"/>
          </w:tcPr>
          <w:p>
            <w:pPr>
              <w:spacing w:after="0"/>
              <w:rPr>
                <w:sz w:val="1"/>
                <w:szCs w:val="1"/>
                <w:color w:val="auto"/>
              </w:rPr>
            </w:pPr>
          </w:p>
        </w:tc>
      </w:tr>
      <w:tr>
        <w:trPr>
          <w:trHeight w:val="202"/>
        </w:trPr>
        <w:tc>
          <w:tcPr>
            <w:tcW w:w="4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740"/>
              <w:spacing w:after="0" w:line="201" w:lineRule="exact"/>
              <w:rPr>
                <w:sz w:val="20"/>
                <w:szCs w:val="20"/>
                <w:color w:val="auto"/>
              </w:rPr>
            </w:pPr>
            <w:r>
              <w:rPr>
                <w:rFonts w:ascii="Arial" w:cs="Arial" w:eastAsia="Arial" w:hAnsi="Arial"/>
                <w:sz w:val="18"/>
                <w:szCs w:val="18"/>
                <w:color w:val="auto"/>
              </w:rPr>
              <w:t>—</w:t>
            </w:r>
          </w:p>
        </w:tc>
        <w:tc>
          <w:tcPr>
            <w:tcW w:w="2300" w:type="dxa"/>
            <w:vAlign w:val="bottom"/>
            <w:gridSpan w:val="2"/>
            <w:shd w:val="clear" w:color="auto" w:fill="CCEEFF"/>
          </w:tcPr>
          <w:p>
            <w:pPr>
              <w:jc w:val="center"/>
              <w:ind w:right="580"/>
              <w:spacing w:after="0" w:line="201" w:lineRule="exact"/>
              <w:rPr>
                <w:sz w:val="20"/>
                <w:szCs w:val="20"/>
                <w:color w:val="auto"/>
              </w:rPr>
            </w:pPr>
            <w:r>
              <w:rPr>
                <w:rFonts w:ascii="Arial" w:cs="Arial" w:eastAsia="Arial" w:hAnsi="Arial"/>
                <w:sz w:val="18"/>
                <w:szCs w:val="18"/>
                <w:color w:val="auto"/>
                <w:w w:val="90"/>
              </w:rPr>
              <w:t>100% of average Baltic</w:t>
            </w:r>
          </w:p>
        </w:tc>
        <w:tc>
          <w:tcPr>
            <w:tcW w:w="74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10/2021</w:t>
            </w: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center"/>
              <w:ind w:right="580"/>
              <w:spacing w:after="0"/>
              <w:rPr>
                <w:sz w:val="20"/>
                <w:szCs w:val="20"/>
                <w:color w:val="auto"/>
              </w:rPr>
            </w:pPr>
            <w:r>
              <w:rPr>
                <w:rFonts w:ascii="Arial" w:cs="Arial" w:eastAsia="Arial" w:hAnsi="Arial"/>
                <w:sz w:val="18"/>
                <w:szCs w:val="18"/>
                <w:color w:val="auto"/>
                <w:w w:val="89"/>
              </w:rPr>
              <w:t>Supramax 58 10 TC</w:t>
            </w: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300" w:type="dxa"/>
            <w:vAlign w:val="bottom"/>
            <w:gridSpan w:val="2"/>
            <w:shd w:val="clear" w:color="auto" w:fill="CCEEFF"/>
          </w:tcPr>
          <w:p>
            <w:pPr>
              <w:jc w:val="center"/>
              <w:ind w:right="580"/>
              <w:spacing w:after="0"/>
              <w:rPr>
                <w:sz w:val="20"/>
                <w:szCs w:val="20"/>
                <w:color w:val="auto"/>
              </w:rPr>
            </w:pPr>
            <w:r>
              <w:rPr>
                <w:rFonts w:ascii="Arial" w:cs="Arial" w:eastAsia="Arial" w:hAnsi="Arial"/>
                <w:sz w:val="18"/>
                <w:szCs w:val="18"/>
                <w:color w:val="auto"/>
                <w:w w:val="90"/>
              </w:rPr>
              <w:t>Index Routes</w:t>
            </w:r>
          </w:p>
        </w:tc>
        <w:tc>
          <w:tcPr>
            <w:tcW w:w="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Navios Celestial</w:t>
            </w:r>
          </w:p>
        </w:tc>
        <w:tc>
          <w:tcPr>
            <w:tcW w:w="600" w:type="dxa"/>
            <w:vAlign w:val="bottom"/>
          </w:tcPr>
          <w:p>
            <w:pPr>
              <w:spacing w:after="0"/>
              <w:rPr>
                <w:sz w:val="18"/>
                <w:szCs w:val="18"/>
                <w:color w:val="auto"/>
              </w:rPr>
            </w:pPr>
          </w:p>
        </w:tc>
        <w:tc>
          <w:tcPr>
            <w:tcW w:w="1820" w:type="dxa"/>
            <w:vAlign w:val="bottom"/>
            <w:gridSpan w:val="2"/>
          </w:tcPr>
          <w:p>
            <w:pPr>
              <w:spacing w:after="0"/>
              <w:rPr>
                <w:sz w:val="20"/>
                <w:szCs w:val="20"/>
                <w:color w:val="auto"/>
              </w:rPr>
            </w:pPr>
            <w:r>
              <w:rPr>
                <w:rFonts w:ascii="Arial" w:cs="Arial" w:eastAsia="Arial" w:hAnsi="Arial"/>
                <w:sz w:val="18"/>
                <w:szCs w:val="18"/>
                <w:color w:val="auto"/>
              </w:rPr>
              <w:t>Ultra Handymax</w:t>
            </w: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2009</w:t>
            </w:r>
          </w:p>
        </w:tc>
        <w:tc>
          <w:tcPr>
            <w:tcW w:w="1620" w:type="dxa"/>
            <w:vAlign w:val="bottom"/>
            <w:gridSpan w:val="3"/>
          </w:tcPr>
          <w:p>
            <w:pPr>
              <w:jc w:val="right"/>
              <w:ind w:right="660"/>
              <w:spacing w:after="0"/>
              <w:rPr>
                <w:sz w:val="20"/>
                <w:szCs w:val="20"/>
                <w:color w:val="auto"/>
              </w:rPr>
            </w:pPr>
            <w:r>
              <w:rPr>
                <w:rFonts w:ascii="Arial" w:cs="Arial" w:eastAsia="Arial" w:hAnsi="Arial"/>
                <w:sz w:val="18"/>
                <w:szCs w:val="18"/>
                <w:color w:val="auto"/>
              </w:rPr>
              <w:t>58,063</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9,548</w:t>
            </w:r>
          </w:p>
        </w:tc>
        <w:tc>
          <w:tcPr>
            <w:tcW w:w="2300" w:type="dxa"/>
            <w:vAlign w:val="bottom"/>
            <w:gridSpan w:val="2"/>
          </w:tcPr>
          <w:p>
            <w:pPr>
              <w:jc w:val="center"/>
              <w:ind w:right="600"/>
              <w:spacing w:after="0"/>
              <w:rPr>
                <w:sz w:val="20"/>
                <w:szCs w:val="20"/>
                <w:color w:val="auto"/>
              </w:rPr>
            </w:pPr>
            <w:r>
              <w:rPr>
                <w:rFonts w:ascii="Arial" w:cs="Arial" w:eastAsia="Arial" w:hAnsi="Arial"/>
                <w:sz w:val="18"/>
                <w:szCs w:val="18"/>
                <w:color w:val="auto"/>
                <w:w w:val="95"/>
              </w:rPr>
              <w:t>No</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12/2021</w:t>
            </w:r>
          </w:p>
        </w:tc>
        <w:tc>
          <w:tcPr>
            <w:tcW w:w="0" w:type="dxa"/>
            <w:vAlign w:val="bottom"/>
          </w:tcPr>
          <w:p>
            <w:pPr>
              <w:spacing w:after="0"/>
              <w:rPr>
                <w:sz w:val="1"/>
                <w:szCs w:val="1"/>
                <w:color w:val="auto"/>
              </w:rPr>
            </w:pPr>
          </w:p>
        </w:tc>
      </w:tr>
      <w:tr>
        <w:trPr>
          <w:trHeight w:val="202"/>
        </w:trPr>
        <w:tc>
          <w:tcPr>
            <w:tcW w:w="2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Navios Vega</w:t>
            </w:r>
          </w:p>
        </w:tc>
        <w:tc>
          <w:tcPr>
            <w:tcW w:w="2420" w:type="dxa"/>
            <w:vAlign w:val="bottom"/>
            <w:gridSpan w:val="3"/>
            <w:shd w:val="clear" w:color="auto" w:fill="CCEEFF"/>
          </w:tcPr>
          <w:p>
            <w:pPr>
              <w:ind w:left="600"/>
              <w:spacing w:after="0" w:line="201" w:lineRule="exact"/>
              <w:rPr>
                <w:sz w:val="20"/>
                <w:szCs w:val="20"/>
                <w:color w:val="auto"/>
              </w:rPr>
            </w:pPr>
            <w:r>
              <w:rPr>
                <w:rFonts w:ascii="Arial" w:cs="Arial" w:eastAsia="Arial" w:hAnsi="Arial"/>
                <w:sz w:val="18"/>
                <w:szCs w:val="18"/>
                <w:color w:val="auto"/>
              </w:rPr>
              <w:t>Ultra Handymax</w:t>
            </w:r>
          </w:p>
        </w:tc>
        <w:tc>
          <w:tcPr>
            <w:tcW w:w="68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2009</w:t>
            </w:r>
          </w:p>
        </w:tc>
        <w:tc>
          <w:tcPr>
            <w:tcW w:w="1620" w:type="dxa"/>
            <w:vAlign w:val="bottom"/>
            <w:gridSpan w:val="3"/>
            <w:shd w:val="clear" w:color="auto" w:fill="CCEEFF"/>
          </w:tcPr>
          <w:p>
            <w:pPr>
              <w:jc w:val="right"/>
              <w:ind w:right="660"/>
              <w:spacing w:after="0" w:line="201" w:lineRule="exact"/>
              <w:rPr>
                <w:sz w:val="20"/>
                <w:szCs w:val="20"/>
                <w:color w:val="auto"/>
              </w:rPr>
            </w:pPr>
            <w:r>
              <w:rPr>
                <w:rFonts w:ascii="Arial" w:cs="Arial" w:eastAsia="Arial" w:hAnsi="Arial"/>
                <w:sz w:val="18"/>
                <w:szCs w:val="18"/>
                <w:color w:val="auto"/>
              </w:rPr>
              <w:t>58,792</w:t>
            </w:r>
          </w:p>
        </w:tc>
        <w:tc>
          <w:tcPr>
            <w:tcW w:w="1200" w:type="dxa"/>
            <w:vAlign w:val="bottom"/>
            <w:gridSpan w:val="2"/>
            <w:shd w:val="clear" w:color="auto" w:fill="CCEEFF"/>
          </w:tcPr>
          <w:p>
            <w:pPr>
              <w:jc w:val="right"/>
              <w:ind w:right="740"/>
              <w:spacing w:after="0" w:line="201" w:lineRule="exact"/>
              <w:rPr>
                <w:sz w:val="20"/>
                <w:szCs w:val="20"/>
                <w:color w:val="auto"/>
              </w:rPr>
            </w:pPr>
            <w:r>
              <w:rPr>
                <w:rFonts w:ascii="Arial" w:cs="Arial" w:eastAsia="Arial" w:hAnsi="Arial"/>
                <w:sz w:val="18"/>
                <w:szCs w:val="18"/>
                <w:color w:val="auto"/>
              </w:rPr>
              <w:t>—</w:t>
            </w:r>
          </w:p>
        </w:tc>
        <w:tc>
          <w:tcPr>
            <w:tcW w:w="2300" w:type="dxa"/>
            <w:vAlign w:val="bottom"/>
            <w:gridSpan w:val="2"/>
            <w:shd w:val="clear" w:color="auto" w:fill="CCEEFF"/>
          </w:tcPr>
          <w:p>
            <w:pPr>
              <w:jc w:val="center"/>
              <w:ind w:right="580"/>
              <w:spacing w:after="0" w:line="201" w:lineRule="exact"/>
              <w:rPr>
                <w:sz w:val="20"/>
                <w:szCs w:val="20"/>
                <w:color w:val="auto"/>
              </w:rPr>
            </w:pPr>
            <w:r>
              <w:rPr>
                <w:rFonts w:ascii="Arial" w:cs="Arial" w:eastAsia="Arial" w:hAnsi="Arial"/>
                <w:sz w:val="18"/>
                <w:szCs w:val="18"/>
                <w:color w:val="auto"/>
                <w:w w:val="90"/>
              </w:rPr>
              <w:t>100% of average Baltic</w:t>
            </w:r>
          </w:p>
        </w:tc>
        <w:tc>
          <w:tcPr>
            <w:tcW w:w="74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11/2021</w:t>
            </w: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center"/>
              <w:ind w:right="580"/>
              <w:spacing w:after="0"/>
              <w:rPr>
                <w:sz w:val="20"/>
                <w:szCs w:val="20"/>
                <w:color w:val="auto"/>
              </w:rPr>
            </w:pPr>
            <w:r>
              <w:rPr>
                <w:rFonts w:ascii="Arial" w:cs="Arial" w:eastAsia="Arial" w:hAnsi="Arial"/>
                <w:sz w:val="18"/>
                <w:szCs w:val="18"/>
                <w:color w:val="auto"/>
                <w:w w:val="89"/>
              </w:rPr>
              <w:t>Supramax 58 10 TC</w:t>
            </w: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300" w:type="dxa"/>
            <w:vAlign w:val="bottom"/>
            <w:gridSpan w:val="2"/>
            <w:shd w:val="clear" w:color="auto" w:fill="CCEEFF"/>
          </w:tcPr>
          <w:p>
            <w:pPr>
              <w:jc w:val="center"/>
              <w:ind w:right="580"/>
              <w:spacing w:after="0"/>
              <w:rPr>
                <w:sz w:val="20"/>
                <w:szCs w:val="20"/>
                <w:color w:val="auto"/>
              </w:rPr>
            </w:pPr>
            <w:r>
              <w:rPr>
                <w:rFonts w:ascii="Arial" w:cs="Arial" w:eastAsia="Arial" w:hAnsi="Arial"/>
                <w:sz w:val="18"/>
                <w:szCs w:val="18"/>
                <w:color w:val="auto"/>
                <w:w w:val="90"/>
              </w:rPr>
              <w:t>Index Routes</w:t>
            </w:r>
          </w:p>
        </w:tc>
        <w:tc>
          <w:tcPr>
            <w:tcW w:w="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4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gridSpan w:val="2"/>
          </w:tcPr>
          <w:p>
            <w:pPr>
              <w:jc w:val="right"/>
              <w:ind w:right="439"/>
              <w:spacing w:after="0"/>
              <w:rPr>
                <w:sz w:val="20"/>
                <w:szCs w:val="20"/>
                <w:color w:val="auto"/>
              </w:rPr>
            </w:pPr>
            <w:r>
              <w:rPr>
                <w:rFonts w:ascii="Arial" w:cs="Arial" w:eastAsia="Arial" w:hAnsi="Arial"/>
                <w:sz w:val="18"/>
                <w:szCs w:val="18"/>
                <w:color w:val="auto"/>
              </w:rPr>
              <w:t>90</w:t>
            </w: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9"/>
              </w:rPr>
              <w:t>Charter-</w:t>
            </w:r>
          </w:p>
        </w:tc>
        <w:tc>
          <w:tcPr>
            <w:tcW w:w="1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48"/>
        </w:trPr>
        <w:tc>
          <w:tcPr>
            <w:tcW w:w="2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Vessels</w:t>
            </w:r>
          </w:p>
        </w:tc>
        <w:tc>
          <w:tcPr>
            <w:tcW w:w="660" w:type="dxa"/>
            <w:vAlign w:val="bottom"/>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Type</w:t>
            </w:r>
          </w:p>
        </w:tc>
        <w:tc>
          <w:tcPr>
            <w:tcW w:w="640" w:type="dxa"/>
            <w:vAlign w:val="bottom"/>
          </w:tcPr>
          <w:p>
            <w:pPr>
              <w:spacing w:after="0"/>
              <w:rPr>
                <w:sz w:val="12"/>
                <w:szCs w:val="12"/>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Built</w:t>
            </w:r>
          </w:p>
        </w:tc>
        <w:tc>
          <w:tcPr>
            <w:tcW w:w="13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DWT</w:t>
            </w:r>
          </w:p>
        </w:tc>
        <w:tc>
          <w:tcPr>
            <w:tcW w:w="12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1"/>
              </w:rPr>
              <w:t>out</w:t>
            </w:r>
          </w:p>
        </w:tc>
        <w:tc>
          <w:tcPr>
            <w:tcW w:w="2340" w:type="dxa"/>
            <w:vAlign w:val="bottom"/>
            <w:gridSpan w:val="2"/>
            <w:vMerge w:val="restart"/>
          </w:tcPr>
          <w:p>
            <w:pPr>
              <w:jc w:val="center"/>
              <w:ind w:right="660"/>
              <w:spacing w:after="0"/>
              <w:rPr>
                <w:sz w:val="20"/>
                <w:szCs w:val="20"/>
                <w:color w:val="auto"/>
              </w:rPr>
            </w:pPr>
            <w:r>
              <w:rPr>
                <w:rFonts w:ascii="Arial" w:cs="Arial" w:eastAsia="Arial" w:hAnsi="Arial"/>
                <w:sz w:val="14"/>
                <w:szCs w:val="14"/>
                <w:b w:val="1"/>
                <w:bCs w:val="1"/>
                <w:color w:val="auto"/>
                <w:w w:val="95"/>
              </w:rPr>
              <w:t>Profit Share</w:t>
            </w: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22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64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1280" w:type="dxa"/>
            <w:vAlign w:val="bottom"/>
            <w:gridSpan w:val="2"/>
          </w:tcPr>
          <w:p>
            <w:pPr>
              <w:jc w:val="center"/>
              <w:ind w:right="720"/>
              <w:spacing w:after="0" w:line="158" w:lineRule="exact"/>
              <w:rPr>
                <w:sz w:val="20"/>
                <w:szCs w:val="20"/>
                <w:color w:val="auto"/>
              </w:rPr>
            </w:pPr>
            <w:r>
              <w:rPr>
                <w:rFonts w:ascii="Arial" w:cs="Arial" w:eastAsia="Arial" w:hAnsi="Arial"/>
                <w:sz w:val="14"/>
                <w:szCs w:val="14"/>
                <w:b w:val="1"/>
                <w:bCs w:val="1"/>
                <w:color w:val="auto"/>
                <w:w w:val="97"/>
              </w:rPr>
              <w:t>Rate</w:t>
            </w:r>
            <w:r>
              <w:rPr>
                <w:rFonts w:ascii="Arial" w:cs="Arial" w:eastAsia="Arial" w:hAnsi="Arial"/>
                <w:sz w:val="12"/>
                <w:szCs w:val="12"/>
                <w:b w:val="1"/>
                <w:bCs w:val="1"/>
                <w:color w:val="auto"/>
                <w:w w:val="97"/>
              </w:rPr>
              <w:t>(1)</w:t>
            </w:r>
          </w:p>
        </w:tc>
        <w:tc>
          <w:tcPr>
            <w:tcW w:w="2340" w:type="dxa"/>
            <w:vAlign w:val="bottom"/>
            <w:gridSpan w:val="2"/>
            <w:vMerge w:val="continue"/>
          </w:tcPr>
          <w:p>
            <w:pPr>
              <w:spacing w:after="0"/>
              <w:rPr>
                <w:sz w:val="13"/>
                <w:szCs w:val="13"/>
                <w:color w:val="auto"/>
              </w:rPr>
            </w:pPr>
          </w:p>
        </w:tc>
        <w:tc>
          <w:tcPr>
            <w:tcW w:w="740" w:type="dxa"/>
            <w:vAlign w:val="bottom"/>
            <w:gridSpan w:val="2"/>
          </w:tcPr>
          <w:p>
            <w:pPr>
              <w:ind w:left="120"/>
              <w:spacing w:after="0" w:line="158" w:lineRule="exact"/>
              <w:rPr>
                <w:sz w:val="20"/>
                <w:szCs w:val="20"/>
                <w:color w:val="auto"/>
              </w:rPr>
            </w:pPr>
            <w:r>
              <w:rPr>
                <w:rFonts w:ascii="Arial" w:cs="Arial" w:eastAsia="Arial" w:hAnsi="Arial"/>
                <w:sz w:val="14"/>
                <w:szCs w:val="14"/>
                <w:b w:val="1"/>
                <w:bCs w:val="1"/>
                <w:color w:val="auto"/>
              </w:rPr>
              <w:t>Date</w:t>
            </w:r>
            <w:r>
              <w:rPr>
                <w:rFonts w:ascii="Arial" w:cs="Arial" w:eastAsia="Arial" w:hAnsi="Arial"/>
                <w:sz w:val="12"/>
                <w:szCs w:val="12"/>
                <w:b w:val="1"/>
                <w:bCs w:val="1"/>
                <w:color w:val="auto"/>
              </w:rPr>
              <w:t>(2)</w:t>
            </w:r>
          </w:p>
        </w:tc>
        <w:tc>
          <w:tcPr>
            <w:tcW w:w="0" w:type="dxa"/>
            <w:vAlign w:val="bottom"/>
          </w:tcPr>
          <w:p>
            <w:pPr>
              <w:spacing w:after="0"/>
              <w:rPr>
                <w:sz w:val="1"/>
                <w:szCs w:val="1"/>
                <w:color w:val="auto"/>
              </w:rPr>
            </w:pPr>
          </w:p>
        </w:tc>
      </w:tr>
      <w:tr>
        <w:trPr>
          <w:trHeight w:val="20"/>
        </w:trPr>
        <w:tc>
          <w:tcPr>
            <w:tcW w:w="420" w:type="dxa"/>
            <w:vAlign w:val="bottom"/>
            <w:tcBorders>
              <w:bottom w:val="single" w:sz="8" w:color="CCEEFF"/>
            </w:tcBorders>
            <w:shd w:val="clear" w:color="auto" w:fill="000000"/>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2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Navios Taurus</w:t>
            </w:r>
          </w:p>
        </w:tc>
        <w:tc>
          <w:tcPr>
            <w:tcW w:w="660" w:type="dxa"/>
            <w:vAlign w:val="bottom"/>
            <w:shd w:val="clear" w:color="auto" w:fill="CCEEFF"/>
          </w:tcPr>
          <w:p>
            <w:pPr>
              <w:spacing w:after="0"/>
              <w:rPr>
                <w:sz w:val="16"/>
                <w:szCs w:val="16"/>
                <w:color w:val="auto"/>
              </w:rPr>
            </w:pPr>
          </w:p>
        </w:tc>
        <w:tc>
          <w:tcPr>
            <w:tcW w:w="6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6"/>
              </w:rPr>
              <w:t>Panamax</w:t>
            </w:r>
          </w:p>
        </w:tc>
        <w:tc>
          <w:tcPr>
            <w:tcW w:w="640" w:type="dxa"/>
            <w:vAlign w:val="bottom"/>
            <w:shd w:val="clear" w:color="auto" w:fill="CCEEFF"/>
          </w:tcPr>
          <w:p>
            <w:pPr>
              <w:spacing w:after="0"/>
              <w:rPr>
                <w:sz w:val="16"/>
                <w:szCs w:val="16"/>
                <w:color w:val="auto"/>
              </w:rPr>
            </w:pPr>
          </w:p>
        </w:tc>
        <w:tc>
          <w:tcPr>
            <w:tcW w:w="42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w w:val="84"/>
              </w:rPr>
              <w:t>2005</w:t>
            </w:r>
          </w:p>
        </w:tc>
        <w:tc>
          <w:tcPr>
            <w:tcW w:w="700" w:type="dxa"/>
            <w:vAlign w:val="bottom"/>
            <w:shd w:val="clear" w:color="auto" w:fill="CCEEFF"/>
          </w:tcPr>
          <w:p>
            <w:pPr>
              <w:spacing w:after="0"/>
              <w:rPr>
                <w:sz w:val="16"/>
                <w:szCs w:val="16"/>
                <w:color w:val="auto"/>
              </w:rPr>
            </w:pPr>
          </w:p>
        </w:tc>
        <w:tc>
          <w:tcPr>
            <w:tcW w:w="640" w:type="dxa"/>
            <w:vAlign w:val="bottom"/>
            <w:shd w:val="clear" w:color="auto" w:fill="CCEEFF"/>
          </w:tcPr>
          <w:p>
            <w:pPr>
              <w:ind w:left="160"/>
              <w:spacing w:after="0" w:line="189" w:lineRule="exact"/>
              <w:rPr>
                <w:sz w:val="20"/>
                <w:szCs w:val="20"/>
                <w:color w:val="auto"/>
              </w:rPr>
            </w:pPr>
            <w:r>
              <w:rPr>
                <w:rFonts w:ascii="Arial" w:cs="Arial" w:eastAsia="Arial" w:hAnsi="Arial"/>
                <w:sz w:val="18"/>
                <w:szCs w:val="18"/>
                <w:color w:val="auto"/>
                <w:w w:val="83"/>
              </w:rPr>
              <w:t>76,596</w:t>
            </w:r>
          </w:p>
        </w:tc>
        <w:tc>
          <w:tcPr>
            <w:tcW w:w="7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8"/>
              </w:rPr>
              <w:t>11,743</w:t>
            </w:r>
          </w:p>
        </w:tc>
        <w:tc>
          <w:tcPr>
            <w:tcW w:w="720" w:type="dxa"/>
            <w:vAlign w:val="bottom"/>
            <w:shd w:val="clear" w:color="auto" w:fill="CCEEFF"/>
          </w:tcPr>
          <w:p>
            <w:pPr>
              <w:spacing w:after="0"/>
              <w:rPr>
                <w:sz w:val="16"/>
                <w:szCs w:val="16"/>
                <w:color w:val="auto"/>
              </w:rPr>
            </w:pPr>
          </w:p>
        </w:tc>
        <w:tc>
          <w:tcPr>
            <w:tcW w:w="17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5"/>
              </w:rPr>
              <w:t>No</w:t>
            </w:r>
          </w:p>
        </w:tc>
        <w:tc>
          <w:tcPr>
            <w:tcW w:w="6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06/2021</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340" w:type="dxa"/>
            <w:vAlign w:val="bottom"/>
            <w:gridSpan w:val="2"/>
            <w:shd w:val="clear" w:color="auto" w:fill="CCEEFF"/>
          </w:tcPr>
          <w:p>
            <w:pPr>
              <w:jc w:val="center"/>
              <w:ind w:right="660"/>
              <w:spacing w:after="0"/>
              <w:rPr>
                <w:sz w:val="20"/>
                <w:szCs w:val="20"/>
                <w:color w:val="auto"/>
              </w:rPr>
            </w:pPr>
            <w:r>
              <w:rPr>
                <w:rFonts w:ascii="Arial" w:cs="Arial" w:eastAsia="Arial" w:hAnsi="Arial"/>
                <w:sz w:val="18"/>
                <w:szCs w:val="18"/>
                <w:color w:val="auto"/>
                <w:w w:val="90"/>
              </w:rPr>
              <w:t>115% of average Baltic</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07/2021</w:t>
            </w: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jc w:val="center"/>
              <w:ind w:right="660"/>
              <w:spacing w:after="0"/>
              <w:rPr>
                <w:sz w:val="20"/>
                <w:szCs w:val="20"/>
                <w:color w:val="auto"/>
              </w:rPr>
            </w:pPr>
            <w:r>
              <w:rPr>
                <w:rFonts w:ascii="Arial" w:cs="Arial" w:eastAsia="Arial" w:hAnsi="Arial"/>
                <w:sz w:val="18"/>
                <w:szCs w:val="18"/>
                <w:color w:val="auto"/>
                <w:w w:val="90"/>
              </w:rPr>
              <w:t>Panamax Index 4TC</w:t>
            </w: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2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340" w:type="dxa"/>
            <w:vAlign w:val="bottom"/>
            <w:gridSpan w:val="2"/>
            <w:shd w:val="clear" w:color="auto" w:fill="CCEEFF"/>
          </w:tcPr>
          <w:p>
            <w:pPr>
              <w:jc w:val="center"/>
              <w:ind w:right="640"/>
              <w:spacing w:after="0"/>
              <w:rPr>
                <w:sz w:val="20"/>
                <w:szCs w:val="20"/>
                <w:color w:val="auto"/>
              </w:rPr>
            </w:pPr>
            <w:r>
              <w:rPr>
                <w:rFonts w:ascii="Arial" w:cs="Arial" w:eastAsia="Arial" w:hAnsi="Arial"/>
                <w:sz w:val="18"/>
                <w:szCs w:val="18"/>
                <w:color w:val="auto"/>
                <w:w w:val="87"/>
              </w:rPr>
              <w:t>Routes</w:t>
            </w:r>
          </w:p>
        </w:tc>
        <w:tc>
          <w:tcPr>
            <w:tcW w:w="6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220" w:type="dxa"/>
            <w:vAlign w:val="bottom"/>
            <w:gridSpan w:val="2"/>
          </w:tcPr>
          <w:p>
            <w:pPr>
              <w:spacing w:after="0" w:line="201" w:lineRule="exact"/>
              <w:rPr>
                <w:sz w:val="20"/>
                <w:szCs w:val="20"/>
                <w:color w:val="auto"/>
              </w:rPr>
            </w:pPr>
            <w:r>
              <w:rPr>
                <w:rFonts w:ascii="Arial" w:cs="Arial" w:eastAsia="Arial" w:hAnsi="Arial"/>
                <w:sz w:val="18"/>
                <w:szCs w:val="18"/>
                <w:color w:val="auto"/>
              </w:rPr>
              <w:t>Navios Asteriks</w:t>
            </w:r>
          </w:p>
        </w:tc>
        <w:tc>
          <w:tcPr>
            <w:tcW w:w="1320" w:type="dxa"/>
            <w:vAlign w:val="bottom"/>
            <w:gridSpan w:val="2"/>
          </w:tcPr>
          <w:p>
            <w:pPr>
              <w:jc w:val="center"/>
              <w:ind w:left="570"/>
              <w:spacing w:after="0" w:line="201" w:lineRule="exact"/>
              <w:rPr>
                <w:sz w:val="20"/>
                <w:szCs w:val="20"/>
                <w:color w:val="auto"/>
              </w:rPr>
            </w:pPr>
            <w:r>
              <w:rPr>
                <w:rFonts w:ascii="Arial" w:cs="Arial" w:eastAsia="Arial" w:hAnsi="Arial"/>
                <w:sz w:val="18"/>
                <w:szCs w:val="18"/>
                <w:color w:val="auto"/>
                <w:w w:val="86"/>
              </w:rPr>
              <w:t>Panamax</w:t>
            </w:r>
          </w:p>
        </w:tc>
        <w:tc>
          <w:tcPr>
            <w:tcW w:w="1760" w:type="dxa"/>
            <w:vAlign w:val="bottom"/>
            <w:gridSpan w:val="3"/>
          </w:tcPr>
          <w:p>
            <w:pPr>
              <w:ind w:left="700"/>
              <w:spacing w:after="0" w:line="201" w:lineRule="exact"/>
              <w:rPr>
                <w:sz w:val="20"/>
                <w:szCs w:val="20"/>
                <w:color w:val="auto"/>
              </w:rPr>
            </w:pPr>
            <w:r>
              <w:rPr>
                <w:rFonts w:ascii="Arial" w:cs="Arial" w:eastAsia="Arial" w:hAnsi="Arial"/>
                <w:sz w:val="18"/>
                <w:szCs w:val="18"/>
                <w:color w:val="auto"/>
              </w:rPr>
              <w:t>2005</w:t>
            </w:r>
          </w:p>
        </w:tc>
        <w:tc>
          <w:tcPr>
            <w:tcW w:w="1360" w:type="dxa"/>
            <w:vAlign w:val="bottom"/>
            <w:gridSpan w:val="2"/>
          </w:tcPr>
          <w:p>
            <w:pPr>
              <w:jc w:val="right"/>
              <w:ind w:right="720"/>
              <w:spacing w:after="0" w:line="201" w:lineRule="exact"/>
              <w:rPr>
                <w:sz w:val="20"/>
                <w:szCs w:val="20"/>
                <w:color w:val="auto"/>
              </w:rPr>
            </w:pPr>
            <w:r>
              <w:rPr>
                <w:rFonts w:ascii="Arial" w:cs="Arial" w:eastAsia="Arial" w:hAnsi="Arial"/>
                <w:sz w:val="18"/>
                <w:szCs w:val="18"/>
                <w:color w:val="auto"/>
              </w:rPr>
              <w:t>76,801</w:t>
            </w:r>
          </w:p>
        </w:tc>
        <w:tc>
          <w:tcPr>
            <w:tcW w:w="1280" w:type="dxa"/>
            <w:vAlign w:val="bottom"/>
            <w:gridSpan w:val="2"/>
          </w:tcPr>
          <w:p>
            <w:pPr>
              <w:jc w:val="right"/>
              <w:ind w:right="720"/>
              <w:spacing w:after="0" w:line="201" w:lineRule="exact"/>
              <w:rPr>
                <w:sz w:val="20"/>
                <w:szCs w:val="20"/>
                <w:color w:val="auto"/>
              </w:rPr>
            </w:pPr>
            <w:r>
              <w:rPr>
                <w:rFonts w:ascii="Arial" w:cs="Arial" w:eastAsia="Arial" w:hAnsi="Arial"/>
                <w:sz w:val="18"/>
                <w:szCs w:val="18"/>
                <w:color w:val="auto"/>
                <w:w w:val="98"/>
              </w:rPr>
              <w:t>10,010</w:t>
            </w:r>
          </w:p>
        </w:tc>
        <w:tc>
          <w:tcPr>
            <w:tcW w:w="2340" w:type="dxa"/>
            <w:vAlign w:val="bottom"/>
            <w:gridSpan w:val="2"/>
          </w:tcPr>
          <w:p>
            <w:pPr>
              <w:jc w:val="center"/>
              <w:ind w:right="640"/>
              <w:spacing w:after="0" w:line="201" w:lineRule="exact"/>
              <w:rPr>
                <w:sz w:val="20"/>
                <w:szCs w:val="20"/>
                <w:color w:val="auto"/>
              </w:rPr>
            </w:pPr>
            <w:r>
              <w:rPr>
                <w:rFonts w:ascii="Arial" w:cs="Arial" w:eastAsia="Arial" w:hAnsi="Arial"/>
                <w:sz w:val="18"/>
                <w:szCs w:val="18"/>
                <w:color w:val="auto"/>
                <w:w w:val="95"/>
              </w:rPr>
              <w:t>No</w:t>
            </w:r>
          </w:p>
        </w:tc>
        <w:tc>
          <w:tcPr>
            <w:tcW w:w="74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06/2021</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340" w:type="dxa"/>
            <w:vAlign w:val="bottom"/>
            <w:gridSpan w:val="2"/>
          </w:tcPr>
          <w:p>
            <w:pPr>
              <w:jc w:val="center"/>
              <w:ind w:right="640"/>
              <w:spacing w:after="0"/>
              <w:rPr>
                <w:sz w:val="20"/>
                <w:szCs w:val="20"/>
                <w:color w:val="auto"/>
              </w:rPr>
            </w:pPr>
            <w:r>
              <w:rPr>
                <w:rFonts w:ascii="Arial" w:cs="Arial" w:eastAsia="Arial" w:hAnsi="Arial"/>
                <w:sz w:val="18"/>
                <w:szCs w:val="18"/>
                <w:color w:val="auto"/>
                <w:w w:val="91"/>
              </w:rPr>
              <w:t>100% of average Baltic</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12/2021</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340" w:type="dxa"/>
            <w:vAlign w:val="bottom"/>
            <w:gridSpan w:val="2"/>
          </w:tcPr>
          <w:p>
            <w:pPr>
              <w:jc w:val="center"/>
              <w:ind w:right="660"/>
              <w:spacing w:after="0"/>
              <w:rPr>
                <w:sz w:val="20"/>
                <w:szCs w:val="20"/>
                <w:color w:val="auto"/>
              </w:rPr>
            </w:pPr>
            <w:r>
              <w:rPr>
                <w:rFonts w:ascii="Arial" w:cs="Arial" w:eastAsia="Arial" w:hAnsi="Arial"/>
                <w:sz w:val="18"/>
                <w:szCs w:val="18"/>
                <w:color w:val="auto"/>
                <w:w w:val="90"/>
              </w:rPr>
              <w:t>Panamax Index 4TC</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340" w:type="dxa"/>
            <w:vAlign w:val="bottom"/>
            <w:gridSpan w:val="2"/>
          </w:tcPr>
          <w:p>
            <w:pPr>
              <w:jc w:val="center"/>
              <w:ind w:right="640"/>
              <w:spacing w:after="0"/>
              <w:rPr>
                <w:sz w:val="20"/>
                <w:szCs w:val="20"/>
                <w:color w:val="auto"/>
              </w:rPr>
            </w:pPr>
            <w:r>
              <w:rPr>
                <w:rFonts w:ascii="Arial" w:cs="Arial" w:eastAsia="Arial" w:hAnsi="Arial"/>
                <w:sz w:val="18"/>
                <w:szCs w:val="18"/>
                <w:color w:val="auto"/>
                <w:w w:val="87"/>
              </w:rPr>
              <w:t>Routes</w:t>
            </w: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 Amalthia</w:t>
            </w:r>
          </w:p>
        </w:tc>
        <w:tc>
          <w:tcPr>
            <w:tcW w:w="1320" w:type="dxa"/>
            <w:vAlign w:val="bottom"/>
            <w:gridSpan w:val="2"/>
            <w:shd w:val="clear" w:color="auto" w:fill="CCEEFF"/>
          </w:tcPr>
          <w:p>
            <w:pPr>
              <w:jc w:val="center"/>
              <w:ind w:left="570"/>
              <w:spacing w:after="0"/>
              <w:rPr>
                <w:sz w:val="20"/>
                <w:szCs w:val="20"/>
                <w:color w:val="auto"/>
              </w:rPr>
            </w:pPr>
            <w:r>
              <w:rPr>
                <w:rFonts w:ascii="Arial" w:cs="Arial" w:eastAsia="Arial" w:hAnsi="Arial"/>
                <w:sz w:val="18"/>
                <w:szCs w:val="18"/>
                <w:color w:val="auto"/>
                <w:w w:val="86"/>
              </w:rPr>
              <w:t>Panamax</w:t>
            </w:r>
          </w:p>
        </w:tc>
        <w:tc>
          <w:tcPr>
            <w:tcW w:w="176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2006</w:t>
            </w:r>
          </w:p>
        </w:tc>
        <w:tc>
          <w:tcPr>
            <w:tcW w:w="13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75,318</w:t>
            </w:r>
          </w:p>
        </w:tc>
        <w:tc>
          <w:tcPr>
            <w:tcW w:w="12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9,625</w:t>
            </w:r>
          </w:p>
        </w:tc>
        <w:tc>
          <w:tcPr>
            <w:tcW w:w="2340" w:type="dxa"/>
            <w:vAlign w:val="bottom"/>
            <w:gridSpan w:val="2"/>
            <w:shd w:val="clear" w:color="auto" w:fill="CCEEFF"/>
          </w:tcPr>
          <w:p>
            <w:pPr>
              <w:jc w:val="center"/>
              <w:ind w:right="640"/>
              <w:spacing w:after="0"/>
              <w:rPr>
                <w:sz w:val="20"/>
                <w:szCs w:val="20"/>
                <w:color w:val="auto"/>
              </w:rPr>
            </w:pPr>
            <w:r>
              <w:rPr>
                <w:rFonts w:ascii="Arial" w:cs="Arial" w:eastAsia="Arial" w:hAnsi="Arial"/>
                <w:sz w:val="18"/>
                <w:szCs w:val="18"/>
                <w:color w:val="auto"/>
                <w:w w:val="95"/>
              </w:rPr>
              <w:t>No</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12/2021</w:t>
            </w: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340" w:type="dxa"/>
            <w:vAlign w:val="bottom"/>
            <w:gridSpan w:val="2"/>
            <w:shd w:val="clear" w:color="auto" w:fill="CCEEFF"/>
          </w:tcPr>
          <w:p>
            <w:pPr>
              <w:jc w:val="center"/>
              <w:ind w:right="640"/>
              <w:spacing w:after="0"/>
              <w:rPr>
                <w:sz w:val="20"/>
                <w:szCs w:val="20"/>
                <w:color w:val="auto"/>
              </w:rPr>
            </w:pPr>
            <w:r>
              <w:rPr>
                <w:rFonts w:ascii="Arial" w:cs="Arial" w:eastAsia="Arial" w:hAnsi="Arial"/>
                <w:sz w:val="18"/>
                <w:szCs w:val="18"/>
                <w:color w:val="auto"/>
                <w:w w:val="91"/>
              </w:rPr>
              <w:t>100% of average Baltic</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01/2022</w:t>
            </w: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jc w:val="center"/>
              <w:ind w:right="660"/>
              <w:spacing w:after="0"/>
              <w:rPr>
                <w:sz w:val="20"/>
                <w:szCs w:val="20"/>
                <w:color w:val="auto"/>
              </w:rPr>
            </w:pPr>
            <w:r>
              <w:rPr>
                <w:rFonts w:ascii="Arial" w:cs="Arial" w:eastAsia="Arial" w:hAnsi="Arial"/>
                <w:sz w:val="18"/>
                <w:szCs w:val="18"/>
                <w:color w:val="auto"/>
                <w:w w:val="90"/>
              </w:rPr>
              <w:t>Panamax Index 4TC</w:t>
            </w: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2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340" w:type="dxa"/>
            <w:vAlign w:val="bottom"/>
            <w:gridSpan w:val="2"/>
            <w:shd w:val="clear" w:color="auto" w:fill="CCEEFF"/>
          </w:tcPr>
          <w:p>
            <w:pPr>
              <w:jc w:val="center"/>
              <w:ind w:right="640"/>
              <w:spacing w:after="0"/>
              <w:rPr>
                <w:sz w:val="20"/>
                <w:szCs w:val="20"/>
                <w:color w:val="auto"/>
              </w:rPr>
            </w:pPr>
            <w:r>
              <w:rPr>
                <w:rFonts w:ascii="Arial" w:cs="Arial" w:eastAsia="Arial" w:hAnsi="Arial"/>
                <w:sz w:val="18"/>
                <w:szCs w:val="18"/>
                <w:color w:val="auto"/>
                <w:w w:val="87"/>
              </w:rPr>
              <w:t>Routes</w:t>
            </w:r>
          </w:p>
        </w:tc>
        <w:tc>
          <w:tcPr>
            <w:tcW w:w="6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220" w:type="dxa"/>
            <w:vAlign w:val="bottom"/>
            <w:gridSpan w:val="2"/>
          </w:tcPr>
          <w:p>
            <w:pPr>
              <w:spacing w:after="0" w:line="201" w:lineRule="exact"/>
              <w:rPr>
                <w:sz w:val="20"/>
                <w:szCs w:val="20"/>
                <w:color w:val="auto"/>
              </w:rPr>
            </w:pPr>
            <w:r>
              <w:rPr>
                <w:rFonts w:ascii="Arial" w:cs="Arial" w:eastAsia="Arial" w:hAnsi="Arial"/>
                <w:sz w:val="18"/>
                <w:szCs w:val="18"/>
                <w:color w:val="auto"/>
              </w:rPr>
              <w:t>Navios Galileo</w:t>
            </w:r>
          </w:p>
        </w:tc>
        <w:tc>
          <w:tcPr>
            <w:tcW w:w="1320" w:type="dxa"/>
            <w:vAlign w:val="bottom"/>
            <w:gridSpan w:val="2"/>
          </w:tcPr>
          <w:p>
            <w:pPr>
              <w:jc w:val="center"/>
              <w:ind w:left="570"/>
              <w:spacing w:after="0" w:line="201" w:lineRule="exact"/>
              <w:rPr>
                <w:sz w:val="20"/>
                <w:szCs w:val="20"/>
                <w:color w:val="auto"/>
              </w:rPr>
            </w:pPr>
            <w:r>
              <w:rPr>
                <w:rFonts w:ascii="Arial" w:cs="Arial" w:eastAsia="Arial" w:hAnsi="Arial"/>
                <w:sz w:val="18"/>
                <w:szCs w:val="18"/>
                <w:color w:val="auto"/>
                <w:w w:val="86"/>
              </w:rPr>
              <w:t>Panamax</w:t>
            </w:r>
          </w:p>
        </w:tc>
        <w:tc>
          <w:tcPr>
            <w:tcW w:w="1760" w:type="dxa"/>
            <w:vAlign w:val="bottom"/>
            <w:gridSpan w:val="3"/>
          </w:tcPr>
          <w:p>
            <w:pPr>
              <w:ind w:left="700"/>
              <w:spacing w:after="0" w:line="201" w:lineRule="exact"/>
              <w:rPr>
                <w:sz w:val="20"/>
                <w:szCs w:val="20"/>
                <w:color w:val="auto"/>
              </w:rPr>
            </w:pPr>
            <w:r>
              <w:rPr>
                <w:rFonts w:ascii="Arial" w:cs="Arial" w:eastAsia="Arial" w:hAnsi="Arial"/>
                <w:sz w:val="18"/>
                <w:szCs w:val="18"/>
                <w:color w:val="auto"/>
              </w:rPr>
              <w:t>2006</w:t>
            </w:r>
          </w:p>
        </w:tc>
        <w:tc>
          <w:tcPr>
            <w:tcW w:w="1360" w:type="dxa"/>
            <w:vAlign w:val="bottom"/>
            <w:gridSpan w:val="2"/>
          </w:tcPr>
          <w:p>
            <w:pPr>
              <w:jc w:val="right"/>
              <w:ind w:right="720"/>
              <w:spacing w:after="0" w:line="201" w:lineRule="exact"/>
              <w:rPr>
                <w:sz w:val="20"/>
                <w:szCs w:val="20"/>
                <w:color w:val="auto"/>
              </w:rPr>
            </w:pPr>
            <w:r>
              <w:rPr>
                <w:rFonts w:ascii="Arial" w:cs="Arial" w:eastAsia="Arial" w:hAnsi="Arial"/>
                <w:sz w:val="18"/>
                <w:szCs w:val="18"/>
                <w:color w:val="auto"/>
              </w:rPr>
              <w:t>76,596</w:t>
            </w:r>
          </w:p>
        </w:tc>
        <w:tc>
          <w:tcPr>
            <w:tcW w:w="1280" w:type="dxa"/>
            <w:vAlign w:val="bottom"/>
            <w:gridSpan w:val="2"/>
          </w:tcPr>
          <w:p>
            <w:pPr>
              <w:jc w:val="right"/>
              <w:ind w:right="720"/>
              <w:spacing w:after="0" w:line="201" w:lineRule="exact"/>
              <w:rPr>
                <w:sz w:val="20"/>
                <w:szCs w:val="20"/>
                <w:color w:val="auto"/>
              </w:rPr>
            </w:pPr>
            <w:r>
              <w:rPr>
                <w:rFonts w:ascii="Arial" w:cs="Arial" w:eastAsia="Arial" w:hAnsi="Arial"/>
                <w:sz w:val="18"/>
                <w:szCs w:val="18"/>
                <w:color w:val="auto"/>
              </w:rPr>
              <w:t>9,721</w:t>
            </w:r>
          </w:p>
        </w:tc>
        <w:tc>
          <w:tcPr>
            <w:tcW w:w="2340" w:type="dxa"/>
            <w:vAlign w:val="bottom"/>
            <w:gridSpan w:val="2"/>
          </w:tcPr>
          <w:p>
            <w:pPr>
              <w:jc w:val="center"/>
              <w:ind w:right="640"/>
              <w:spacing w:after="0" w:line="201" w:lineRule="exact"/>
              <w:rPr>
                <w:sz w:val="20"/>
                <w:szCs w:val="20"/>
                <w:color w:val="auto"/>
              </w:rPr>
            </w:pPr>
            <w:r>
              <w:rPr>
                <w:rFonts w:ascii="Arial" w:cs="Arial" w:eastAsia="Arial" w:hAnsi="Arial"/>
                <w:sz w:val="18"/>
                <w:szCs w:val="18"/>
                <w:color w:val="auto"/>
                <w:w w:val="95"/>
              </w:rPr>
              <w:t>No</w:t>
            </w:r>
          </w:p>
        </w:tc>
        <w:tc>
          <w:tcPr>
            <w:tcW w:w="74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12/2021</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340" w:type="dxa"/>
            <w:vAlign w:val="bottom"/>
            <w:gridSpan w:val="2"/>
          </w:tcPr>
          <w:p>
            <w:pPr>
              <w:jc w:val="center"/>
              <w:ind w:right="640"/>
              <w:spacing w:after="0"/>
              <w:rPr>
                <w:sz w:val="20"/>
                <w:szCs w:val="20"/>
                <w:color w:val="auto"/>
              </w:rPr>
            </w:pPr>
            <w:r>
              <w:rPr>
                <w:rFonts w:ascii="Arial" w:cs="Arial" w:eastAsia="Arial" w:hAnsi="Arial"/>
                <w:sz w:val="18"/>
                <w:szCs w:val="18"/>
                <w:color w:val="auto"/>
                <w:w w:val="91"/>
              </w:rPr>
              <w:t>100% of average Baltic</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01/2022</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340" w:type="dxa"/>
            <w:vAlign w:val="bottom"/>
            <w:gridSpan w:val="2"/>
          </w:tcPr>
          <w:p>
            <w:pPr>
              <w:jc w:val="center"/>
              <w:ind w:right="660"/>
              <w:spacing w:after="0"/>
              <w:rPr>
                <w:sz w:val="20"/>
                <w:szCs w:val="20"/>
                <w:color w:val="auto"/>
              </w:rPr>
            </w:pPr>
            <w:r>
              <w:rPr>
                <w:rFonts w:ascii="Arial" w:cs="Arial" w:eastAsia="Arial" w:hAnsi="Arial"/>
                <w:sz w:val="18"/>
                <w:szCs w:val="18"/>
                <w:color w:val="auto"/>
                <w:w w:val="90"/>
              </w:rPr>
              <w:t>Panamax Index 4TC</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340" w:type="dxa"/>
            <w:vAlign w:val="bottom"/>
            <w:gridSpan w:val="2"/>
          </w:tcPr>
          <w:p>
            <w:pPr>
              <w:jc w:val="center"/>
              <w:ind w:right="640"/>
              <w:spacing w:after="0"/>
              <w:rPr>
                <w:sz w:val="20"/>
                <w:szCs w:val="20"/>
                <w:color w:val="auto"/>
              </w:rPr>
            </w:pPr>
            <w:r>
              <w:rPr>
                <w:rFonts w:ascii="Arial" w:cs="Arial" w:eastAsia="Arial" w:hAnsi="Arial"/>
                <w:sz w:val="18"/>
                <w:szCs w:val="18"/>
                <w:color w:val="auto"/>
                <w:w w:val="87"/>
              </w:rPr>
              <w:t>Routes</w:t>
            </w: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 Bonanza</w:t>
            </w:r>
          </w:p>
        </w:tc>
        <w:tc>
          <w:tcPr>
            <w:tcW w:w="1320" w:type="dxa"/>
            <w:vAlign w:val="bottom"/>
            <w:gridSpan w:val="2"/>
            <w:shd w:val="clear" w:color="auto" w:fill="CCEEFF"/>
          </w:tcPr>
          <w:p>
            <w:pPr>
              <w:jc w:val="center"/>
              <w:ind w:left="570"/>
              <w:spacing w:after="0"/>
              <w:rPr>
                <w:sz w:val="20"/>
                <w:szCs w:val="20"/>
                <w:color w:val="auto"/>
              </w:rPr>
            </w:pPr>
            <w:r>
              <w:rPr>
                <w:rFonts w:ascii="Arial" w:cs="Arial" w:eastAsia="Arial" w:hAnsi="Arial"/>
                <w:sz w:val="18"/>
                <w:szCs w:val="18"/>
                <w:color w:val="auto"/>
                <w:w w:val="86"/>
              </w:rPr>
              <w:t>Panamax</w:t>
            </w:r>
          </w:p>
        </w:tc>
        <w:tc>
          <w:tcPr>
            <w:tcW w:w="176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2006</w:t>
            </w:r>
          </w:p>
        </w:tc>
        <w:tc>
          <w:tcPr>
            <w:tcW w:w="13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76,596</w:t>
            </w:r>
          </w:p>
        </w:tc>
        <w:tc>
          <w:tcPr>
            <w:tcW w:w="12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8"/>
              </w:rPr>
              <w:t>14,534</w:t>
            </w:r>
          </w:p>
        </w:tc>
        <w:tc>
          <w:tcPr>
            <w:tcW w:w="2340" w:type="dxa"/>
            <w:vAlign w:val="bottom"/>
            <w:gridSpan w:val="2"/>
            <w:shd w:val="clear" w:color="auto" w:fill="CCEEFF"/>
          </w:tcPr>
          <w:p>
            <w:pPr>
              <w:jc w:val="center"/>
              <w:ind w:right="640"/>
              <w:spacing w:after="0"/>
              <w:rPr>
                <w:sz w:val="20"/>
                <w:szCs w:val="20"/>
                <w:color w:val="auto"/>
              </w:rPr>
            </w:pPr>
            <w:r>
              <w:rPr>
                <w:rFonts w:ascii="Arial" w:cs="Arial" w:eastAsia="Arial" w:hAnsi="Arial"/>
                <w:sz w:val="18"/>
                <w:szCs w:val="18"/>
                <w:color w:val="auto"/>
                <w:w w:val="95"/>
              </w:rPr>
              <w:t>No</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06/2021</w:t>
            </w: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340" w:type="dxa"/>
            <w:vAlign w:val="bottom"/>
            <w:gridSpan w:val="2"/>
            <w:shd w:val="clear" w:color="auto" w:fill="CCEEFF"/>
          </w:tcPr>
          <w:p>
            <w:pPr>
              <w:jc w:val="center"/>
              <w:ind w:right="640"/>
              <w:spacing w:after="0"/>
              <w:rPr>
                <w:sz w:val="20"/>
                <w:szCs w:val="20"/>
                <w:color w:val="auto"/>
              </w:rPr>
            </w:pPr>
            <w:r>
              <w:rPr>
                <w:rFonts w:ascii="Arial" w:cs="Arial" w:eastAsia="Arial" w:hAnsi="Arial"/>
                <w:sz w:val="18"/>
                <w:szCs w:val="18"/>
                <w:color w:val="auto"/>
                <w:w w:val="91"/>
              </w:rPr>
              <w:t>100% of average Baltic</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12/2021</w:t>
            </w: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jc w:val="center"/>
              <w:ind w:right="660"/>
              <w:spacing w:after="0"/>
              <w:rPr>
                <w:sz w:val="20"/>
                <w:szCs w:val="20"/>
                <w:color w:val="auto"/>
              </w:rPr>
            </w:pPr>
            <w:r>
              <w:rPr>
                <w:rFonts w:ascii="Arial" w:cs="Arial" w:eastAsia="Arial" w:hAnsi="Arial"/>
                <w:sz w:val="18"/>
                <w:szCs w:val="18"/>
                <w:color w:val="auto"/>
                <w:w w:val="90"/>
              </w:rPr>
              <w:t>Panamax Index 4TC</w:t>
            </w: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340" w:type="dxa"/>
            <w:vAlign w:val="bottom"/>
            <w:gridSpan w:val="2"/>
            <w:shd w:val="clear" w:color="auto" w:fill="CCEEFF"/>
          </w:tcPr>
          <w:p>
            <w:pPr>
              <w:jc w:val="center"/>
              <w:ind w:right="640"/>
              <w:spacing w:after="0"/>
              <w:rPr>
                <w:sz w:val="20"/>
                <w:szCs w:val="20"/>
                <w:color w:val="auto"/>
              </w:rPr>
            </w:pPr>
            <w:r>
              <w:rPr>
                <w:rFonts w:ascii="Arial" w:cs="Arial" w:eastAsia="Arial" w:hAnsi="Arial"/>
                <w:sz w:val="18"/>
                <w:szCs w:val="18"/>
                <w:color w:val="auto"/>
                <w:w w:val="87"/>
              </w:rPr>
              <w:t>Routes</w:t>
            </w:r>
          </w:p>
        </w:tc>
        <w:tc>
          <w:tcPr>
            <w:tcW w:w="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Jupiter N</w:t>
            </w:r>
          </w:p>
        </w:tc>
        <w:tc>
          <w:tcPr>
            <w:tcW w:w="660" w:type="dxa"/>
            <w:vAlign w:val="bottom"/>
            <w:shd w:val="clear" w:color="auto" w:fill="CCEEFF"/>
          </w:tcPr>
          <w:p>
            <w:pPr>
              <w:spacing w:after="0"/>
              <w:rPr>
                <w:sz w:val="19"/>
                <w:szCs w:val="19"/>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Panamax</w:t>
            </w:r>
          </w:p>
        </w:tc>
        <w:tc>
          <w:tcPr>
            <w:tcW w:w="176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2011</w:t>
            </w:r>
          </w:p>
        </w:tc>
        <w:tc>
          <w:tcPr>
            <w:tcW w:w="13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93,062</w:t>
            </w:r>
          </w:p>
        </w:tc>
        <w:tc>
          <w:tcPr>
            <w:tcW w:w="12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8"/>
              </w:rPr>
              <w:t>23,750</w:t>
            </w:r>
          </w:p>
        </w:tc>
        <w:tc>
          <w:tcPr>
            <w:tcW w:w="2340" w:type="dxa"/>
            <w:vAlign w:val="bottom"/>
            <w:gridSpan w:val="2"/>
            <w:shd w:val="clear" w:color="auto" w:fill="CCEEFF"/>
          </w:tcPr>
          <w:p>
            <w:pPr>
              <w:jc w:val="center"/>
              <w:ind w:right="640"/>
              <w:spacing w:after="0"/>
              <w:rPr>
                <w:sz w:val="20"/>
                <w:szCs w:val="20"/>
                <w:color w:val="auto"/>
              </w:rPr>
            </w:pPr>
            <w:r>
              <w:rPr>
                <w:rFonts w:ascii="Arial" w:cs="Arial" w:eastAsia="Arial" w:hAnsi="Arial"/>
                <w:sz w:val="18"/>
                <w:szCs w:val="18"/>
                <w:color w:val="auto"/>
                <w:w w:val="95"/>
              </w:rPr>
              <w:t>No</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05/2021</w:t>
            </w:r>
          </w:p>
        </w:tc>
        <w:tc>
          <w:tcPr>
            <w:tcW w:w="0" w:type="dxa"/>
            <w:vAlign w:val="bottom"/>
          </w:tcPr>
          <w:p>
            <w:pPr>
              <w:spacing w:after="0"/>
              <w:rPr>
                <w:sz w:val="1"/>
                <w:szCs w:val="1"/>
                <w:color w:val="auto"/>
              </w:rPr>
            </w:pPr>
          </w:p>
        </w:tc>
      </w:tr>
      <w:tr>
        <w:trPr>
          <w:trHeight w:val="216"/>
        </w:trPr>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Rainbow N</w:t>
            </w: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Panamax</w:t>
            </w:r>
          </w:p>
        </w:tc>
        <w:tc>
          <w:tcPr>
            <w:tcW w:w="176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2011</w:t>
            </w:r>
          </w:p>
        </w:tc>
        <w:tc>
          <w:tcPr>
            <w:tcW w:w="13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79,642</w:t>
            </w:r>
          </w:p>
        </w:tc>
        <w:tc>
          <w:tcPr>
            <w:tcW w:w="12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8"/>
              </w:rPr>
              <w:t>10,688</w:t>
            </w:r>
          </w:p>
        </w:tc>
        <w:tc>
          <w:tcPr>
            <w:tcW w:w="2340" w:type="dxa"/>
            <w:vAlign w:val="bottom"/>
            <w:gridSpan w:val="2"/>
            <w:shd w:val="clear" w:color="auto" w:fill="CCEEFF"/>
          </w:tcPr>
          <w:p>
            <w:pPr>
              <w:jc w:val="center"/>
              <w:ind w:right="640"/>
              <w:spacing w:after="0"/>
              <w:rPr>
                <w:sz w:val="20"/>
                <w:szCs w:val="20"/>
                <w:color w:val="auto"/>
              </w:rPr>
            </w:pPr>
            <w:r>
              <w:rPr>
                <w:rFonts w:ascii="Arial" w:cs="Arial" w:eastAsia="Arial" w:hAnsi="Arial"/>
                <w:sz w:val="18"/>
                <w:szCs w:val="18"/>
                <w:color w:val="auto"/>
                <w:w w:val="95"/>
              </w:rPr>
              <w:t>No</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09/2021</w:t>
            </w:r>
          </w:p>
        </w:tc>
        <w:tc>
          <w:tcPr>
            <w:tcW w:w="0" w:type="dxa"/>
            <w:vAlign w:val="bottom"/>
          </w:tcPr>
          <w:p>
            <w:pPr>
              <w:spacing w:after="0"/>
              <w:rPr>
                <w:sz w:val="1"/>
                <w:szCs w:val="1"/>
                <w:color w:val="auto"/>
              </w:rPr>
            </w:pPr>
          </w:p>
        </w:tc>
      </w:tr>
      <w:tr>
        <w:trPr>
          <w:trHeight w:val="202"/>
        </w:trPr>
        <w:tc>
          <w:tcPr>
            <w:tcW w:w="2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Navios Stellar</w:t>
            </w:r>
          </w:p>
        </w:tc>
        <w:tc>
          <w:tcPr>
            <w:tcW w:w="660" w:type="dxa"/>
            <w:vAlign w:val="bottom"/>
            <w:shd w:val="clear" w:color="auto" w:fill="CCEEFF"/>
          </w:tcPr>
          <w:p>
            <w:pPr>
              <w:spacing w:after="0"/>
              <w:rPr>
                <w:sz w:val="17"/>
                <w:szCs w:val="17"/>
                <w:color w:val="auto"/>
              </w:rPr>
            </w:pPr>
          </w:p>
        </w:tc>
        <w:tc>
          <w:tcPr>
            <w:tcW w:w="6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5"/>
              </w:rPr>
              <w:t>Capesize</w:t>
            </w:r>
          </w:p>
        </w:tc>
        <w:tc>
          <w:tcPr>
            <w:tcW w:w="1760" w:type="dxa"/>
            <w:vAlign w:val="bottom"/>
            <w:gridSpan w:val="3"/>
            <w:shd w:val="clear" w:color="auto" w:fill="CCEEFF"/>
          </w:tcPr>
          <w:p>
            <w:pPr>
              <w:ind w:left="700"/>
              <w:spacing w:after="0" w:line="201" w:lineRule="exact"/>
              <w:rPr>
                <w:sz w:val="20"/>
                <w:szCs w:val="20"/>
                <w:color w:val="auto"/>
              </w:rPr>
            </w:pPr>
            <w:r>
              <w:rPr>
                <w:rFonts w:ascii="Arial" w:cs="Arial" w:eastAsia="Arial" w:hAnsi="Arial"/>
                <w:sz w:val="18"/>
                <w:szCs w:val="18"/>
                <w:color w:val="auto"/>
              </w:rPr>
              <w:t>2009</w:t>
            </w:r>
          </w:p>
        </w:tc>
        <w:tc>
          <w:tcPr>
            <w:tcW w:w="1360" w:type="dxa"/>
            <w:vAlign w:val="bottom"/>
            <w:gridSpan w:val="2"/>
            <w:shd w:val="clear" w:color="auto" w:fill="CCEEFF"/>
          </w:tcPr>
          <w:p>
            <w:pPr>
              <w:jc w:val="right"/>
              <w:ind w:right="720"/>
              <w:spacing w:after="0" w:line="201" w:lineRule="exact"/>
              <w:rPr>
                <w:sz w:val="20"/>
                <w:szCs w:val="20"/>
                <w:color w:val="auto"/>
              </w:rPr>
            </w:pPr>
            <w:r>
              <w:rPr>
                <w:rFonts w:ascii="Arial" w:cs="Arial" w:eastAsia="Arial" w:hAnsi="Arial"/>
                <w:sz w:val="18"/>
                <w:szCs w:val="18"/>
                <w:color w:val="auto"/>
                <w:w w:val="95"/>
              </w:rPr>
              <w:t>169,001</w:t>
            </w:r>
          </w:p>
        </w:tc>
        <w:tc>
          <w:tcPr>
            <w:tcW w:w="1280" w:type="dxa"/>
            <w:vAlign w:val="bottom"/>
            <w:gridSpan w:val="2"/>
            <w:shd w:val="clear" w:color="auto" w:fill="CCEEFF"/>
          </w:tcPr>
          <w:p>
            <w:pPr>
              <w:ind w:left="280"/>
              <w:spacing w:after="0" w:line="201" w:lineRule="exact"/>
              <w:rPr>
                <w:sz w:val="20"/>
                <w:szCs w:val="20"/>
                <w:color w:val="auto"/>
              </w:rPr>
            </w:pPr>
            <w:r>
              <w:rPr>
                <w:rFonts w:ascii="Arial" w:cs="Arial" w:eastAsia="Arial" w:hAnsi="Arial"/>
                <w:sz w:val="18"/>
                <w:szCs w:val="18"/>
                <w:color w:val="auto"/>
              </w:rPr>
              <w:t>—</w:t>
            </w:r>
          </w:p>
        </w:tc>
        <w:tc>
          <w:tcPr>
            <w:tcW w:w="2340" w:type="dxa"/>
            <w:vAlign w:val="bottom"/>
            <w:gridSpan w:val="2"/>
            <w:shd w:val="clear" w:color="auto" w:fill="CCEEFF"/>
          </w:tcPr>
          <w:p>
            <w:pPr>
              <w:jc w:val="center"/>
              <w:ind w:right="660"/>
              <w:spacing w:after="0" w:line="201" w:lineRule="exact"/>
              <w:rPr>
                <w:sz w:val="20"/>
                <w:szCs w:val="20"/>
                <w:color w:val="auto"/>
              </w:rPr>
            </w:pPr>
            <w:r>
              <w:rPr>
                <w:rFonts w:ascii="Arial" w:cs="Arial" w:eastAsia="Arial" w:hAnsi="Arial"/>
                <w:sz w:val="18"/>
                <w:szCs w:val="18"/>
                <w:color w:val="auto"/>
                <w:w w:val="89"/>
              </w:rPr>
              <w:t>95.75% of average</w:t>
            </w:r>
          </w:p>
        </w:tc>
        <w:tc>
          <w:tcPr>
            <w:tcW w:w="74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01/2022</w:t>
            </w: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jc w:val="center"/>
              <w:ind w:right="660"/>
              <w:spacing w:after="0"/>
              <w:rPr>
                <w:sz w:val="20"/>
                <w:szCs w:val="20"/>
                <w:color w:val="auto"/>
              </w:rPr>
            </w:pPr>
            <w:r>
              <w:rPr>
                <w:rFonts w:ascii="Arial" w:cs="Arial" w:eastAsia="Arial" w:hAnsi="Arial"/>
                <w:sz w:val="18"/>
                <w:szCs w:val="18"/>
                <w:color w:val="auto"/>
                <w:w w:val="90"/>
              </w:rPr>
              <w:t>Baltic Capesize 5TC</w:t>
            </w: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340" w:type="dxa"/>
            <w:vAlign w:val="bottom"/>
            <w:gridSpan w:val="2"/>
            <w:shd w:val="clear" w:color="auto" w:fill="CCEEFF"/>
          </w:tcPr>
          <w:p>
            <w:pPr>
              <w:jc w:val="center"/>
              <w:ind w:right="660"/>
              <w:spacing w:after="0"/>
              <w:rPr>
                <w:sz w:val="20"/>
                <w:szCs w:val="20"/>
                <w:color w:val="auto"/>
              </w:rPr>
            </w:pPr>
            <w:r>
              <w:rPr>
                <w:rFonts w:ascii="Arial" w:cs="Arial" w:eastAsia="Arial" w:hAnsi="Arial"/>
                <w:sz w:val="18"/>
                <w:szCs w:val="18"/>
                <w:color w:val="auto"/>
                <w:w w:val="90"/>
              </w:rPr>
              <w:t>Index Routes</w:t>
            </w:r>
          </w:p>
        </w:tc>
        <w:tc>
          <w:tcPr>
            <w:tcW w:w="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220" w:type="dxa"/>
            <w:vAlign w:val="bottom"/>
            <w:gridSpan w:val="2"/>
          </w:tcPr>
          <w:p>
            <w:pPr>
              <w:spacing w:after="0" w:line="201" w:lineRule="exact"/>
              <w:rPr>
                <w:sz w:val="20"/>
                <w:szCs w:val="20"/>
                <w:color w:val="auto"/>
              </w:rPr>
            </w:pPr>
            <w:r>
              <w:rPr>
                <w:rFonts w:ascii="Arial" w:cs="Arial" w:eastAsia="Arial" w:hAnsi="Arial"/>
                <w:sz w:val="18"/>
                <w:szCs w:val="18"/>
                <w:color w:val="auto"/>
              </w:rPr>
              <w:t>Navios Bonavis</w:t>
            </w:r>
          </w:p>
        </w:tc>
        <w:tc>
          <w:tcPr>
            <w:tcW w:w="660" w:type="dxa"/>
            <w:vAlign w:val="bottom"/>
          </w:tcPr>
          <w:p>
            <w:pPr>
              <w:spacing w:after="0"/>
              <w:rPr>
                <w:sz w:val="17"/>
                <w:szCs w:val="17"/>
                <w:color w:val="auto"/>
              </w:rPr>
            </w:pPr>
          </w:p>
        </w:tc>
        <w:tc>
          <w:tcPr>
            <w:tcW w:w="660" w:type="dxa"/>
            <w:vAlign w:val="bottom"/>
          </w:tcPr>
          <w:p>
            <w:pPr>
              <w:jc w:val="center"/>
              <w:spacing w:after="0" w:line="201" w:lineRule="exact"/>
              <w:rPr>
                <w:sz w:val="20"/>
                <w:szCs w:val="20"/>
                <w:color w:val="auto"/>
              </w:rPr>
            </w:pPr>
            <w:r>
              <w:rPr>
                <w:rFonts w:ascii="Arial" w:cs="Arial" w:eastAsia="Arial" w:hAnsi="Arial"/>
                <w:sz w:val="18"/>
                <w:szCs w:val="18"/>
                <w:color w:val="auto"/>
                <w:w w:val="85"/>
              </w:rPr>
              <w:t>Capesize</w:t>
            </w:r>
          </w:p>
        </w:tc>
        <w:tc>
          <w:tcPr>
            <w:tcW w:w="1760" w:type="dxa"/>
            <w:vAlign w:val="bottom"/>
            <w:gridSpan w:val="3"/>
          </w:tcPr>
          <w:p>
            <w:pPr>
              <w:ind w:left="700"/>
              <w:spacing w:after="0" w:line="201" w:lineRule="exact"/>
              <w:rPr>
                <w:sz w:val="20"/>
                <w:szCs w:val="20"/>
                <w:color w:val="auto"/>
              </w:rPr>
            </w:pPr>
            <w:r>
              <w:rPr>
                <w:rFonts w:ascii="Arial" w:cs="Arial" w:eastAsia="Arial" w:hAnsi="Arial"/>
                <w:sz w:val="18"/>
                <w:szCs w:val="18"/>
                <w:color w:val="auto"/>
              </w:rPr>
              <w:t>2009</w:t>
            </w:r>
          </w:p>
        </w:tc>
        <w:tc>
          <w:tcPr>
            <w:tcW w:w="1360" w:type="dxa"/>
            <w:vAlign w:val="bottom"/>
            <w:gridSpan w:val="2"/>
          </w:tcPr>
          <w:p>
            <w:pPr>
              <w:jc w:val="right"/>
              <w:ind w:right="720"/>
              <w:spacing w:after="0" w:line="201" w:lineRule="exact"/>
              <w:rPr>
                <w:sz w:val="20"/>
                <w:szCs w:val="20"/>
                <w:color w:val="auto"/>
              </w:rPr>
            </w:pPr>
            <w:r>
              <w:rPr>
                <w:rFonts w:ascii="Arial" w:cs="Arial" w:eastAsia="Arial" w:hAnsi="Arial"/>
                <w:sz w:val="18"/>
                <w:szCs w:val="18"/>
                <w:color w:val="auto"/>
                <w:w w:val="95"/>
              </w:rPr>
              <w:t>180,022</w:t>
            </w:r>
          </w:p>
        </w:tc>
        <w:tc>
          <w:tcPr>
            <w:tcW w:w="1280" w:type="dxa"/>
            <w:vAlign w:val="bottom"/>
            <w:gridSpan w:val="2"/>
          </w:tcPr>
          <w:p>
            <w:pPr>
              <w:ind w:left="280"/>
              <w:spacing w:after="0" w:line="201" w:lineRule="exact"/>
              <w:rPr>
                <w:sz w:val="20"/>
                <w:szCs w:val="20"/>
                <w:color w:val="auto"/>
              </w:rPr>
            </w:pPr>
            <w:r>
              <w:rPr>
                <w:rFonts w:ascii="Arial" w:cs="Arial" w:eastAsia="Arial" w:hAnsi="Arial"/>
                <w:sz w:val="18"/>
                <w:szCs w:val="18"/>
                <w:color w:val="auto"/>
              </w:rPr>
              <w:t>—</w:t>
            </w:r>
          </w:p>
        </w:tc>
        <w:tc>
          <w:tcPr>
            <w:tcW w:w="2340" w:type="dxa"/>
            <w:vAlign w:val="bottom"/>
            <w:gridSpan w:val="2"/>
          </w:tcPr>
          <w:p>
            <w:pPr>
              <w:jc w:val="center"/>
              <w:ind w:right="660"/>
              <w:spacing w:after="0" w:line="201" w:lineRule="exact"/>
              <w:rPr>
                <w:sz w:val="20"/>
                <w:szCs w:val="20"/>
                <w:color w:val="auto"/>
              </w:rPr>
            </w:pPr>
            <w:r>
              <w:rPr>
                <w:rFonts w:ascii="Arial" w:cs="Arial" w:eastAsia="Arial" w:hAnsi="Arial"/>
                <w:sz w:val="18"/>
                <w:szCs w:val="18"/>
                <w:color w:val="auto"/>
                <w:w w:val="89"/>
              </w:rPr>
              <w:t>102.5% of average</w:t>
            </w:r>
          </w:p>
        </w:tc>
        <w:tc>
          <w:tcPr>
            <w:tcW w:w="74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09/2021</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340" w:type="dxa"/>
            <w:vAlign w:val="bottom"/>
            <w:gridSpan w:val="2"/>
          </w:tcPr>
          <w:p>
            <w:pPr>
              <w:jc w:val="center"/>
              <w:ind w:right="660"/>
              <w:spacing w:after="0"/>
              <w:rPr>
                <w:sz w:val="20"/>
                <w:szCs w:val="20"/>
                <w:color w:val="auto"/>
              </w:rPr>
            </w:pPr>
            <w:r>
              <w:rPr>
                <w:rFonts w:ascii="Arial" w:cs="Arial" w:eastAsia="Arial" w:hAnsi="Arial"/>
                <w:sz w:val="18"/>
                <w:szCs w:val="18"/>
                <w:color w:val="auto"/>
                <w:w w:val="90"/>
              </w:rPr>
              <w:t>Baltic Capesize 5TC</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340" w:type="dxa"/>
            <w:vAlign w:val="bottom"/>
            <w:gridSpan w:val="2"/>
          </w:tcPr>
          <w:p>
            <w:pPr>
              <w:jc w:val="center"/>
              <w:ind w:right="660"/>
              <w:spacing w:after="0"/>
              <w:rPr>
                <w:sz w:val="20"/>
                <w:szCs w:val="20"/>
                <w:color w:val="auto"/>
              </w:rPr>
            </w:pPr>
            <w:r>
              <w:rPr>
                <w:rFonts w:ascii="Arial" w:cs="Arial" w:eastAsia="Arial" w:hAnsi="Arial"/>
                <w:sz w:val="18"/>
                <w:szCs w:val="18"/>
                <w:color w:val="auto"/>
                <w:w w:val="90"/>
              </w:rPr>
              <w:t>Index Routes</w:t>
            </w: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Navios Happiness</w:t>
            </w:r>
          </w:p>
        </w:tc>
        <w:tc>
          <w:tcPr>
            <w:tcW w:w="1320" w:type="dxa"/>
            <w:vAlign w:val="bottom"/>
            <w:gridSpan w:val="2"/>
            <w:shd w:val="clear" w:color="auto" w:fill="CCEEFF"/>
          </w:tcPr>
          <w:p>
            <w:pPr>
              <w:jc w:val="center"/>
              <w:ind w:left="550"/>
              <w:spacing w:after="0" w:line="201" w:lineRule="exact"/>
              <w:rPr>
                <w:sz w:val="20"/>
                <w:szCs w:val="20"/>
                <w:color w:val="auto"/>
              </w:rPr>
            </w:pPr>
            <w:r>
              <w:rPr>
                <w:rFonts w:ascii="Arial" w:cs="Arial" w:eastAsia="Arial" w:hAnsi="Arial"/>
                <w:sz w:val="18"/>
                <w:szCs w:val="18"/>
                <w:color w:val="auto"/>
                <w:w w:val="85"/>
              </w:rPr>
              <w:t>Capesize</w:t>
            </w:r>
          </w:p>
        </w:tc>
        <w:tc>
          <w:tcPr>
            <w:tcW w:w="1760" w:type="dxa"/>
            <w:vAlign w:val="bottom"/>
            <w:gridSpan w:val="3"/>
            <w:shd w:val="clear" w:color="auto" w:fill="CCEEFF"/>
          </w:tcPr>
          <w:p>
            <w:pPr>
              <w:ind w:left="700"/>
              <w:spacing w:after="0" w:line="201" w:lineRule="exact"/>
              <w:rPr>
                <w:sz w:val="20"/>
                <w:szCs w:val="20"/>
                <w:color w:val="auto"/>
              </w:rPr>
            </w:pPr>
            <w:r>
              <w:rPr>
                <w:rFonts w:ascii="Arial" w:cs="Arial" w:eastAsia="Arial" w:hAnsi="Arial"/>
                <w:sz w:val="18"/>
                <w:szCs w:val="18"/>
                <w:color w:val="auto"/>
              </w:rPr>
              <w:t>2009</w:t>
            </w:r>
          </w:p>
        </w:tc>
        <w:tc>
          <w:tcPr>
            <w:tcW w:w="1360" w:type="dxa"/>
            <w:vAlign w:val="bottom"/>
            <w:gridSpan w:val="2"/>
            <w:shd w:val="clear" w:color="auto" w:fill="CCEEFF"/>
          </w:tcPr>
          <w:p>
            <w:pPr>
              <w:jc w:val="right"/>
              <w:ind w:right="720"/>
              <w:spacing w:after="0" w:line="201" w:lineRule="exact"/>
              <w:rPr>
                <w:sz w:val="20"/>
                <w:szCs w:val="20"/>
                <w:color w:val="auto"/>
              </w:rPr>
            </w:pPr>
            <w:r>
              <w:rPr>
                <w:rFonts w:ascii="Arial" w:cs="Arial" w:eastAsia="Arial" w:hAnsi="Arial"/>
                <w:sz w:val="18"/>
                <w:szCs w:val="18"/>
                <w:color w:val="auto"/>
                <w:w w:val="95"/>
              </w:rPr>
              <w:t>180,022</w:t>
            </w:r>
          </w:p>
        </w:tc>
        <w:tc>
          <w:tcPr>
            <w:tcW w:w="1280" w:type="dxa"/>
            <w:vAlign w:val="bottom"/>
            <w:gridSpan w:val="2"/>
            <w:shd w:val="clear" w:color="auto" w:fill="CCEEFF"/>
          </w:tcPr>
          <w:p>
            <w:pPr>
              <w:ind w:left="280"/>
              <w:spacing w:after="0" w:line="201" w:lineRule="exact"/>
              <w:rPr>
                <w:sz w:val="20"/>
                <w:szCs w:val="20"/>
                <w:color w:val="auto"/>
              </w:rPr>
            </w:pPr>
            <w:r>
              <w:rPr>
                <w:rFonts w:ascii="Arial" w:cs="Arial" w:eastAsia="Arial" w:hAnsi="Arial"/>
                <w:sz w:val="18"/>
                <w:szCs w:val="18"/>
                <w:color w:val="auto"/>
              </w:rPr>
              <w:t>—</w:t>
            </w:r>
          </w:p>
        </w:tc>
        <w:tc>
          <w:tcPr>
            <w:tcW w:w="2340" w:type="dxa"/>
            <w:vAlign w:val="bottom"/>
            <w:gridSpan w:val="2"/>
            <w:shd w:val="clear" w:color="auto" w:fill="CCEEFF"/>
          </w:tcPr>
          <w:p>
            <w:pPr>
              <w:jc w:val="center"/>
              <w:ind w:right="660"/>
              <w:spacing w:after="0" w:line="201" w:lineRule="exact"/>
              <w:rPr>
                <w:sz w:val="20"/>
                <w:szCs w:val="20"/>
                <w:color w:val="auto"/>
              </w:rPr>
            </w:pPr>
            <w:r>
              <w:rPr>
                <w:rFonts w:ascii="Arial" w:cs="Arial" w:eastAsia="Arial" w:hAnsi="Arial"/>
                <w:sz w:val="18"/>
                <w:szCs w:val="18"/>
                <w:color w:val="auto"/>
                <w:w w:val="89"/>
              </w:rPr>
              <w:t>100.5% of average</w:t>
            </w:r>
          </w:p>
        </w:tc>
        <w:tc>
          <w:tcPr>
            <w:tcW w:w="74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09/2022</w:t>
            </w: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jc w:val="center"/>
              <w:ind w:right="660"/>
              <w:spacing w:after="0"/>
              <w:rPr>
                <w:sz w:val="20"/>
                <w:szCs w:val="20"/>
                <w:color w:val="auto"/>
              </w:rPr>
            </w:pPr>
            <w:r>
              <w:rPr>
                <w:rFonts w:ascii="Arial" w:cs="Arial" w:eastAsia="Arial" w:hAnsi="Arial"/>
                <w:sz w:val="18"/>
                <w:szCs w:val="18"/>
                <w:color w:val="auto"/>
                <w:w w:val="90"/>
              </w:rPr>
              <w:t>Baltic Capesize 5TC</w:t>
            </w: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340" w:type="dxa"/>
            <w:vAlign w:val="bottom"/>
            <w:gridSpan w:val="2"/>
            <w:shd w:val="clear" w:color="auto" w:fill="CCEEFF"/>
          </w:tcPr>
          <w:p>
            <w:pPr>
              <w:jc w:val="center"/>
              <w:ind w:right="660"/>
              <w:spacing w:after="0"/>
              <w:rPr>
                <w:sz w:val="20"/>
                <w:szCs w:val="20"/>
                <w:color w:val="auto"/>
              </w:rPr>
            </w:pPr>
            <w:r>
              <w:rPr>
                <w:rFonts w:ascii="Arial" w:cs="Arial" w:eastAsia="Arial" w:hAnsi="Arial"/>
                <w:sz w:val="18"/>
                <w:szCs w:val="18"/>
                <w:color w:val="auto"/>
                <w:w w:val="90"/>
              </w:rPr>
              <w:t>Index Routes</w:t>
            </w:r>
          </w:p>
        </w:tc>
        <w:tc>
          <w:tcPr>
            <w:tcW w:w="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4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jc w:val="right"/>
              <w:ind w:right="252"/>
              <w:spacing w:after="0"/>
              <w:rPr>
                <w:sz w:val="20"/>
                <w:szCs w:val="20"/>
                <w:color w:val="auto"/>
              </w:rPr>
            </w:pPr>
            <w:r>
              <w:rPr>
                <w:rFonts w:ascii="Arial" w:cs="Arial" w:eastAsia="Arial" w:hAnsi="Arial"/>
                <w:sz w:val="18"/>
                <w:szCs w:val="18"/>
                <w:color w:val="auto"/>
              </w:rPr>
              <w:t>91</w:t>
            </w: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9"/>
              </w:rPr>
              <w:t>Charter-</w:t>
            </w:r>
          </w:p>
        </w:tc>
        <w:tc>
          <w:tcPr>
            <w:tcW w:w="2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48"/>
        </w:trPr>
        <w:tc>
          <w:tcPr>
            <w:tcW w:w="2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Vessels</w:t>
            </w:r>
          </w:p>
        </w:tc>
        <w:tc>
          <w:tcPr>
            <w:tcW w:w="580" w:type="dxa"/>
            <w:vAlign w:val="bottom"/>
          </w:tcPr>
          <w:p>
            <w:pPr>
              <w:spacing w:after="0"/>
              <w:rPr>
                <w:sz w:val="12"/>
                <w:szCs w:val="12"/>
                <w:color w:val="auto"/>
              </w:rPr>
            </w:pPr>
          </w:p>
        </w:tc>
        <w:tc>
          <w:tcPr>
            <w:tcW w:w="13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Type</w:t>
            </w:r>
          </w:p>
        </w:tc>
        <w:tc>
          <w:tcPr>
            <w:tcW w:w="10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Built</w:t>
            </w:r>
          </w:p>
        </w:tc>
        <w:tc>
          <w:tcPr>
            <w:tcW w:w="1300" w:type="dxa"/>
            <w:vAlign w:val="bottom"/>
            <w:gridSpan w:val="2"/>
            <w:vMerge w:val="restart"/>
          </w:tcPr>
          <w:p>
            <w:pPr>
              <w:jc w:val="right"/>
              <w:ind w:right="820"/>
              <w:spacing w:after="0"/>
              <w:rPr>
                <w:sz w:val="20"/>
                <w:szCs w:val="20"/>
                <w:color w:val="auto"/>
              </w:rPr>
            </w:pPr>
            <w:r>
              <w:rPr>
                <w:rFonts w:ascii="Arial" w:cs="Arial" w:eastAsia="Arial" w:hAnsi="Arial"/>
                <w:sz w:val="14"/>
                <w:szCs w:val="14"/>
                <w:b w:val="1"/>
                <w:bCs w:val="1"/>
                <w:color w:val="auto"/>
              </w:rPr>
              <w:t>DWT</w:t>
            </w:r>
          </w:p>
        </w:tc>
        <w:tc>
          <w:tcPr>
            <w:tcW w:w="12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1"/>
              </w:rPr>
              <w:t>out</w:t>
            </w:r>
          </w:p>
        </w:tc>
        <w:tc>
          <w:tcPr>
            <w:tcW w:w="2640" w:type="dxa"/>
            <w:vAlign w:val="bottom"/>
            <w:gridSpan w:val="2"/>
            <w:vMerge w:val="restart"/>
          </w:tcPr>
          <w:p>
            <w:pPr>
              <w:ind w:left="620"/>
              <w:spacing w:after="0"/>
              <w:rPr>
                <w:sz w:val="20"/>
                <w:szCs w:val="20"/>
                <w:color w:val="auto"/>
              </w:rPr>
            </w:pPr>
            <w:r>
              <w:rPr>
                <w:rFonts w:ascii="Arial" w:cs="Arial" w:eastAsia="Arial" w:hAnsi="Arial"/>
                <w:sz w:val="14"/>
                <w:szCs w:val="14"/>
                <w:b w:val="1"/>
                <w:bCs w:val="1"/>
                <w:color w:val="auto"/>
              </w:rPr>
              <w:t>Profit Share</w:t>
            </w: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80" w:type="dxa"/>
            <w:vAlign w:val="bottom"/>
            <w:gridSpan w:val="2"/>
            <w:vMerge w:val="continue"/>
          </w:tcPr>
          <w:p>
            <w:pPr>
              <w:spacing w:after="0"/>
              <w:rPr>
                <w:sz w:val="13"/>
                <w:szCs w:val="13"/>
                <w:color w:val="auto"/>
              </w:rPr>
            </w:pPr>
          </w:p>
        </w:tc>
        <w:tc>
          <w:tcPr>
            <w:tcW w:w="580" w:type="dxa"/>
            <w:vAlign w:val="bottom"/>
          </w:tcPr>
          <w:p>
            <w:pPr>
              <w:spacing w:after="0"/>
              <w:rPr>
                <w:sz w:val="13"/>
                <w:szCs w:val="13"/>
                <w:color w:val="auto"/>
              </w:rPr>
            </w:pPr>
          </w:p>
        </w:tc>
        <w:tc>
          <w:tcPr>
            <w:tcW w:w="1380" w:type="dxa"/>
            <w:vAlign w:val="bottom"/>
            <w:gridSpan w:val="2"/>
            <w:vMerge w:val="continue"/>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220" w:type="dxa"/>
            <w:vAlign w:val="bottom"/>
            <w:gridSpan w:val="2"/>
          </w:tcPr>
          <w:p>
            <w:pPr>
              <w:jc w:val="center"/>
              <w:ind w:right="660"/>
              <w:spacing w:after="0" w:line="158" w:lineRule="exact"/>
              <w:rPr>
                <w:sz w:val="20"/>
                <w:szCs w:val="20"/>
                <w:color w:val="auto"/>
              </w:rPr>
            </w:pPr>
            <w:r>
              <w:rPr>
                <w:rFonts w:ascii="Arial" w:cs="Arial" w:eastAsia="Arial" w:hAnsi="Arial"/>
                <w:sz w:val="14"/>
                <w:szCs w:val="14"/>
                <w:b w:val="1"/>
                <w:bCs w:val="1"/>
                <w:color w:val="auto"/>
                <w:w w:val="97"/>
              </w:rPr>
              <w:t>Rate</w:t>
            </w:r>
            <w:r>
              <w:rPr>
                <w:rFonts w:ascii="Arial" w:cs="Arial" w:eastAsia="Arial" w:hAnsi="Arial"/>
                <w:sz w:val="12"/>
                <w:szCs w:val="12"/>
                <w:b w:val="1"/>
                <w:bCs w:val="1"/>
                <w:color w:val="auto"/>
                <w:w w:val="97"/>
              </w:rPr>
              <w:t>(1)</w:t>
            </w:r>
          </w:p>
        </w:tc>
        <w:tc>
          <w:tcPr>
            <w:tcW w:w="2640" w:type="dxa"/>
            <w:vAlign w:val="bottom"/>
            <w:gridSpan w:val="2"/>
            <w:vMerge w:val="continue"/>
          </w:tcPr>
          <w:p>
            <w:pPr>
              <w:spacing w:after="0"/>
              <w:rPr>
                <w:sz w:val="13"/>
                <w:szCs w:val="13"/>
                <w:color w:val="auto"/>
              </w:rPr>
            </w:pPr>
          </w:p>
        </w:tc>
        <w:tc>
          <w:tcPr>
            <w:tcW w:w="740" w:type="dxa"/>
            <w:vAlign w:val="bottom"/>
            <w:gridSpan w:val="2"/>
          </w:tcPr>
          <w:p>
            <w:pPr>
              <w:ind w:left="120"/>
              <w:spacing w:after="0" w:line="158" w:lineRule="exact"/>
              <w:rPr>
                <w:sz w:val="20"/>
                <w:szCs w:val="20"/>
                <w:color w:val="auto"/>
              </w:rPr>
            </w:pPr>
            <w:r>
              <w:rPr>
                <w:rFonts w:ascii="Arial" w:cs="Arial" w:eastAsia="Arial" w:hAnsi="Arial"/>
                <w:sz w:val="14"/>
                <w:szCs w:val="14"/>
                <w:b w:val="1"/>
                <w:bCs w:val="1"/>
                <w:color w:val="auto"/>
              </w:rPr>
              <w:t>Date</w:t>
            </w:r>
            <w:r>
              <w:rPr>
                <w:rFonts w:ascii="Arial" w:cs="Arial" w:eastAsia="Arial" w:hAnsi="Arial"/>
                <w:sz w:val="12"/>
                <w:szCs w:val="12"/>
                <w:b w:val="1"/>
                <w:bCs w:val="1"/>
                <w:color w:val="auto"/>
              </w:rPr>
              <w:t>(2)</w:t>
            </w:r>
          </w:p>
        </w:tc>
        <w:tc>
          <w:tcPr>
            <w:tcW w:w="0" w:type="dxa"/>
            <w:vAlign w:val="bottom"/>
          </w:tcPr>
          <w:p>
            <w:pPr>
              <w:spacing w:after="0"/>
              <w:rPr>
                <w:sz w:val="1"/>
                <w:szCs w:val="1"/>
                <w:color w:val="auto"/>
              </w:rPr>
            </w:pPr>
          </w:p>
        </w:tc>
      </w:tr>
      <w:tr>
        <w:trPr>
          <w:trHeight w:val="20"/>
        </w:trPr>
        <w:tc>
          <w:tcPr>
            <w:tcW w:w="420" w:type="dxa"/>
            <w:vAlign w:val="bottom"/>
            <w:tcBorders>
              <w:bottom w:val="single" w:sz="8" w:color="CCEEFF"/>
            </w:tcBorders>
            <w:shd w:val="clear" w:color="auto" w:fill="000000"/>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Navios Phoenix</w:t>
            </w:r>
          </w:p>
        </w:tc>
        <w:tc>
          <w:tcPr>
            <w:tcW w:w="5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100% of average Baltic</w:t>
            </w:r>
          </w:p>
        </w:tc>
        <w:tc>
          <w:tcPr>
            <w:tcW w:w="6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Capesize</w:t>
            </w:r>
          </w:p>
        </w:tc>
        <w:tc>
          <w:tcPr>
            <w:tcW w:w="10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2009</w:t>
            </w: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5"/>
              </w:rPr>
              <w:t>180,242</w:t>
            </w:r>
          </w:p>
        </w:tc>
        <w:tc>
          <w:tcPr>
            <w:tcW w:w="12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6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Capesize 5TC Index</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06/2021</w:t>
            </w:r>
          </w:p>
        </w:tc>
        <w:tc>
          <w:tcPr>
            <w:tcW w:w="0" w:type="dxa"/>
            <w:vAlign w:val="bottom"/>
          </w:tcPr>
          <w:p>
            <w:pPr>
              <w:spacing w:after="0"/>
              <w:rPr>
                <w:sz w:val="1"/>
                <w:szCs w:val="1"/>
                <w:color w:val="auto"/>
              </w:rPr>
            </w:pPr>
          </w:p>
        </w:tc>
      </w:tr>
      <w:tr>
        <w:trPr>
          <w:trHeight w:val="202"/>
        </w:trPr>
        <w:tc>
          <w:tcPr>
            <w:tcW w:w="4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20" w:type="dxa"/>
            <w:vAlign w:val="bottom"/>
            <w:gridSpan w:val="2"/>
          </w:tcPr>
          <w:p>
            <w:pPr>
              <w:ind w:left="280"/>
              <w:spacing w:after="0" w:line="201" w:lineRule="exact"/>
              <w:rPr>
                <w:sz w:val="20"/>
                <w:szCs w:val="20"/>
                <w:color w:val="auto"/>
              </w:rPr>
            </w:pPr>
            <w:r>
              <w:rPr>
                <w:rFonts w:ascii="Arial" w:cs="Arial" w:eastAsia="Arial" w:hAnsi="Arial"/>
                <w:sz w:val="18"/>
                <w:szCs w:val="18"/>
                <w:color w:val="auto"/>
              </w:rPr>
              <w:t>—</w:t>
            </w:r>
          </w:p>
        </w:tc>
        <w:tc>
          <w:tcPr>
            <w:tcW w:w="2640" w:type="dxa"/>
            <w:vAlign w:val="bottom"/>
            <w:gridSpan w:val="2"/>
          </w:tcPr>
          <w:p>
            <w:pPr>
              <w:jc w:val="center"/>
              <w:ind w:right="600"/>
              <w:spacing w:after="0" w:line="201" w:lineRule="exact"/>
              <w:rPr>
                <w:sz w:val="20"/>
                <w:szCs w:val="20"/>
                <w:color w:val="auto"/>
              </w:rPr>
            </w:pPr>
            <w:r>
              <w:rPr>
                <w:rFonts w:ascii="Arial" w:cs="Arial" w:eastAsia="Arial" w:hAnsi="Arial"/>
                <w:sz w:val="18"/>
                <w:szCs w:val="18"/>
                <w:color w:val="auto"/>
                <w:w w:val="88"/>
              </w:rPr>
              <w:t>Routes 100% of average</w:t>
            </w:r>
          </w:p>
        </w:tc>
        <w:tc>
          <w:tcPr>
            <w:tcW w:w="74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01/2023</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40" w:type="dxa"/>
            <w:vAlign w:val="bottom"/>
            <w:gridSpan w:val="2"/>
          </w:tcPr>
          <w:p>
            <w:pPr>
              <w:jc w:val="center"/>
              <w:ind w:right="600"/>
              <w:spacing w:after="0"/>
              <w:rPr>
                <w:sz w:val="20"/>
                <w:szCs w:val="20"/>
                <w:color w:val="auto"/>
              </w:rPr>
            </w:pPr>
            <w:r>
              <w:rPr>
                <w:rFonts w:ascii="Arial" w:cs="Arial" w:eastAsia="Arial" w:hAnsi="Arial"/>
                <w:sz w:val="18"/>
                <w:szCs w:val="18"/>
                <w:color w:val="auto"/>
                <w:w w:val="90"/>
              </w:rPr>
              <w:t>Baltic Capesize 5TC</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40" w:type="dxa"/>
            <w:vAlign w:val="bottom"/>
            <w:gridSpan w:val="2"/>
          </w:tcPr>
          <w:p>
            <w:pPr>
              <w:jc w:val="center"/>
              <w:ind w:right="580"/>
              <w:spacing w:after="0"/>
              <w:rPr>
                <w:sz w:val="20"/>
                <w:szCs w:val="20"/>
                <w:color w:val="auto"/>
              </w:rPr>
            </w:pPr>
            <w:r>
              <w:rPr>
                <w:rFonts w:ascii="Arial" w:cs="Arial" w:eastAsia="Arial" w:hAnsi="Arial"/>
                <w:sz w:val="18"/>
                <w:szCs w:val="18"/>
                <w:color w:val="auto"/>
                <w:w w:val="90"/>
              </w:rPr>
              <w:t>Index Routes plus</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40" w:type="dxa"/>
            <w:vAlign w:val="bottom"/>
            <w:gridSpan w:val="2"/>
          </w:tcPr>
          <w:p>
            <w:pPr>
              <w:jc w:val="center"/>
              <w:ind w:right="600"/>
              <w:spacing w:after="0"/>
              <w:rPr>
                <w:sz w:val="20"/>
                <w:szCs w:val="20"/>
                <w:color w:val="auto"/>
              </w:rPr>
            </w:pPr>
            <w:r>
              <w:rPr>
                <w:rFonts w:ascii="Arial" w:cs="Arial" w:eastAsia="Arial" w:hAnsi="Arial"/>
                <w:sz w:val="18"/>
                <w:szCs w:val="18"/>
                <w:color w:val="auto"/>
                <w:w w:val="89"/>
              </w:rPr>
              <w:t>$2,000/day</w:t>
            </w: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Navios Lumen</w:t>
            </w:r>
          </w:p>
        </w:tc>
        <w:tc>
          <w:tcPr>
            <w:tcW w:w="5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Capesize</w:t>
            </w:r>
          </w:p>
        </w:tc>
        <w:tc>
          <w:tcPr>
            <w:tcW w:w="108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2009</w:t>
            </w:r>
          </w:p>
        </w:tc>
        <w:tc>
          <w:tcPr>
            <w:tcW w:w="1300" w:type="dxa"/>
            <w:vAlign w:val="bottom"/>
            <w:gridSpan w:val="2"/>
            <w:shd w:val="clear" w:color="auto" w:fill="CCEEFF"/>
          </w:tcPr>
          <w:p>
            <w:pPr>
              <w:jc w:val="right"/>
              <w:ind w:right="660"/>
              <w:spacing w:after="0" w:line="201" w:lineRule="exact"/>
              <w:rPr>
                <w:sz w:val="20"/>
                <w:szCs w:val="20"/>
                <w:color w:val="auto"/>
              </w:rPr>
            </w:pPr>
            <w:r>
              <w:rPr>
                <w:rFonts w:ascii="Arial" w:cs="Arial" w:eastAsia="Arial" w:hAnsi="Arial"/>
                <w:sz w:val="18"/>
                <w:szCs w:val="18"/>
                <w:color w:val="auto"/>
                <w:w w:val="95"/>
              </w:rPr>
              <w:t>180,661</w:t>
            </w:r>
          </w:p>
        </w:tc>
        <w:tc>
          <w:tcPr>
            <w:tcW w:w="1220" w:type="dxa"/>
            <w:vAlign w:val="bottom"/>
            <w:gridSpan w:val="2"/>
            <w:shd w:val="clear" w:color="auto" w:fill="CCEEFF"/>
          </w:tcPr>
          <w:p>
            <w:pPr>
              <w:ind w:left="280"/>
              <w:spacing w:after="0" w:line="201" w:lineRule="exact"/>
              <w:rPr>
                <w:sz w:val="20"/>
                <w:szCs w:val="20"/>
                <w:color w:val="auto"/>
              </w:rPr>
            </w:pPr>
            <w:r>
              <w:rPr>
                <w:rFonts w:ascii="Arial" w:cs="Arial" w:eastAsia="Arial" w:hAnsi="Arial"/>
                <w:sz w:val="18"/>
                <w:szCs w:val="18"/>
                <w:color w:val="auto"/>
              </w:rPr>
              <w:t>—</w:t>
            </w:r>
          </w:p>
        </w:tc>
        <w:tc>
          <w:tcPr>
            <w:tcW w:w="2640" w:type="dxa"/>
            <w:vAlign w:val="bottom"/>
            <w:gridSpan w:val="2"/>
            <w:shd w:val="clear" w:color="auto" w:fill="CCEEFF"/>
          </w:tcPr>
          <w:p>
            <w:pPr>
              <w:jc w:val="center"/>
              <w:ind w:right="580"/>
              <w:spacing w:after="0" w:line="201" w:lineRule="exact"/>
              <w:rPr>
                <w:sz w:val="20"/>
                <w:szCs w:val="20"/>
                <w:color w:val="auto"/>
              </w:rPr>
            </w:pPr>
            <w:r>
              <w:rPr>
                <w:rFonts w:ascii="Arial" w:cs="Arial" w:eastAsia="Arial" w:hAnsi="Arial"/>
                <w:sz w:val="18"/>
                <w:szCs w:val="18"/>
                <w:color w:val="auto"/>
                <w:w w:val="91"/>
              </w:rPr>
              <w:t>105% of average Baltic</w:t>
            </w:r>
          </w:p>
        </w:tc>
        <w:tc>
          <w:tcPr>
            <w:tcW w:w="74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05/2021</w:t>
            </w: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jc w:val="center"/>
              <w:ind w:right="600"/>
              <w:spacing w:after="0"/>
              <w:rPr>
                <w:sz w:val="20"/>
                <w:szCs w:val="20"/>
                <w:color w:val="auto"/>
              </w:rPr>
            </w:pPr>
            <w:r>
              <w:rPr>
                <w:rFonts w:ascii="Arial" w:cs="Arial" w:eastAsia="Arial" w:hAnsi="Arial"/>
                <w:sz w:val="18"/>
                <w:szCs w:val="18"/>
                <w:color w:val="auto"/>
                <w:w w:val="90"/>
              </w:rPr>
              <w:t>Capesize 5TC Index</w:t>
            </w: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640" w:type="dxa"/>
            <w:vAlign w:val="bottom"/>
            <w:gridSpan w:val="2"/>
            <w:shd w:val="clear" w:color="auto" w:fill="CCEEFF"/>
          </w:tcPr>
          <w:p>
            <w:pPr>
              <w:jc w:val="center"/>
              <w:ind w:right="580"/>
              <w:spacing w:after="0"/>
              <w:rPr>
                <w:sz w:val="20"/>
                <w:szCs w:val="20"/>
                <w:color w:val="auto"/>
              </w:rPr>
            </w:pPr>
            <w:r>
              <w:rPr>
                <w:rFonts w:ascii="Arial" w:cs="Arial" w:eastAsia="Arial" w:hAnsi="Arial"/>
                <w:sz w:val="18"/>
                <w:szCs w:val="18"/>
                <w:color w:val="auto"/>
                <w:w w:val="87"/>
              </w:rPr>
              <w:t>Routes</w:t>
            </w:r>
          </w:p>
        </w:tc>
        <w:tc>
          <w:tcPr>
            <w:tcW w:w="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80" w:type="dxa"/>
            <w:vAlign w:val="bottom"/>
            <w:gridSpan w:val="2"/>
          </w:tcPr>
          <w:p>
            <w:pPr>
              <w:spacing w:after="0" w:line="201" w:lineRule="exact"/>
              <w:rPr>
                <w:sz w:val="20"/>
                <w:szCs w:val="20"/>
                <w:color w:val="auto"/>
              </w:rPr>
            </w:pPr>
            <w:r>
              <w:rPr>
                <w:rFonts w:ascii="Arial" w:cs="Arial" w:eastAsia="Arial" w:hAnsi="Arial"/>
                <w:sz w:val="18"/>
                <w:szCs w:val="18"/>
                <w:color w:val="auto"/>
              </w:rPr>
              <w:t>Navios Antares</w:t>
            </w:r>
          </w:p>
        </w:tc>
        <w:tc>
          <w:tcPr>
            <w:tcW w:w="580" w:type="dxa"/>
            <w:vAlign w:val="bottom"/>
          </w:tcPr>
          <w:p>
            <w:pPr>
              <w:spacing w:after="0"/>
              <w:rPr>
                <w:sz w:val="17"/>
                <w:szCs w:val="17"/>
                <w:color w:val="auto"/>
              </w:rPr>
            </w:pPr>
          </w:p>
        </w:tc>
        <w:tc>
          <w:tcPr>
            <w:tcW w:w="1380" w:type="dxa"/>
            <w:vAlign w:val="bottom"/>
            <w:gridSpan w:val="2"/>
          </w:tcPr>
          <w:p>
            <w:pPr>
              <w:ind w:left="60"/>
              <w:spacing w:after="0" w:line="201" w:lineRule="exact"/>
              <w:rPr>
                <w:sz w:val="20"/>
                <w:szCs w:val="20"/>
                <w:color w:val="auto"/>
              </w:rPr>
            </w:pPr>
            <w:r>
              <w:rPr>
                <w:rFonts w:ascii="Arial" w:cs="Arial" w:eastAsia="Arial" w:hAnsi="Arial"/>
                <w:sz w:val="18"/>
                <w:szCs w:val="18"/>
                <w:color w:val="auto"/>
              </w:rPr>
              <w:t>Capesize</w:t>
            </w:r>
          </w:p>
        </w:tc>
        <w:tc>
          <w:tcPr>
            <w:tcW w:w="1080" w:type="dxa"/>
            <w:vAlign w:val="bottom"/>
            <w:gridSpan w:val="2"/>
          </w:tcPr>
          <w:p>
            <w:pPr>
              <w:ind w:left="60"/>
              <w:spacing w:after="0" w:line="201" w:lineRule="exact"/>
              <w:rPr>
                <w:sz w:val="20"/>
                <w:szCs w:val="20"/>
                <w:color w:val="auto"/>
              </w:rPr>
            </w:pPr>
            <w:r>
              <w:rPr>
                <w:rFonts w:ascii="Arial" w:cs="Arial" w:eastAsia="Arial" w:hAnsi="Arial"/>
                <w:sz w:val="18"/>
                <w:szCs w:val="18"/>
                <w:color w:val="auto"/>
              </w:rPr>
              <w:t>2010</w:t>
            </w:r>
          </w:p>
        </w:tc>
        <w:tc>
          <w:tcPr>
            <w:tcW w:w="1300" w:type="dxa"/>
            <w:vAlign w:val="bottom"/>
            <w:gridSpan w:val="2"/>
          </w:tcPr>
          <w:p>
            <w:pPr>
              <w:jc w:val="right"/>
              <w:ind w:right="660"/>
              <w:spacing w:after="0" w:line="201" w:lineRule="exact"/>
              <w:rPr>
                <w:sz w:val="20"/>
                <w:szCs w:val="20"/>
                <w:color w:val="auto"/>
              </w:rPr>
            </w:pPr>
            <w:r>
              <w:rPr>
                <w:rFonts w:ascii="Arial" w:cs="Arial" w:eastAsia="Arial" w:hAnsi="Arial"/>
                <w:sz w:val="18"/>
                <w:szCs w:val="18"/>
                <w:color w:val="auto"/>
                <w:w w:val="95"/>
              </w:rPr>
              <w:t>169,059</w:t>
            </w:r>
          </w:p>
        </w:tc>
        <w:tc>
          <w:tcPr>
            <w:tcW w:w="1220" w:type="dxa"/>
            <w:vAlign w:val="bottom"/>
            <w:gridSpan w:val="2"/>
          </w:tcPr>
          <w:p>
            <w:pPr>
              <w:ind w:left="280"/>
              <w:spacing w:after="0" w:line="201" w:lineRule="exact"/>
              <w:rPr>
                <w:sz w:val="20"/>
                <w:szCs w:val="20"/>
                <w:color w:val="auto"/>
              </w:rPr>
            </w:pPr>
            <w:r>
              <w:rPr>
                <w:rFonts w:ascii="Arial" w:cs="Arial" w:eastAsia="Arial" w:hAnsi="Arial"/>
                <w:sz w:val="18"/>
                <w:szCs w:val="18"/>
                <w:color w:val="auto"/>
              </w:rPr>
              <w:t>—</w:t>
            </w:r>
          </w:p>
        </w:tc>
        <w:tc>
          <w:tcPr>
            <w:tcW w:w="2640" w:type="dxa"/>
            <w:vAlign w:val="bottom"/>
            <w:gridSpan w:val="2"/>
          </w:tcPr>
          <w:p>
            <w:pPr>
              <w:jc w:val="center"/>
              <w:ind w:right="600"/>
              <w:spacing w:after="0" w:line="201" w:lineRule="exact"/>
              <w:rPr>
                <w:sz w:val="20"/>
                <w:szCs w:val="20"/>
                <w:color w:val="auto"/>
              </w:rPr>
            </w:pPr>
            <w:r>
              <w:rPr>
                <w:rFonts w:ascii="Arial" w:cs="Arial" w:eastAsia="Arial" w:hAnsi="Arial"/>
                <w:sz w:val="18"/>
                <w:szCs w:val="18"/>
                <w:color w:val="auto"/>
                <w:w w:val="89"/>
              </w:rPr>
              <w:t>95.75% of average</w:t>
            </w:r>
          </w:p>
        </w:tc>
        <w:tc>
          <w:tcPr>
            <w:tcW w:w="74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01/2022</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40" w:type="dxa"/>
            <w:vAlign w:val="bottom"/>
            <w:gridSpan w:val="2"/>
          </w:tcPr>
          <w:p>
            <w:pPr>
              <w:jc w:val="center"/>
              <w:ind w:right="600"/>
              <w:spacing w:after="0"/>
              <w:rPr>
                <w:sz w:val="20"/>
                <w:szCs w:val="20"/>
                <w:color w:val="auto"/>
              </w:rPr>
            </w:pPr>
            <w:r>
              <w:rPr>
                <w:rFonts w:ascii="Arial" w:cs="Arial" w:eastAsia="Arial" w:hAnsi="Arial"/>
                <w:sz w:val="18"/>
                <w:szCs w:val="18"/>
                <w:color w:val="auto"/>
                <w:w w:val="90"/>
              </w:rPr>
              <w:t>Baltic Capesize 5TC</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40" w:type="dxa"/>
            <w:vAlign w:val="bottom"/>
            <w:gridSpan w:val="2"/>
          </w:tcPr>
          <w:p>
            <w:pPr>
              <w:jc w:val="center"/>
              <w:ind w:right="600"/>
              <w:spacing w:after="0"/>
              <w:rPr>
                <w:sz w:val="20"/>
                <w:szCs w:val="20"/>
                <w:color w:val="auto"/>
              </w:rPr>
            </w:pPr>
            <w:r>
              <w:rPr>
                <w:rFonts w:ascii="Arial" w:cs="Arial" w:eastAsia="Arial" w:hAnsi="Arial"/>
                <w:sz w:val="18"/>
                <w:szCs w:val="18"/>
                <w:color w:val="auto"/>
                <w:w w:val="90"/>
              </w:rPr>
              <w:t>Index Routes</w:t>
            </w: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Navios Etoile</w:t>
            </w:r>
          </w:p>
        </w:tc>
        <w:tc>
          <w:tcPr>
            <w:tcW w:w="5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Capesize</w:t>
            </w:r>
          </w:p>
        </w:tc>
        <w:tc>
          <w:tcPr>
            <w:tcW w:w="108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2010</w:t>
            </w:r>
          </w:p>
        </w:tc>
        <w:tc>
          <w:tcPr>
            <w:tcW w:w="1300" w:type="dxa"/>
            <w:vAlign w:val="bottom"/>
            <w:gridSpan w:val="2"/>
            <w:shd w:val="clear" w:color="auto" w:fill="CCEEFF"/>
          </w:tcPr>
          <w:p>
            <w:pPr>
              <w:jc w:val="right"/>
              <w:ind w:right="660"/>
              <w:spacing w:after="0" w:line="201" w:lineRule="exact"/>
              <w:rPr>
                <w:sz w:val="20"/>
                <w:szCs w:val="20"/>
                <w:color w:val="auto"/>
              </w:rPr>
            </w:pPr>
            <w:r>
              <w:rPr>
                <w:rFonts w:ascii="Arial" w:cs="Arial" w:eastAsia="Arial" w:hAnsi="Arial"/>
                <w:sz w:val="18"/>
                <w:szCs w:val="18"/>
                <w:color w:val="auto"/>
                <w:w w:val="95"/>
              </w:rPr>
              <w:t>179,234</w:t>
            </w:r>
          </w:p>
        </w:tc>
        <w:tc>
          <w:tcPr>
            <w:tcW w:w="1220" w:type="dxa"/>
            <w:vAlign w:val="bottom"/>
            <w:gridSpan w:val="2"/>
            <w:shd w:val="clear" w:color="auto" w:fill="CCEEFF"/>
          </w:tcPr>
          <w:p>
            <w:pPr>
              <w:ind w:left="280"/>
              <w:spacing w:after="0" w:line="201" w:lineRule="exact"/>
              <w:rPr>
                <w:sz w:val="20"/>
                <w:szCs w:val="20"/>
                <w:color w:val="auto"/>
              </w:rPr>
            </w:pPr>
            <w:r>
              <w:rPr>
                <w:rFonts w:ascii="Arial" w:cs="Arial" w:eastAsia="Arial" w:hAnsi="Arial"/>
                <w:sz w:val="18"/>
                <w:szCs w:val="18"/>
                <w:color w:val="auto"/>
              </w:rPr>
              <w:t>—</w:t>
            </w:r>
          </w:p>
        </w:tc>
        <w:tc>
          <w:tcPr>
            <w:tcW w:w="2640" w:type="dxa"/>
            <w:vAlign w:val="bottom"/>
            <w:gridSpan w:val="2"/>
            <w:shd w:val="clear" w:color="auto" w:fill="CCEEFF"/>
          </w:tcPr>
          <w:p>
            <w:pPr>
              <w:jc w:val="center"/>
              <w:ind w:right="600"/>
              <w:spacing w:after="0" w:line="201" w:lineRule="exact"/>
              <w:rPr>
                <w:sz w:val="20"/>
                <w:szCs w:val="20"/>
                <w:color w:val="auto"/>
              </w:rPr>
            </w:pPr>
            <w:r>
              <w:rPr>
                <w:rFonts w:ascii="Arial" w:cs="Arial" w:eastAsia="Arial" w:hAnsi="Arial"/>
                <w:sz w:val="18"/>
                <w:szCs w:val="18"/>
                <w:color w:val="auto"/>
                <w:w w:val="89"/>
              </w:rPr>
              <w:t>101.5% of average</w:t>
            </w:r>
          </w:p>
        </w:tc>
        <w:tc>
          <w:tcPr>
            <w:tcW w:w="74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02/2022</w:t>
            </w: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jc w:val="center"/>
              <w:ind w:right="600"/>
              <w:spacing w:after="0"/>
              <w:rPr>
                <w:sz w:val="20"/>
                <w:szCs w:val="20"/>
                <w:color w:val="auto"/>
              </w:rPr>
            </w:pPr>
            <w:r>
              <w:rPr>
                <w:rFonts w:ascii="Arial" w:cs="Arial" w:eastAsia="Arial" w:hAnsi="Arial"/>
                <w:sz w:val="18"/>
                <w:szCs w:val="18"/>
                <w:color w:val="auto"/>
                <w:w w:val="90"/>
              </w:rPr>
              <w:t>Baltic Capesize 5TC</w:t>
            </w: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640" w:type="dxa"/>
            <w:vAlign w:val="bottom"/>
            <w:gridSpan w:val="2"/>
            <w:shd w:val="clear" w:color="auto" w:fill="CCEEFF"/>
          </w:tcPr>
          <w:p>
            <w:pPr>
              <w:jc w:val="center"/>
              <w:ind w:right="600"/>
              <w:spacing w:after="0"/>
              <w:rPr>
                <w:sz w:val="20"/>
                <w:szCs w:val="20"/>
                <w:color w:val="auto"/>
              </w:rPr>
            </w:pPr>
            <w:r>
              <w:rPr>
                <w:rFonts w:ascii="Arial" w:cs="Arial" w:eastAsia="Arial" w:hAnsi="Arial"/>
                <w:sz w:val="18"/>
                <w:szCs w:val="18"/>
                <w:color w:val="auto"/>
                <w:w w:val="90"/>
              </w:rPr>
              <w:t>Index Routes</w:t>
            </w:r>
          </w:p>
        </w:tc>
        <w:tc>
          <w:tcPr>
            <w:tcW w:w="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80" w:type="dxa"/>
            <w:vAlign w:val="bottom"/>
            <w:gridSpan w:val="2"/>
          </w:tcPr>
          <w:p>
            <w:pPr>
              <w:spacing w:after="0" w:line="201" w:lineRule="exact"/>
              <w:rPr>
                <w:sz w:val="20"/>
                <w:szCs w:val="20"/>
                <w:color w:val="auto"/>
              </w:rPr>
            </w:pPr>
            <w:r>
              <w:rPr>
                <w:rFonts w:ascii="Arial" w:cs="Arial" w:eastAsia="Arial" w:hAnsi="Arial"/>
                <w:sz w:val="18"/>
                <w:szCs w:val="18"/>
                <w:color w:val="auto"/>
              </w:rPr>
              <w:t>Navios Bonheur</w:t>
            </w:r>
          </w:p>
        </w:tc>
        <w:tc>
          <w:tcPr>
            <w:tcW w:w="580" w:type="dxa"/>
            <w:vAlign w:val="bottom"/>
          </w:tcPr>
          <w:p>
            <w:pPr>
              <w:spacing w:after="0"/>
              <w:rPr>
                <w:sz w:val="17"/>
                <w:szCs w:val="17"/>
                <w:color w:val="auto"/>
              </w:rPr>
            </w:pPr>
          </w:p>
        </w:tc>
        <w:tc>
          <w:tcPr>
            <w:tcW w:w="1380" w:type="dxa"/>
            <w:vAlign w:val="bottom"/>
            <w:gridSpan w:val="2"/>
          </w:tcPr>
          <w:p>
            <w:pPr>
              <w:ind w:left="60"/>
              <w:spacing w:after="0" w:line="201" w:lineRule="exact"/>
              <w:rPr>
                <w:sz w:val="20"/>
                <w:szCs w:val="20"/>
                <w:color w:val="auto"/>
              </w:rPr>
            </w:pPr>
            <w:r>
              <w:rPr>
                <w:rFonts w:ascii="Arial" w:cs="Arial" w:eastAsia="Arial" w:hAnsi="Arial"/>
                <w:sz w:val="18"/>
                <w:szCs w:val="18"/>
                <w:color w:val="auto"/>
              </w:rPr>
              <w:t>Capesize</w:t>
            </w:r>
          </w:p>
        </w:tc>
        <w:tc>
          <w:tcPr>
            <w:tcW w:w="1080" w:type="dxa"/>
            <w:vAlign w:val="bottom"/>
            <w:gridSpan w:val="2"/>
          </w:tcPr>
          <w:p>
            <w:pPr>
              <w:ind w:left="60"/>
              <w:spacing w:after="0" w:line="201" w:lineRule="exact"/>
              <w:rPr>
                <w:sz w:val="20"/>
                <w:szCs w:val="20"/>
                <w:color w:val="auto"/>
              </w:rPr>
            </w:pPr>
            <w:r>
              <w:rPr>
                <w:rFonts w:ascii="Arial" w:cs="Arial" w:eastAsia="Arial" w:hAnsi="Arial"/>
                <w:sz w:val="18"/>
                <w:szCs w:val="18"/>
                <w:color w:val="auto"/>
              </w:rPr>
              <w:t>2010</w:t>
            </w:r>
          </w:p>
        </w:tc>
        <w:tc>
          <w:tcPr>
            <w:tcW w:w="1300" w:type="dxa"/>
            <w:vAlign w:val="bottom"/>
            <w:gridSpan w:val="2"/>
          </w:tcPr>
          <w:p>
            <w:pPr>
              <w:jc w:val="right"/>
              <w:ind w:right="660"/>
              <w:spacing w:after="0" w:line="201" w:lineRule="exact"/>
              <w:rPr>
                <w:sz w:val="20"/>
                <w:szCs w:val="20"/>
                <w:color w:val="auto"/>
              </w:rPr>
            </w:pPr>
            <w:r>
              <w:rPr>
                <w:rFonts w:ascii="Arial" w:cs="Arial" w:eastAsia="Arial" w:hAnsi="Arial"/>
                <w:sz w:val="18"/>
                <w:szCs w:val="18"/>
                <w:color w:val="auto"/>
                <w:w w:val="95"/>
              </w:rPr>
              <w:t>179,259</w:t>
            </w:r>
          </w:p>
        </w:tc>
        <w:tc>
          <w:tcPr>
            <w:tcW w:w="1220" w:type="dxa"/>
            <w:vAlign w:val="bottom"/>
            <w:gridSpan w:val="2"/>
          </w:tcPr>
          <w:p>
            <w:pPr>
              <w:ind w:left="280"/>
              <w:spacing w:after="0" w:line="201" w:lineRule="exact"/>
              <w:rPr>
                <w:sz w:val="20"/>
                <w:szCs w:val="20"/>
                <w:color w:val="auto"/>
              </w:rPr>
            </w:pPr>
            <w:r>
              <w:rPr>
                <w:rFonts w:ascii="Arial" w:cs="Arial" w:eastAsia="Arial" w:hAnsi="Arial"/>
                <w:sz w:val="18"/>
                <w:szCs w:val="18"/>
                <w:color w:val="auto"/>
              </w:rPr>
              <w:t>—</w:t>
            </w:r>
          </w:p>
        </w:tc>
        <w:tc>
          <w:tcPr>
            <w:tcW w:w="2640" w:type="dxa"/>
            <w:vAlign w:val="bottom"/>
            <w:gridSpan w:val="2"/>
          </w:tcPr>
          <w:p>
            <w:pPr>
              <w:jc w:val="center"/>
              <w:ind w:right="600"/>
              <w:spacing w:after="0" w:line="201" w:lineRule="exact"/>
              <w:rPr>
                <w:sz w:val="20"/>
                <w:szCs w:val="20"/>
                <w:color w:val="auto"/>
              </w:rPr>
            </w:pPr>
            <w:r>
              <w:rPr>
                <w:rFonts w:ascii="Arial" w:cs="Arial" w:eastAsia="Arial" w:hAnsi="Arial"/>
                <w:sz w:val="18"/>
                <w:szCs w:val="18"/>
                <w:color w:val="auto"/>
                <w:w w:val="89"/>
              </w:rPr>
              <w:t>100.5% of average</w:t>
            </w:r>
          </w:p>
        </w:tc>
        <w:tc>
          <w:tcPr>
            <w:tcW w:w="74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12/2021</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40" w:type="dxa"/>
            <w:vAlign w:val="bottom"/>
            <w:gridSpan w:val="2"/>
          </w:tcPr>
          <w:p>
            <w:pPr>
              <w:jc w:val="center"/>
              <w:ind w:right="600"/>
              <w:spacing w:after="0"/>
              <w:rPr>
                <w:sz w:val="20"/>
                <w:szCs w:val="20"/>
                <w:color w:val="auto"/>
              </w:rPr>
            </w:pPr>
            <w:r>
              <w:rPr>
                <w:rFonts w:ascii="Arial" w:cs="Arial" w:eastAsia="Arial" w:hAnsi="Arial"/>
                <w:sz w:val="18"/>
                <w:szCs w:val="18"/>
                <w:color w:val="auto"/>
                <w:w w:val="90"/>
              </w:rPr>
              <w:t>Baltic Capesize 5TC</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40" w:type="dxa"/>
            <w:vAlign w:val="bottom"/>
            <w:gridSpan w:val="2"/>
          </w:tcPr>
          <w:p>
            <w:pPr>
              <w:jc w:val="center"/>
              <w:ind w:right="600"/>
              <w:spacing w:after="0"/>
              <w:rPr>
                <w:sz w:val="20"/>
                <w:szCs w:val="20"/>
                <w:color w:val="auto"/>
              </w:rPr>
            </w:pPr>
            <w:r>
              <w:rPr>
                <w:rFonts w:ascii="Arial" w:cs="Arial" w:eastAsia="Arial" w:hAnsi="Arial"/>
                <w:sz w:val="18"/>
                <w:szCs w:val="18"/>
                <w:color w:val="auto"/>
                <w:w w:val="90"/>
              </w:rPr>
              <w:t>Index Routes</w:t>
            </w: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Navios Altamira</w:t>
            </w:r>
          </w:p>
        </w:tc>
        <w:tc>
          <w:tcPr>
            <w:tcW w:w="5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Capesize</w:t>
            </w:r>
          </w:p>
        </w:tc>
        <w:tc>
          <w:tcPr>
            <w:tcW w:w="108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2011</w:t>
            </w:r>
          </w:p>
        </w:tc>
        <w:tc>
          <w:tcPr>
            <w:tcW w:w="1300" w:type="dxa"/>
            <w:vAlign w:val="bottom"/>
            <w:gridSpan w:val="2"/>
            <w:shd w:val="clear" w:color="auto" w:fill="CCEEFF"/>
          </w:tcPr>
          <w:p>
            <w:pPr>
              <w:jc w:val="right"/>
              <w:ind w:right="660"/>
              <w:spacing w:after="0" w:line="201" w:lineRule="exact"/>
              <w:rPr>
                <w:sz w:val="20"/>
                <w:szCs w:val="20"/>
                <w:color w:val="auto"/>
              </w:rPr>
            </w:pPr>
            <w:r>
              <w:rPr>
                <w:rFonts w:ascii="Arial" w:cs="Arial" w:eastAsia="Arial" w:hAnsi="Arial"/>
                <w:sz w:val="18"/>
                <w:szCs w:val="18"/>
                <w:color w:val="auto"/>
                <w:w w:val="95"/>
              </w:rPr>
              <w:t>179,165</w:t>
            </w:r>
          </w:p>
        </w:tc>
        <w:tc>
          <w:tcPr>
            <w:tcW w:w="1220" w:type="dxa"/>
            <w:vAlign w:val="bottom"/>
            <w:gridSpan w:val="2"/>
            <w:shd w:val="clear" w:color="auto" w:fill="CCEEFF"/>
          </w:tcPr>
          <w:p>
            <w:pPr>
              <w:ind w:left="280"/>
              <w:spacing w:after="0" w:line="201" w:lineRule="exact"/>
              <w:rPr>
                <w:sz w:val="20"/>
                <w:szCs w:val="20"/>
                <w:color w:val="auto"/>
              </w:rPr>
            </w:pPr>
            <w:r>
              <w:rPr>
                <w:rFonts w:ascii="Arial" w:cs="Arial" w:eastAsia="Arial" w:hAnsi="Arial"/>
                <w:sz w:val="18"/>
                <w:szCs w:val="18"/>
                <w:color w:val="auto"/>
              </w:rPr>
              <w:t>—</w:t>
            </w:r>
          </w:p>
        </w:tc>
        <w:tc>
          <w:tcPr>
            <w:tcW w:w="2640" w:type="dxa"/>
            <w:vAlign w:val="bottom"/>
            <w:gridSpan w:val="2"/>
            <w:shd w:val="clear" w:color="auto" w:fill="CCEEFF"/>
          </w:tcPr>
          <w:p>
            <w:pPr>
              <w:jc w:val="center"/>
              <w:ind w:right="580"/>
              <w:spacing w:after="0" w:line="201" w:lineRule="exact"/>
              <w:rPr>
                <w:sz w:val="20"/>
                <w:szCs w:val="20"/>
                <w:color w:val="auto"/>
              </w:rPr>
            </w:pPr>
            <w:r>
              <w:rPr>
                <w:rFonts w:ascii="Arial" w:cs="Arial" w:eastAsia="Arial" w:hAnsi="Arial"/>
                <w:sz w:val="18"/>
                <w:szCs w:val="18"/>
                <w:color w:val="auto"/>
                <w:w w:val="91"/>
              </w:rPr>
              <w:t>100% of average Baltic</w:t>
            </w:r>
          </w:p>
        </w:tc>
        <w:tc>
          <w:tcPr>
            <w:tcW w:w="74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05/2021</w:t>
            </w: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jc w:val="center"/>
              <w:ind w:right="600"/>
              <w:spacing w:after="0"/>
              <w:rPr>
                <w:sz w:val="20"/>
                <w:szCs w:val="20"/>
                <w:color w:val="auto"/>
              </w:rPr>
            </w:pPr>
            <w:r>
              <w:rPr>
                <w:rFonts w:ascii="Arial" w:cs="Arial" w:eastAsia="Arial" w:hAnsi="Arial"/>
                <w:sz w:val="18"/>
                <w:szCs w:val="18"/>
                <w:color w:val="auto"/>
                <w:w w:val="90"/>
              </w:rPr>
              <w:t>Capesize 5TC Index</w:t>
            </w: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640" w:type="dxa"/>
            <w:vAlign w:val="bottom"/>
            <w:gridSpan w:val="2"/>
            <w:shd w:val="clear" w:color="auto" w:fill="CCEEFF"/>
          </w:tcPr>
          <w:p>
            <w:pPr>
              <w:jc w:val="center"/>
              <w:ind w:right="580"/>
              <w:spacing w:after="0"/>
              <w:rPr>
                <w:sz w:val="20"/>
                <w:szCs w:val="20"/>
                <w:color w:val="auto"/>
              </w:rPr>
            </w:pPr>
            <w:r>
              <w:rPr>
                <w:rFonts w:ascii="Arial" w:cs="Arial" w:eastAsia="Arial" w:hAnsi="Arial"/>
                <w:sz w:val="18"/>
                <w:szCs w:val="18"/>
                <w:color w:val="auto"/>
                <w:w w:val="87"/>
              </w:rPr>
              <w:t>Routes</w:t>
            </w:r>
          </w:p>
        </w:tc>
        <w:tc>
          <w:tcPr>
            <w:tcW w:w="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80" w:type="dxa"/>
            <w:vAlign w:val="bottom"/>
            <w:gridSpan w:val="2"/>
          </w:tcPr>
          <w:p>
            <w:pPr>
              <w:spacing w:after="0" w:line="201" w:lineRule="exact"/>
              <w:rPr>
                <w:sz w:val="20"/>
                <w:szCs w:val="20"/>
                <w:color w:val="auto"/>
              </w:rPr>
            </w:pPr>
            <w:r>
              <w:rPr>
                <w:rFonts w:ascii="Arial" w:cs="Arial" w:eastAsia="Arial" w:hAnsi="Arial"/>
                <w:sz w:val="18"/>
                <w:szCs w:val="18"/>
                <w:color w:val="auto"/>
              </w:rPr>
              <w:t>Navios Azimuth</w:t>
            </w:r>
          </w:p>
        </w:tc>
        <w:tc>
          <w:tcPr>
            <w:tcW w:w="580" w:type="dxa"/>
            <w:vAlign w:val="bottom"/>
          </w:tcPr>
          <w:p>
            <w:pPr>
              <w:spacing w:after="0"/>
              <w:rPr>
                <w:sz w:val="17"/>
                <w:szCs w:val="17"/>
                <w:color w:val="auto"/>
              </w:rPr>
            </w:pPr>
          </w:p>
        </w:tc>
        <w:tc>
          <w:tcPr>
            <w:tcW w:w="1380" w:type="dxa"/>
            <w:vAlign w:val="bottom"/>
            <w:gridSpan w:val="2"/>
          </w:tcPr>
          <w:p>
            <w:pPr>
              <w:ind w:left="60"/>
              <w:spacing w:after="0" w:line="201" w:lineRule="exact"/>
              <w:rPr>
                <w:sz w:val="20"/>
                <w:szCs w:val="20"/>
                <w:color w:val="auto"/>
              </w:rPr>
            </w:pPr>
            <w:r>
              <w:rPr>
                <w:rFonts w:ascii="Arial" w:cs="Arial" w:eastAsia="Arial" w:hAnsi="Arial"/>
                <w:sz w:val="18"/>
                <w:szCs w:val="18"/>
                <w:color w:val="auto"/>
              </w:rPr>
              <w:t>Capesize</w:t>
            </w:r>
          </w:p>
        </w:tc>
        <w:tc>
          <w:tcPr>
            <w:tcW w:w="1080" w:type="dxa"/>
            <w:vAlign w:val="bottom"/>
            <w:gridSpan w:val="2"/>
          </w:tcPr>
          <w:p>
            <w:pPr>
              <w:ind w:left="60"/>
              <w:spacing w:after="0" w:line="201" w:lineRule="exact"/>
              <w:rPr>
                <w:sz w:val="20"/>
                <w:szCs w:val="20"/>
                <w:color w:val="auto"/>
              </w:rPr>
            </w:pPr>
            <w:r>
              <w:rPr>
                <w:rFonts w:ascii="Arial" w:cs="Arial" w:eastAsia="Arial" w:hAnsi="Arial"/>
                <w:sz w:val="18"/>
                <w:szCs w:val="18"/>
                <w:color w:val="auto"/>
              </w:rPr>
              <w:t>2011</w:t>
            </w:r>
          </w:p>
        </w:tc>
        <w:tc>
          <w:tcPr>
            <w:tcW w:w="1300" w:type="dxa"/>
            <w:vAlign w:val="bottom"/>
            <w:gridSpan w:val="2"/>
          </w:tcPr>
          <w:p>
            <w:pPr>
              <w:jc w:val="right"/>
              <w:ind w:right="660"/>
              <w:spacing w:after="0" w:line="201" w:lineRule="exact"/>
              <w:rPr>
                <w:sz w:val="20"/>
                <w:szCs w:val="20"/>
                <w:color w:val="auto"/>
              </w:rPr>
            </w:pPr>
            <w:r>
              <w:rPr>
                <w:rFonts w:ascii="Arial" w:cs="Arial" w:eastAsia="Arial" w:hAnsi="Arial"/>
                <w:sz w:val="18"/>
                <w:szCs w:val="18"/>
                <w:color w:val="auto"/>
                <w:w w:val="95"/>
              </w:rPr>
              <w:t>179,169</w:t>
            </w:r>
          </w:p>
        </w:tc>
        <w:tc>
          <w:tcPr>
            <w:tcW w:w="1220" w:type="dxa"/>
            <w:vAlign w:val="bottom"/>
            <w:gridSpan w:val="2"/>
          </w:tcPr>
          <w:p>
            <w:pPr>
              <w:ind w:left="280"/>
              <w:spacing w:after="0" w:line="201" w:lineRule="exact"/>
              <w:rPr>
                <w:sz w:val="20"/>
                <w:szCs w:val="20"/>
                <w:color w:val="auto"/>
              </w:rPr>
            </w:pPr>
            <w:r>
              <w:rPr>
                <w:rFonts w:ascii="Arial" w:cs="Arial" w:eastAsia="Arial" w:hAnsi="Arial"/>
                <w:sz w:val="18"/>
                <w:szCs w:val="18"/>
                <w:color w:val="auto"/>
              </w:rPr>
              <w:t>—</w:t>
            </w:r>
          </w:p>
        </w:tc>
        <w:tc>
          <w:tcPr>
            <w:tcW w:w="2640" w:type="dxa"/>
            <w:vAlign w:val="bottom"/>
            <w:gridSpan w:val="2"/>
          </w:tcPr>
          <w:p>
            <w:pPr>
              <w:jc w:val="center"/>
              <w:ind w:right="580"/>
              <w:spacing w:after="0" w:line="201" w:lineRule="exact"/>
              <w:rPr>
                <w:sz w:val="20"/>
                <w:szCs w:val="20"/>
                <w:color w:val="auto"/>
              </w:rPr>
            </w:pPr>
            <w:r>
              <w:rPr>
                <w:rFonts w:ascii="Arial" w:cs="Arial" w:eastAsia="Arial" w:hAnsi="Arial"/>
                <w:sz w:val="18"/>
                <w:szCs w:val="18"/>
                <w:color w:val="auto"/>
                <w:w w:val="89"/>
              </w:rPr>
              <w:t>102% of average</w:t>
            </w:r>
          </w:p>
        </w:tc>
        <w:tc>
          <w:tcPr>
            <w:tcW w:w="74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01/2022</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40" w:type="dxa"/>
            <w:vAlign w:val="bottom"/>
            <w:gridSpan w:val="2"/>
          </w:tcPr>
          <w:p>
            <w:pPr>
              <w:jc w:val="center"/>
              <w:ind w:right="580"/>
              <w:spacing w:after="0"/>
              <w:rPr>
                <w:sz w:val="20"/>
                <w:szCs w:val="20"/>
                <w:color w:val="auto"/>
              </w:rPr>
            </w:pPr>
            <w:r>
              <w:rPr>
                <w:rFonts w:ascii="Arial" w:cs="Arial" w:eastAsia="Arial" w:hAnsi="Arial"/>
                <w:sz w:val="18"/>
                <w:szCs w:val="18"/>
                <w:color w:val="auto"/>
                <w:w w:val="91"/>
              </w:rPr>
              <w:t>Baltic Capesize 5TC Index</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40" w:type="dxa"/>
            <w:vAlign w:val="bottom"/>
            <w:gridSpan w:val="2"/>
          </w:tcPr>
          <w:p>
            <w:pPr>
              <w:jc w:val="center"/>
              <w:ind w:right="580"/>
              <w:spacing w:after="0"/>
              <w:rPr>
                <w:sz w:val="20"/>
                <w:szCs w:val="20"/>
                <w:color w:val="auto"/>
              </w:rPr>
            </w:pPr>
            <w:r>
              <w:rPr>
                <w:rFonts w:ascii="Arial" w:cs="Arial" w:eastAsia="Arial" w:hAnsi="Arial"/>
                <w:sz w:val="18"/>
                <w:szCs w:val="18"/>
                <w:color w:val="auto"/>
                <w:w w:val="87"/>
              </w:rPr>
              <w:t>Routes</w:t>
            </w: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Navios Ray</w:t>
            </w:r>
          </w:p>
        </w:tc>
        <w:tc>
          <w:tcPr>
            <w:tcW w:w="5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Capesize</w:t>
            </w:r>
          </w:p>
        </w:tc>
        <w:tc>
          <w:tcPr>
            <w:tcW w:w="108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2012</w:t>
            </w:r>
          </w:p>
        </w:tc>
        <w:tc>
          <w:tcPr>
            <w:tcW w:w="1300" w:type="dxa"/>
            <w:vAlign w:val="bottom"/>
            <w:gridSpan w:val="2"/>
            <w:shd w:val="clear" w:color="auto" w:fill="CCEEFF"/>
          </w:tcPr>
          <w:p>
            <w:pPr>
              <w:jc w:val="right"/>
              <w:ind w:right="660"/>
              <w:spacing w:after="0" w:line="201" w:lineRule="exact"/>
              <w:rPr>
                <w:sz w:val="20"/>
                <w:szCs w:val="20"/>
                <w:color w:val="auto"/>
              </w:rPr>
            </w:pPr>
            <w:r>
              <w:rPr>
                <w:rFonts w:ascii="Arial" w:cs="Arial" w:eastAsia="Arial" w:hAnsi="Arial"/>
                <w:sz w:val="18"/>
                <w:szCs w:val="18"/>
                <w:color w:val="auto"/>
                <w:w w:val="95"/>
              </w:rPr>
              <w:t>179,515</w:t>
            </w:r>
          </w:p>
        </w:tc>
        <w:tc>
          <w:tcPr>
            <w:tcW w:w="1220" w:type="dxa"/>
            <w:vAlign w:val="bottom"/>
            <w:gridSpan w:val="2"/>
            <w:shd w:val="clear" w:color="auto" w:fill="CCEEFF"/>
          </w:tcPr>
          <w:p>
            <w:pPr>
              <w:ind w:left="280"/>
              <w:spacing w:after="0" w:line="201" w:lineRule="exact"/>
              <w:rPr>
                <w:sz w:val="20"/>
                <w:szCs w:val="20"/>
                <w:color w:val="auto"/>
              </w:rPr>
            </w:pPr>
            <w:r>
              <w:rPr>
                <w:rFonts w:ascii="Arial" w:cs="Arial" w:eastAsia="Arial" w:hAnsi="Arial"/>
                <w:sz w:val="18"/>
                <w:szCs w:val="18"/>
                <w:color w:val="auto"/>
              </w:rPr>
              <w:t>—</w:t>
            </w:r>
          </w:p>
        </w:tc>
        <w:tc>
          <w:tcPr>
            <w:tcW w:w="2640" w:type="dxa"/>
            <w:vAlign w:val="bottom"/>
            <w:gridSpan w:val="2"/>
            <w:shd w:val="clear" w:color="auto" w:fill="CCEEFF"/>
          </w:tcPr>
          <w:p>
            <w:pPr>
              <w:jc w:val="center"/>
              <w:ind w:right="580"/>
              <w:spacing w:after="0" w:line="201" w:lineRule="exact"/>
              <w:rPr>
                <w:sz w:val="20"/>
                <w:szCs w:val="20"/>
                <w:color w:val="auto"/>
              </w:rPr>
            </w:pPr>
            <w:r>
              <w:rPr>
                <w:rFonts w:ascii="Arial" w:cs="Arial" w:eastAsia="Arial" w:hAnsi="Arial"/>
                <w:sz w:val="18"/>
                <w:szCs w:val="18"/>
                <w:color w:val="auto"/>
                <w:w w:val="91"/>
              </w:rPr>
              <w:t>102% of average Baltic</w:t>
            </w:r>
          </w:p>
        </w:tc>
        <w:tc>
          <w:tcPr>
            <w:tcW w:w="74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12/2021</w:t>
            </w: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jc w:val="center"/>
              <w:ind w:right="600"/>
              <w:spacing w:after="0"/>
              <w:rPr>
                <w:sz w:val="20"/>
                <w:szCs w:val="20"/>
                <w:color w:val="auto"/>
              </w:rPr>
            </w:pPr>
            <w:r>
              <w:rPr>
                <w:rFonts w:ascii="Arial" w:cs="Arial" w:eastAsia="Arial" w:hAnsi="Arial"/>
                <w:sz w:val="18"/>
                <w:szCs w:val="18"/>
                <w:color w:val="auto"/>
                <w:w w:val="90"/>
              </w:rPr>
              <w:t>Capesize 5TC Index</w:t>
            </w: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640" w:type="dxa"/>
            <w:vAlign w:val="bottom"/>
            <w:gridSpan w:val="2"/>
            <w:shd w:val="clear" w:color="auto" w:fill="CCEEFF"/>
          </w:tcPr>
          <w:p>
            <w:pPr>
              <w:jc w:val="center"/>
              <w:ind w:right="580"/>
              <w:spacing w:after="0"/>
              <w:rPr>
                <w:sz w:val="20"/>
                <w:szCs w:val="20"/>
                <w:color w:val="auto"/>
              </w:rPr>
            </w:pPr>
            <w:r>
              <w:rPr>
                <w:rFonts w:ascii="Arial" w:cs="Arial" w:eastAsia="Arial" w:hAnsi="Arial"/>
                <w:sz w:val="18"/>
                <w:szCs w:val="18"/>
                <w:color w:val="auto"/>
                <w:w w:val="87"/>
              </w:rPr>
              <w:t>Routes</w:t>
            </w:r>
          </w:p>
        </w:tc>
        <w:tc>
          <w:tcPr>
            <w:tcW w:w="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Navios Canary</w:t>
            </w:r>
          </w:p>
        </w:tc>
        <w:tc>
          <w:tcPr>
            <w:tcW w:w="5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Capesize</w:t>
            </w:r>
          </w:p>
        </w:tc>
        <w:tc>
          <w:tcPr>
            <w:tcW w:w="108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2015</w:t>
            </w:r>
          </w:p>
        </w:tc>
        <w:tc>
          <w:tcPr>
            <w:tcW w:w="1300" w:type="dxa"/>
            <w:vAlign w:val="bottom"/>
            <w:gridSpan w:val="2"/>
            <w:shd w:val="clear" w:color="auto" w:fill="CCEEFF"/>
          </w:tcPr>
          <w:p>
            <w:pPr>
              <w:jc w:val="right"/>
              <w:ind w:right="660"/>
              <w:spacing w:after="0" w:line="201" w:lineRule="exact"/>
              <w:rPr>
                <w:sz w:val="20"/>
                <w:szCs w:val="20"/>
                <w:color w:val="auto"/>
              </w:rPr>
            </w:pPr>
            <w:r>
              <w:rPr>
                <w:rFonts w:ascii="Arial" w:cs="Arial" w:eastAsia="Arial" w:hAnsi="Arial"/>
                <w:sz w:val="18"/>
                <w:szCs w:val="18"/>
                <w:color w:val="auto"/>
                <w:w w:val="95"/>
              </w:rPr>
              <w:t>180,528</w:t>
            </w:r>
          </w:p>
        </w:tc>
        <w:tc>
          <w:tcPr>
            <w:tcW w:w="1220" w:type="dxa"/>
            <w:vAlign w:val="bottom"/>
            <w:gridSpan w:val="2"/>
            <w:shd w:val="clear" w:color="auto" w:fill="CCEEFF"/>
          </w:tcPr>
          <w:p>
            <w:pPr>
              <w:ind w:left="280"/>
              <w:spacing w:after="0" w:line="201" w:lineRule="exact"/>
              <w:rPr>
                <w:sz w:val="20"/>
                <w:szCs w:val="20"/>
                <w:color w:val="auto"/>
              </w:rPr>
            </w:pPr>
            <w:r>
              <w:rPr>
                <w:rFonts w:ascii="Arial" w:cs="Arial" w:eastAsia="Arial" w:hAnsi="Arial"/>
                <w:sz w:val="18"/>
                <w:szCs w:val="18"/>
                <w:color w:val="auto"/>
              </w:rPr>
              <w:t>—</w:t>
            </w:r>
          </w:p>
        </w:tc>
        <w:tc>
          <w:tcPr>
            <w:tcW w:w="2640" w:type="dxa"/>
            <w:vAlign w:val="bottom"/>
            <w:gridSpan w:val="2"/>
            <w:shd w:val="clear" w:color="auto" w:fill="CCEEFF"/>
          </w:tcPr>
          <w:p>
            <w:pPr>
              <w:jc w:val="center"/>
              <w:ind w:right="600"/>
              <w:spacing w:after="0" w:line="201" w:lineRule="exact"/>
              <w:rPr>
                <w:sz w:val="20"/>
                <w:szCs w:val="20"/>
                <w:color w:val="auto"/>
              </w:rPr>
            </w:pPr>
            <w:r>
              <w:rPr>
                <w:rFonts w:ascii="Arial" w:cs="Arial" w:eastAsia="Arial" w:hAnsi="Arial"/>
                <w:sz w:val="18"/>
                <w:szCs w:val="18"/>
                <w:color w:val="auto"/>
                <w:w w:val="90"/>
              </w:rPr>
              <w:t>119% of average Baltic</w:t>
            </w:r>
          </w:p>
        </w:tc>
        <w:tc>
          <w:tcPr>
            <w:tcW w:w="74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12/2022</w:t>
            </w: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jc w:val="center"/>
              <w:ind w:right="600"/>
              <w:spacing w:after="0"/>
              <w:rPr>
                <w:sz w:val="20"/>
                <w:szCs w:val="20"/>
                <w:color w:val="auto"/>
              </w:rPr>
            </w:pPr>
            <w:r>
              <w:rPr>
                <w:rFonts w:ascii="Arial" w:cs="Arial" w:eastAsia="Arial" w:hAnsi="Arial"/>
                <w:sz w:val="18"/>
                <w:szCs w:val="18"/>
                <w:color w:val="auto"/>
                <w:w w:val="90"/>
              </w:rPr>
              <w:t>Capesize 5TC Index</w:t>
            </w: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640" w:type="dxa"/>
            <w:vAlign w:val="bottom"/>
            <w:gridSpan w:val="2"/>
            <w:shd w:val="clear" w:color="auto" w:fill="CCEEFF"/>
          </w:tcPr>
          <w:p>
            <w:pPr>
              <w:jc w:val="center"/>
              <w:ind w:right="580"/>
              <w:spacing w:after="0"/>
              <w:rPr>
                <w:sz w:val="20"/>
                <w:szCs w:val="20"/>
                <w:color w:val="auto"/>
              </w:rPr>
            </w:pPr>
            <w:r>
              <w:rPr>
                <w:rFonts w:ascii="Arial" w:cs="Arial" w:eastAsia="Arial" w:hAnsi="Arial"/>
                <w:sz w:val="18"/>
                <w:szCs w:val="18"/>
                <w:color w:val="auto"/>
                <w:w w:val="87"/>
              </w:rPr>
              <w:t>Routes</w:t>
            </w:r>
          </w:p>
        </w:tc>
        <w:tc>
          <w:tcPr>
            <w:tcW w:w="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80" w:type="dxa"/>
            <w:vAlign w:val="bottom"/>
            <w:gridSpan w:val="2"/>
          </w:tcPr>
          <w:p>
            <w:pPr>
              <w:spacing w:after="0"/>
              <w:rPr>
                <w:sz w:val="20"/>
                <w:szCs w:val="20"/>
                <w:color w:val="auto"/>
              </w:rPr>
            </w:pPr>
            <w:r>
              <w:rPr>
                <w:rFonts w:ascii="Arial" w:cs="Arial" w:eastAsia="Arial" w:hAnsi="Arial"/>
                <w:sz w:val="18"/>
                <w:szCs w:val="18"/>
                <w:color w:val="auto"/>
              </w:rPr>
              <w:t>Navios Corali</w:t>
            </w:r>
          </w:p>
        </w:tc>
        <w:tc>
          <w:tcPr>
            <w:tcW w:w="580" w:type="dxa"/>
            <w:vAlign w:val="bottom"/>
          </w:tcPr>
          <w:p>
            <w:pPr>
              <w:spacing w:after="0"/>
              <w:rPr>
                <w:sz w:val="20"/>
                <w:szCs w:val="20"/>
                <w:color w:val="auto"/>
              </w:rPr>
            </w:pPr>
          </w:p>
        </w:tc>
        <w:tc>
          <w:tcPr>
            <w:tcW w:w="1380" w:type="dxa"/>
            <w:vAlign w:val="bottom"/>
            <w:gridSpan w:val="2"/>
          </w:tcPr>
          <w:p>
            <w:pPr>
              <w:ind w:left="60"/>
              <w:spacing w:after="0"/>
              <w:rPr>
                <w:sz w:val="20"/>
                <w:szCs w:val="20"/>
                <w:color w:val="auto"/>
              </w:rPr>
            </w:pPr>
            <w:r>
              <w:rPr>
                <w:rFonts w:ascii="Arial" w:cs="Arial" w:eastAsia="Arial" w:hAnsi="Arial"/>
                <w:sz w:val="18"/>
                <w:szCs w:val="18"/>
                <w:color w:val="auto"/>
              </w:rPr>
              <w:t>Capesize</w:t>
            </w:r>
          </w:p>
        </w:tc>
        <w:tc>
          <w:tcPr>
            <w:tcW w:w="1080" w:type="dxa"/>
            <w:vAlign w:val="bottom"/>
            <w:gridSpan w:val="2"/>
          </w:tcPr>
          <w:p>
            <w:pPr>
              <w:ind w:left="60"/>
              <w:spacing w:after="0"/>
              <w:rPr>
                <w:sz w:val="20"/>
                <w:szCs w:val="20"/>
                <w:color w:val="auto"/>
              </w:rPr>
            </w:pPr>
            <w:r>
              <w:rPr>
                <w:rFonts w:ascii="Arial" w:cs="Arial" w:eastAsia="Arial" w:hAnsi="Arial"/>
                <w:sz w:val="18"/>
                <w:szCs w:val="18"/>
                <w:color w:val="auto"/>
              </w:rPr>
              <w:t>2015</w:t>
            </w: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w w:val="95"/>
              </w:rPr>
              <w:t>181,249</w:t>
            </w:r>
          </w:p>
        </w:tc>
        <w:tc>
          <w:tcPr>
            <w:tcW w:w="1220" w:type="dxa"/>
            <w:vAlign w:val="bottom"/>
            <w:gridSpan w:val="2"/>
          </w:tcPr>
          <w:p>
            <w:pPr>
              <w:ind w:left="60"/>
              <w:spacing w:after="0"/>
              <w:rPr>
                <w:sz w:val="20"/>
                <w:szCs w:val="20"/>
                <w:color w:val="auto"/>
              </w:rPr>
            </w:pPr>
            <w:r>
              <w:rPr>
                <w:rFonts w:ascii="Arial" w:cs="Arial" w:eastAsia="Arial" w:hAnsi="Arial"/>
                <w:sz w:val="18"/>
                <w:szCs w:val="18"/>
                <w:color w:val="auto"/>
              </w:rPr>
              <w:t>15,461</w:t>
            </w:r>
          </w:p>
        </w:tc>
        <w:tc>
          <w:tcPr>
            <w:tcW w:w="2640" w:type="dxa"/>
            <w:vAlign w:val="bottom"/>
            <w:gridSpan w:val="2"/>
          </w:tcPr>
          <w:p>
            <w:pPr>
              <w:jc w:val="center"/>
              <w:ind w:right="580"/>
              <w:spacing w:after="0"/>
              <w:rPr>
                <w:sz w:val="20"/>
                <w:szCs w:val="20"/>
                <w:color w:val="auto"/>
              </w:rPr>
            </w:pPr>
            <w:r>
              <w:rPr>
                <w:rFonts w:ascii="Arial" w:cs="Arial" w:eastAsia="Arial" w:hAnsi="Arial"/>
                <w:sz w:val="18"/>
                <w:szCs w:val="18"/>
                <w:color w:val="auto"/>
                <w:w w:val="95"/>
              </w:rPr>
              <w:t>No</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09/2021</w:t>
            </w:r>
          </w:p>
        </w:tc>
        <w:tc>
          <w:tcPr>
            <w:tcW w:w="0" w:type="dxa"/>
            <w:vAlign w:val="bottom"/>
          </w:tcPr>
          <w:p>
            <w:pPr>
              <w:spacing w:after="0"/>
              <w:rPr>
                <w:sz w:val="1"/>
                <w:szCs w:val="1"/>
                <w:color w:val="auto"/>
              </w:rPr>
            </w:pPr>
          </w:p>
        </w:tc>
      </w:tr>
      <w:tr>
        <w:trPr>
          <w:trHeight w:val="350"/>
        </w:trPr>
        <w:tc>
          <w:tcPr>
            <w:tcW w:w="4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jc w:val="right"/>
              <w:ind w:right="72"/>
              <w:spacing w:after="0"/>
              <w:rPr>
                <w:sz w:val="20"/>
                <w:szCs w:val="20"/>
                <w:color w:val="auto"/>
              </w:rPr>
            </w:pPr>
            <w:r>
              <w:rPr>
                <w:rFonts w:ascii="Arial" w:cs="Arial" w:eastAsia="Arial" w:hAnsi="Arial"/>
                <w:sz w:val="18"/>
                <w:szCs w:val="18"/>
                <w:color w:val="auto"/>
              </w:rPr>
              <w:t>92</w:t>
            </w: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Long-term Bareboat chartered-in Fleet in Operation</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Charter-</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88"/>
              </w:rPr>
              <w:t>Purchase</w:t>
            </w:r>
          </w:p>
        </w:tc>
        <w:tc>
          <w:tcPr>
            <w:tcW w:w="2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49"/>
        </w:trPr>
        <w:tc>
          <w:tcPr>
            <w:tcW w:w="3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Vessels</w:t>
            </w:r>
          </w:p>
        </w:tc>
        <w:tc>
          <w:tcPr>
            <w:tcW w:w="108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Type</w:t>
            </w:r>
          </w:p>
        </w:tc>
        <w:tc>
          <w:tcPr>
            <w:tcW w:w="5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Built</w:t>
            </w:r>
          </w:p>
        </w:tc>
        <w:tc>
          <w:tcPr>
            <w:tcW w:w="7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DWT</w:t>
            </w:r>
          </w:p>
        </w:tc>
        <w:tc>
          <w:tcPr>
            <w:tcW w:w="70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out</w:t>
            </w:r>
          </w:p>
        </w:tc>
        <w:tc>
          <w:tcPr>
            <w:tcW w:w="740" w:type="dxa"/>
            <w:vAlign w:val="bottom"/>
            <w:gridSpan w:val="2"/>
            <w:vMerge w:val="continue"/>
          </w:tcPr>
          <w:p>
            <w:pPr>
              <w:spacing w:after="0"/>
              <w:rPr>
                <w:sz w:val="12"/>
                <w:szCs w:val="12"/>
                <w:color w:val="auto"/>
              </w:rPr>
            </w:pPr>
          </w:p>
        </w:tc>
        <w:tc>
          <w:tcPr>
            <w:tcW w:w="26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Index</w:t>
            </w: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820" w:type="dxa"/>
            <w:vAlign w:val="bottom"/>
            <w:gridSpan w:val="2"/>
            <w:vMerge w:val="continue"/>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70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 xml:space="preserve">Rate </w:t>
            </w:r>
            <w:r>
              <w:rPr>
                <w:rFonts w:ascii="Arial" w:cs="Arial" w:eastAsia="Arial" w:hAnsi="Arial"/>
                <w:sz w:val="12"/>
                <w:szCs w:val="12"/>
                <w:b w:val="1"/>
                <w:bCs w:val="1"/>
                <w:color w:val="auto"/>
              </w:rPr>
              <w:t>(1)</w:t>
            </w:r>
          </w:p>
        </w:tc>
        <w:tc>
          <w:tcPr>
            <w:tcW w:w="740" w:type="dxa"/>
            <w:vAlign w:val="bottom"/>
            <w:gridSpan w:val="2"/>
          </w:tcPr>
          <w:p>
            <w:pPr>
              <w:ind w:left="80"/>
              <w:spacing w:after="0" w:line="158" w:lineRule="exact"/>
              <w:rPr>
                <w:sz w:val="20"/>
                <w:szCs w:val="20"/>
                <w:color w:val="auto"/>
              </w:rPr>
            </w:pPr>
            <w:r>
              <w:rPr>
                <w:rFonts w:ascii="Arial" w:cs="Arial" w:eastAsia="Arial" w:hAnsi="Arial"/>
                <w:sz w:val="14"/>
                <w:szCs w:val="14"/>
                <w:b w:val="1"/>
                <w:bCs w:val="1"/>
                <w:color w:val="auto"/>
              </w:rPr>
              <w:t>Option</w:t>
            </w:r>
          </w:p>
        </w:tc>
        <w:tc>
          <w:tcPr>
            <w:tcW w:w="2640" w:type="dxa"/>
            <w:vAlign w:val="bottom"/>
            <w:gridSpan w:val="2"/>
            <w:vMerge w:val="continue"/>
          </w:tcPr>
          <w:p>
            <w:pPr>
              <w:spacing w:after="0"/>
              <w:rPr>
                <w:sz w:val="13"/>
                <w:szCs w:val="13"/>
                <w:color w:val="auto"/>
              </w:rPr>
            </w:pPr>
          </w:p>
        </w:tc>
        <w:tc>
          <w:tcPr>
            <w:tcW w:w="740" w:type="dxa"/>
            <w:vAlign w:val="bottom"/>
            <w:gridSpan w:val="2"/>
          </w:tcPr>
          <w:p>
            <w:pPr>
              <w:ind w:left="100"/>
              <w:spacing w:after="0" w:line="158" w:lineRule="exact"/>
              <w:rPr>
                <w:sz w:val="20"/>
                <w:szCs w:val="20"/>
                <w:color w:val="auto"/>
              </w:rPr>
            </w:pPr>
            <w:r>
              <w:rPr>
                <w:rFonts w:ascii="Arial" w:cs="Arial" w:eastAsia="Arial" w:hAnsi="Arial"/>
                <w:sz w:val="14"/>
                <w:szCs w:val="14"/>
                <w:b w:val="1"/>
                <w:bCs w:val="1"/>
                <w:color w:val="auto"/>
              </w:rPr>
              <w:t xml:space="preserve">Date </w:t>
            </w:r>
            <w:r>
              <w:rPr>
                <w:rFonts w:ascii="Arial" w:cs="Arial" w:eastAsia="Arial" w:hAnsi="Arial"/>
                <w:sz w:val="12"/>
                <w:szCs w:val="12"/>
                <w:b w:val="1"/>
                <w:bCs w:val="1"/>
                <w:color w:val="auto"/>
              </w:rPr>
              <w:t>(2)</w:t>
            </w:r>
          </w:p>
        </w:tc>
        <w:tc>
          <w:tcPr>
            <w:tcW w:w="0" w:type="dxa"/>
            <w:vAlign w:val="bottom"/>
          </w:tcPr>
          <w:p>
            <w:pPr>
              <w:spacing w:after="0"/>
              <w:rPr>
                <w:sz w:val="1"/>
                <w:szCs w:val="1"/>
                <w:color w:val="auto"/>
              </w:rPr>
            </w:pPr>
          </w:p>
        </w:tc>
      </w:tr>
      <w:tr>
        <w:trPr>
          <w:trHeight w:val="20"/>
        </w:trPr>
        <w:tc>
          <w:tcPr>
            <w:tcW w:w="420" w:type="dxa"/>
            <w:vAlign w:val="bottom"/>
            <w:tcBorders>
              <w:bottom w:val="single" w:sz="8" w:color="CCEEFF"/>
            </w:tcBorders>
            <w:shd w:val="clear" w:color="auto" w:fill="000000"/>
          </w:tcPr>
          <w:p>
            <w:pPr>
              <w:spacing w:after="0" w:line="20" w:lineRule="exact"/>
              <w:rPr>
                <w:sz w:val="1"/>
                <w:szCs w:val="1"/>
                <w:color w:val="auto"/>
              </w:rPr>
            </w:pPr>
          </w:p>
        </w:tc>
        <w:tc>
          <w:tcPr>
            <w:tcW w:w="34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8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Navios Herakles I</w:t>
            </w:r>
          </w:p>
        </w:tc>
        <w:tc>
          <w:tcPr>
            <w:tcW w:w="9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Panamax</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w w:val="84"/>
              </w:rPr>
              <w:t>2019</w:t>
            </w: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8"/>
              </w:rPr>
              <w:t>82,036</w:t>
            </w: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w w:val="83"/>
              </w:rPr>
              <w:t>24,063</w:t>
            </w: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Yes</w:t>
            </w:r>
          </w:p>
        </w:tc>
        <w:tc>
          <w:tcPr>
            <w:tcW w:w="160" w:type="dxa"/>
            <w:vAlign w:val="bottom"/>
            <w:shd w:val="clear" w:color="auto" w:fill="CCEEFF"/>
          </w:tcPr>
          <w:p>
            <w:pPr>
              <w:spacing w:after="0"/>
              <w:rPr>
                <w:sz w:val="16"/>
                <w:szCs w:val="16"/>
                <w:color w:val="auto"/>
              </w:rPr>
            </w:pPr>
          </w:p>
        </w:tc>
        <w:tc>
          <w:tcPr>
            <w:tcW w:w="25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5"/>
              </w:rPr>
              <w:t>No</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06/2021</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125% of average</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10/2021</w:t>
            </w: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Baltic Panamax</w:t>
            </w: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20" w:type="dxa"/>
            <w:vAlign w:val="bottom"/>
            <w:shd w:val="clear" w:color="auto" w:fill="CCEEFF"/>
          </w:tcPr>
          <w:p>
            <w:pPr>
              <w:spacing w:after="0"/>
              <w:rPr>
                <w:sz w:val="21"/>
                <w:szCs w:val="21"/>
                <w:color w:val="auto"/>
              </w:rPr>
            </w:pPr>
          </w:p>
        </w:tc>
        <w:tc>
          <w:tcPr>
            <w:tcW w:w="34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Index 4TC Routes</w:t>
            </w:r>
          </w:p>
        </w:tc>
        <w:tc>
          <w:tcPr>
            <w:tcW w:w="6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Navios Uranus</w:t>
            </w: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Panamax</w:t>
            </w:r>
          </w:p>
        </w:tc>
        <w:tc>
          <w:tcPr>
            <w:tcW w:w="580" w:type="dxa"/>
            <w:vAlign w:val="bottom"/>
            <w:gridSpan w:val="2"/>
          </w:tcPr>
          <w:p>
            <w:pPr>
              <w:ind w:left="60"/>
              <w:spacing w:after="0"/>
              <w:rPr>
                <w:sz w:val="20"/>
                <w:szCs w:val="20"/>
                <w:color w:val="auto"/>
              </w:rPr>
            </w:pPr>
            <w:r>
              <w:rPr>
                <w:rFonts w:ascii="Arial" w:cs="Arial" w:eastAsia="Arial" w:hAnsi="Arial"/>
                <w:sz w:val="18"/>
                <w:szCs w:val="18"/>
                <w:color w:val="auto"/>
              </w:rPr>
              <w:t>2019</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81,516</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12,588</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Yes</w:t>
            </w:r>
          </w:p>
        </w:tc>
        <w:tc>
          <w:tcPr>
            <w:tcW w:w="26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No</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11/2021</w:t>
            </w:r>
          </w:p>
        </w:tc>
        <w:tc>
          <w:tcPr>
            <w:tcW w:w="0" w:type="dxa"/>
            <w:vAlign w:val="bottom"/>
          </w:tcPr>
          <w:p>
            <w:pPr>
              <w:spacing w:after="0"/>
              <w:rPr>
                <w:sz w:val="1"/>
                <w:szCs w:val="1"/>
                <w:color w:val="auto"/>
              </w:rPr>
            </w:pPr>
          </w:p>
        </w:tc>
      </w:tr>
      <w:tr>
        <w:trPr>
          <w:trHeight w:val="202"/>
        </w:trPr>
        <w:tc>
          <w:tcPr>
            <w:tcW w:w="38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Navios Galaxy II</w:t>
            </w:r>
          </w:p>
        </w:tc>
        <w:tc>
          <w:tcPr>
            <w:tcW w:w="108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Panamax</w:t>
            </w:r>
          </w:p>
        </w:tc>
        <w:tc>
          <w:tcPr>
            <w:tcW w:w="58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2020</w:t>
            </w:r>
          </w:p>
        </w:tc>
        <w:tc>
          <w:tcPr>
            <w:tcW w:w="72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w w:val="98"/>
              </w:rPr>
              <w:t>81,789</w:t>
            </w:r>
          </w:p>
        </w:tc>
        <w:tc>
          <w:tcPr>
            <w:tcW w:w="70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11,994</w:t>
            </w:r>
          </w:p>
        </w:tc>
        <w:tc>
          <w:tcPr>
            <w:tcW w:w="74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Yes</w:t>
            </w:r>
          </w:p>
        </w:tc>
        <w:tc>
          <w:tcPr>
            <w:tcW w:w="264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5"/>
              </w:rPr>
              <w:t>No</w:t>
            </w:r>
          </w:p>
        </w:tc>
        <w:tc>
          <w:tcPr>
            <w:tcW w:w="74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12/2021</w:t>
            </w: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130.5% of average</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01/2023</w:t>
            </w: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Baltic Panamax</w:t>
            </w: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20" w:type="dxa"/>
            <w:vAlign w:val="bottom"/>
            <w:shd w:val="clear" w:color="auto" w:fill="CCEEFF"/>
          </w:tcPr>
          <w:p>
            <w:pPr>
              <w:spacing w:after="0"/>
              <w:rPr>
                <w:sz w:val="21"/>
                <w:szCs w:val="21"/>
                <w:color w:val="auto"/>
              </w:rPr>
            </w:pPr>
          </w:p>
        </w:tc>
        <w:tc>
          <w:tcPr>
            <w:tcW w:w="34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Index 4TC Routes</w:t>
            </w:r>
          </w:p>
        </w:tc>
        <w:tc>
          <w:tcPr>
            <w:tcW w:w="6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3820" w:type="dxa"/>
            <w:vAlign w:val="bottom"/>
            <w:gridSpan w:val="2"/>
          </w:tcPr>
          <w:p>
            <w:pPr>
              <w:spacing w:after="0" w:line="201" w:lineRule="exact"/>
              <w:rPr>
                <w:sz w:val="20"/>
                <w:szCs w:val="20"/>
                <w:color w:val="auto"/>
              </w:rPr>
            </w:pPr>
            <w:r>
              <w:rPr>
                <w:rFonts w:ascii="Arial" w:cs="Arial" w:eastAsia="Arial" w:hAnsi="Arial"/>
                <w:sz w:val="18"/>
                <w:szCs w:val="18"/>
                <w:color w:val="auto"/>
              </w:rPr>
              <w:t>Navios Felicity I</w:t>
            </w:r>
          </w:p>
        </w:tc>
        <w:tc>
          <w:tcPr>
            <w:tcW w:w="108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Panamax</w:t>
            </w:r>
          </w:p>
        </w:tc>
        <w:tc>
          <w:tcPr>
            <w:tcW w:w="580" w:type="dxa"/>
            <w:vAlign w:val="bottom"/>
            <w:gridSpan w:val="2"/>
          </w:tcPr>
          <w:p>
            <w:pPr>
              <w:ind w:left="60"/>
              <w:spacing w:after="0" w:line="201" w:lineRule="exact"/>
              <w:rPr>
                <w:sz w:val="20"/>
                <w:szCs w:val="20"/>
                <w:color w:val="auto"/>
              </w:rPr>
            </w:pPr>
            <w:r>
              <w:rPr>
                <w:rFonts w:ascii="Arial" w:cs="Arial" w:eastAsia="Arial" w:hAnsi="Arial"/>
                <w:sz w:val="18"/>
                <w:szCs w:val="18"/>
                <w:color w:val="auto"/>
              </w:rPr>
              <w:t>2020</w:t>
            </w:r>
          </w:p>
        </w:tc>
        <w:tc>
          <w:tcPr>
            <w:tcW w:w="72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w w:val="98"/>
              </w:rPr>
              <w:t>81,946</w:t>
            </w:r>
          </w:p>
        </w:tc>
        <w:tc>
          <w:tcPr>
            <w:tcW w:w="700" w:type="dxa"/>
            <w:vAlign w:val="bottom"/>
            <w:gridSpan w:val="2"/>
          </w:tcPr>
          <w:p>
            <w:pPr>
              <w:ind w:left="280"/>
              <w:spacing w:after="0" w:line="201"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Yes</w:t>
            </w:r>
          </w:p>
        </w:tc>
        <w:tc>
          <w:tcPr>
            <w:tcW w:w="264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89"/>
              </w:rPr>
              <w:t>125% of average</w:t>
            </w:r>
          </w:p>
        </w:tc>
        <w:tc>
          <w:tcPr>
            <w:tcW w:w="74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09/2021</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Baltic Panamax</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Index 4TC Routes</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Navios Magellan II</w:t>
            </w: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Panamax</w:t>
            </w:r>
          </w:p>
        </w:tc>
        <w:tc>
          <w:tcPr>
            <w:tcW w:w="580" w:type="dxa"/>
            <w:vAlign w:val="bottom"/>
            <w:gridSpan w:val="2"/>
          </w:tcPr>
          <w:p>
            <w:pPr>
              <w:ind w:left="60"/>
              <w:spacing w:after="0"/>
              <w:rPr>
                <w:sz w:val="20"/>
                <w:szCs w:val="20"/>
                <w:color w:val="auto"/>
              </w:rPr>
            </w:pPr>
            <w:r>
              <w:rPr>
                <w:rFonts w:ascii="Arial" w:cs="Arial" w:eastAsia="Arial" w:hAnsi="Arial"/>
                <w:sz w:val="18"/>
                <w:szCs w:val="18"/>
                <w:color w:val="auto"/>
              </w:rPr>
              <w:t>2020</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82,037</w:t>
            </w:r>
          </w:p>
        </w:tc>
        <w:tc>
          <w:tcPr>
            <w:tcW w:w="7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Yes</w:t>
            </w:r>
          </w:p>
        </w:tc>
        <w:tc>
          <w:tcPr>
            <w:tcW w:w="26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124.375% of average</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01/2023</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Baltic Panamax</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Index 4TC Routes</w:t>
            </w: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Long-term Charter-in Vessels</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average daily charter-in rate for the active long-term charter-in vessels (excluding Kleimar controlled fleet mainly used for servicing contracts of affreightment) for 2021 is estimated at $15,201 per day. We estimate the days of the long-term charter-in vessels (excluding Kleimar controlled fleet mainly used for servicing contracts of affreightment) for 2021 are 4,600 days.</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Vessels</w:t>
            </w:r>
          </w:p>
        </w:tc>
        <w:tc>
          <w:tcPr>
            <w:tcW w:w="100" w:type="dxa"/>
            <w:vAlign w:val="bottom"/>
          </w:tcPr>
          <w:p>
            <w:pPr>
              <w:spacing w:after="0"/>
              <w:rPr>
                <w:sz w:val="14"/>
                <w:szCs w:val="14"/>
                <w:color w:val="auto"/>
              </w:rPr>
            </w:pPr>
          </w:p>
        </w:tc>
        <w:tc>
          <w:tcPr>
            <w:tcW w:w="2520" w:type="dxa"/>
            <w:vAlign w:val="bottom"/>
            <w:vMerge w:val="restart"/>
          </w:tcPr>
          <w:p>
            <w:pPr>
              <w:ind w:left="1720"/>
              <w:spacing w:after="0"/>
              <w:rPr>
                <w:sz w:val="20"/>
                <w:szCs w:val="20"/>
                <w:color w:val="auto"/>
              </w:rPr>
            </w:pPr>
            <w:r>
              <w:rPr>
                <w:rFonts w:ascii="Arial" w:cs="Arial" w:eastAsia="Arial" w:hAnsi="Arial"/>
                <w:sz w:val="14"/>
                <w:szCs w:val="14"/>
                <w:b w:val="1"/>
                <w:bCs w:val="1"/>
                <w:color w:val="auto"/>
              </w:rPr>
              <w:t>Type</w:t>
            </w: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Built</w:t>
            </w:r>
          </w:p>
        </w:tc>
        <w:tc>
          <w:tcPr>
            <w:tcW w:w="9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DWT</w:t>
            </w: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Purchase</w:t>
            </w:r>
          </w:p>
        </w:tc>
        <w:tc>
          <w:tcPr>
            <w:tcW w:w="11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Charter-out</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62"/>
        </w:trPr>
        <w:tc>
          <w:tcPr>
            <w:tcW w:w="23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vMerge w:val="continue"/>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Option</w:t>
            </w:r>
            <w:r>
              <w:rPr>
                <w:rFonts w:ascii="Arial" w:cs="Arial" w:eastAsia="Arial" w:hAnsi="Arial"/>
                <w:sz w:val="12"/>
                <w:szCs w:val="12"/>
                <w:b w:val="1"/>
                <w:bCs w:val="1"/>
                <w:color w:val="auto"/>
                <w:w w:val="93"/>
              </w:rPr>
              <w:t>(4)</w:t>
            </w:r>
          </w:p>
        </w:tc>
        <w:tc>
          <w:tcPr>
            <w:tcW w:w="11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Rate</w:t>
            </w:r>
            <w:r>
              <w:rPr>
                <w:rFonts w:ascii="Arial" w:cs="Arial" w:eastAsia="Arial" w:hAnsi="Arial"/>
                <w:sz w:val="12"/>
                <w:szCs w:val="12"/>
                <w:b w:val="1"/>
                <w:bCs w:val="1"/>
                <w:color w:val="auto"/>
                <w:w w:val="93"/>
              </w:rPr>
              <w:t>(1)</w:t>
            </w:r>
          </w:p>
        </w:tc>
        <w:tc>
          <w:tcPr>
            <w:tcW w:w="8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Date</w:t>
            </w:r>
            <w:r>
              <w:rPr>
                <w:rFonts w:ascii="Arial" w:cs="Arial" w:eastAsia="Arial" w:hAnsi="Arial"/>
                <w:sz w:val="12"/>
                <w:szCs w:val="12"/>
                <w:b w:val="1"/>
                <w:bCs w:val="1"/>
                <w:color w:val="auto"/>
              </w:rPr>
              <w:t>(2)</w:t>
            </w:r>
          </w:p>
        </w:tc>
        <w:tc>
          <w:tcPr>
            <w:tcW w:w="0" w:type="dxa"/>
            <w:vAlign w:val="bottom"/>
          </w:tcPr>
          <w:p>
            <w:pPr>
              <w:spacing w:after="0"/>
              <w:rPr>
                <w:sz w:val="1"/>
                <w:szCs w:val="1"/>
                <w:color w:val="auto"/>
              </w:rPr>
            </w:pPr>
          </w:p>
        </w:tc>
      </w:tr>
      <w:tr>
        <w:trPr>
          <w:trHeight w:val="20"/>
        </w:trPr>
        <w:tc>
          <w:tcPr>
            <w:tcW w:w="420" w:type="dxa"/>
            <w:vAlign w:val="bottom"/>
            <w:tcBorders>
              <w:bottom w:val="single" w:sz="8" w:color="CCEEFF"/>
            </w:tcBorders>
            <w:shd w:val="clear" w:color="auto" w:fill="000000"/>
          </w:tcPr>
          <w:p>
            <w:pPr>
              <w:spacing w:after="0" w:line="20" w:lineRule="exact"/>
              <w:rPr>
                <w:sz w:val="1"/>
                <w:szCs w:val="1"/>
                <w:color w:val="auto"/>
              </w:rPr>
            </w:pPr>
          </w:p>
        </w:tc>
        <w:tc>
          <w:tcPr>
            <w:tcW w:w="1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3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Navios Lyra</w:t>
            </w:r>
          </w:p>
        </w:tc>
        <w:tc>
          <w:tcPr>
            <w:tcW w:w="100" w:type="dxa"/>
            <w:vAlign w:val="bottom"/>
            <w:shd w:val="clear" w:color="auto" w:fill="CCEEFF"/>
          </w:tcPr>
          <w:p>
            <w:pPr>
              <w:spacing w:after="0"/>
              <w:rPr>
                <w:sz w:val="16"/>
                <w:szCs w:val="16"/>
                <w:color w:val="auto"/>
              </w:rPr>
            </w:pPr>
          </w:p>
        </w:tc>
        <w:tc>
          <w:tcPr>
            <w:tcW w:w="25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Handysize</w:t>
            </w:r>
          </w:p>
        </w:tc>
        <w:tc>
          <w:tcPr>
            <w:tcW w:w="1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w w:val="84"/>
              </w:rPr>
              <w:t>2012</w:t>
            </w:r>
          </w:p>
        </w:tc>
        <w:tc>
          <w:tcPr>
            <w:tcW w:w="4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4"/>
              </w:rPr>
              <w:t>34,718</w:t>
            </w:r>
          </w:p>
        </w:tc>
        <w:tc>
          <w:tcPr>
            <w:tcW w:w="440" w:type="dxa"/>
            <w:vAlign w:val="bottom"/>
            <w:shd w:val="clear" w:color="auto" w:fill="CCEEFF"/>
          </w:tcPr>
          <w:p>
            <w:pPr>
              <w:spacing w:after="0"/>
              <w:rPr>
                <w:sz w:val="16"/>
                <w:szCs w:val="16"/>
                <w:color w:val="auto"/>
              </w:rPr>
            </w:pPr>
          </w:p>
        </w:tc>
        <w:tc>
          <w:tcPr>
            <w:tcW w:w="6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Yes</w:t>
            </w:r>
            <w:r>
              <w:rPr>
                <w:rFonts w:ascii="Arial" w:cs="Arial" w:eastAsia="Arial" w:hAnsi="Arial"/>
                <w:sz w:val="15"/>
                <w:szCs w:val="15"/>
                <w:color w:val="auto"/>
                <w:w w:val="89"/>
              </w:rPr>
              <w:t>(5)</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8,788</w:t>
            </w:r>
          </w:p>
        </w:tc>
        <w:tc>
          <w:tcPr>
            <w:tcW w:w="4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11/2021</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Navios Venus</w:t>
            </w:r>
          </w:p>
        </w:tc>
        <w:tc>
          <w:tcPr>
            <w:tcW w:w="100" w:type="dxa"/>
            <w:vAlign w:val="bottom"/>
            <w:shd w:val="clear" w:color="auto" w:fill="CCEEFF"/>
          </w:tcPr>
          <w:p>
            <w:pPr>
              <w:spacing w:after="0"/>
              <w:rPr>
                <w:sz w:val="20"/>
                <w:szCs w:val="20"/>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Ultra Handymax</w:t>
            </w:r>
          </w:p>
        </w:tc>
        <w:tc>
          <w:tcPr>
            <w:tcW w:w="2280" w:type="dxa"/>
            <w:vAlign w:val="bottom"/>
            <w:gridSpan w:val="4"/>
            <w:shd w:val="clear" w:color="auto" w:fill="CCEEFF"/>
          </w:tcPr>
          <w:p>
            <w:pPr>
              <w:ind w:left="1480"/>
              <w:spacing w:after="0"/>
              <w:rPr>
                <w:sz w:val="20"/>
                <w:szCs w:val="20"/>
                <w:color w:val="auto"/>
              </w:rPr>
            </w:pPr>
            <w:r>
              <w:rPr>
                <w:rFonts w:ascii="Arial" w:cs="Arial" w:eastAsia="Arial" w:hAnsi="Arial"/>
                <w:sz w:val="18"/>
                <w:szCs w:val="18"/>
                <w:color w:val="auto"/>
              </w:rPr>
              <w:t>2015</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61,339</w:t>
            </w:r>
          </w:p>
        </w:tc>
        <w:tc>
          <w:tcPr>
            <w:tcW w:w="8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3"/>
              </w:rPr>
              <w:t>Yes</w:t>
            </w:r>
          </w:p>
        </w:tc>
        <w:tc>
          <w:tcPr>
            <w:tcW w:w="11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(6)</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09/2021</w:t>
            </w:r>
          </w:p>
        </w:tc>
        <w:tc>
          <w:tcPr>
            <w:tcW w:w="0" w:type="dxa"/>
            <w:vAlign w:val="bottom"/>
          </w:tcPr>
          <w:p>
            <w:pPr>
              <w:spacing w:after="0"/>
              <w:rPr>
                <w:sz w:val="1"/>
                <w:szCs w:val="1"/>
                <w:color w:val="auto"/>
              </w:rPr>
            </w:pPr>
          </w:p>
        </w:tc>
      </w:tr>
      <w:tr>
        <w:trPr>
          <w:trHeight w:val="202"/>
        </w:trPr>
        <w:tc>
          <w:tcPr>
            <w:tcW w:w="2300" w:type="dxa"/>
            <w:vAlign w:val="bottom"/>
            <w:gridSpan w:val="2"/>
          </w:tcPr>
          <w:p>
            <w:pPr>
              <w:spacing w:after="0" w:line="201" w:lineRule="exact"/>
              <w:rPr>
                <w:sz w:val="20"/>
                <w:szCs w:val="20"/>
                <w:color w:val="auto"/>
              </w:rPr>
            </w:pPr>
            <w:r>
              <w:rPr>
                <w:rFonts w:ascii="Arial" w:cs="Arial" w:eastAsia="Arial" w:hAnsi="Arial"/>
                <w:sz w:val="18"/>
                <w:szCs w:val="18"/>
                <w:color w:val="auto"/>
              </w:rPr>
              <w:t>Navios Marco Polo</w:t>
            </w:r>
          </w:p>
        </w:tc>
        <w:tc>
          <w:tcPr>
            <w:tcW w:w="100" w:type="dxa"/>
            <w:vAlign w:val="bottom"/>
          </w:tcPr>
          <w:p>
            <w:pPr>
              <w:spacing w:after="0"/>
              <w:rPr>
                <w:sz w:val="17"/>
                <w:szCs w:val="17"/>
                <w:color w:val="auto"/>
              </w:rPr>
            </w:pPr>
          </w:p>
        </w:tc>
        <w:tc>
          <w:tcPr>
            <w:tcW w:w="2520" w:type="dxa"/>
            <w:vAlign w:val="bottom"/>
          </w:tcPr>
          <w:p>
            <w:pPr>
              <w:spacing w:after="0" w:line="201" w:lineRule="exact"/>
              <w:rPr>
                <w:sz w:val="20"/>
                <w:szCs w:val="20"/>
                <w:color w:val="auto"/>
              </w:rPr>
            </w:pPr>
            <w:r>
              <w:rPr>
                <w:rFonts w:ascii="Arial" w:cs="Arial" w:eastAsia="Arial" w:hAnsi="Arial"/>
                <w:sz w:val="18"/>
                <w:szCs w:val="18"/>
                <w:color w:val="auto"/>
              </w:rPr>
              <w:t>Panamax</w:t>
            </w:r>
          </w:p>
        </w:tc>
        <w:tc>
          <w:tcPr>
            <w:tcW w:w="2280" w:type="dxa"/>
            <w:vAlign w:val="bottom"/>
            <w:gridSpan w:val="4"/>
          </w:tcPr>
          <w:p>
            <w:pPr>
              <w:ind w:left="1480"/>
              <w:spacing w:after="0" w:line="201" w:lineRule="exact"/>
              <w:rPr>
                <w:sz w:val="20"/>
                <w:szCs w:val="20"/>
                <w:color w:val="auto"/>
              </w:rPr>
            </w:pPr>
            <w:r>
              <w:rPr>
                <w:rFonts w:ascii="Arial" w:cs="Arial" w:eastAsia="Arial" w:hAnsi="Arial"/>
                <w:sz w:val="18"/>
                <w:szCs w:val="18"/>
                <w:color w:val="auto"/>
              </w:rPr>
              <w:t>2011</w:t>
            </w:r>
          </w:p>
        </w:tc>
        <w:tc>
          <w:tcPr>
            <w:tcW w:w="980" w:type="dxa"/>
            <w:vAlign w:val="bottom"/>
            <w:gridSpan w:val="2"/>
          </w:tcPr>
          <w:p>
            <w:pPr>
              <w:jc w:val="right"/>
              <w:ind w:right="440"/>
              <w:spacing w:after="0" w:line="201" w:lineRule="exact"/>
              <w:rPr>
                <w:sz w:val="20"/>
                <w:szCs w:val="20"/>
                <w:color w:val="auto"/>
              </w:rPr>
            </w:pPr>
            <w:r>
              <w:rPr>
                <w:rFonts w:ascii="Arial" w:cs="Arial" w:eastAsia="Arial" w:hAnsi="Arial"/>
                <w:sz w:val="18"/>
                <w:szCs w:val="18"/>
                <w:color w:val="auto"/>
                <w:w w:val="94"/>
              </w:rPr>
              <w:t>80,647</w:t>
            </w:r>
          </w:p>
        </w:tc>
        <w:tc>
          <w:tcPr>
            <w:tcW w:w="86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83"/>
              </w:rPr>
              <w:t>Yes</w:t>
            </w:r>
          </w:p>
        </w:tc>
        <w:tc>
          <w:tcPr>
            <w:tcW w:w="1180" w:type="dxa"/>
            <w:vAlign w:val="bottom"/>
            <w:gridSpan w:val="2"/>
          </w:tcPr>
          <w:p>
            <w:pPr>
              <w:jc w:val="right"/>
              <w:ind w:right="440"/>
              <w:spacing w:after="0" w:line="201" w:lineRule="exact"/>
              <w:rPr>
                <w:sz w:val="20"/>
                <w:szCs w:val="20"/>
                <w:color w:val="auto"/>
              </w:rPr>
            </w:pPr>
            <w:r>
              <w:rPr>
                <w:rFonts w:ascii="Arial" w:cs="Arial" w:eastAsia="Arial" w:hAnsi="Arial"/>
                <w:sz w:val="18"/>
                <w:szCs w:val="18"/>
                <w:color w:val="auto"/>
              </w:rPr>
              <w:t>19,000</w:t>
            </w:r>
          </w:p>
        </w:tc>
        <w:tc>
          <w:tcPr>
            <w:tcW w:w="80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05/2021</w:t>
            </w:r>
          </w:p>
        </w:tc>
        <w:tc>
          <w:tcPr>
            <w:tcW w:w="0" w:type="dxa"/>
            <w:vAlign w:val="bottom"/>
          </w:tcPr>
          <w:p>
            <w:pPr>
              <w:spacing w:after="0"/>
              <w:rPr>
                <w:sz w:val="1"/>
                <w:szCs w:val="1"/>
                <w:color w:val="auto"/>
              </w:rPr>
            </w:pPr>
          </w:p>
        </w:tc>
      </w:tr>
      <w:tr>
        <w:trPr>
          <w:trHeight w:val="230"/>
        </w:trPr>
        <w:tc>
          <w:tcPr>
            <w:tcW w:w="2300" w:type="dxa"/>
            <w:vAlign w:val="bottom"/>
            <w:gridSpan w:val="2"/>
          </w:tcPr>
          <w:p>
            <w:pPr>
              <w:spacing w:after="0"/>
              <w:rPr>
                <w:sz w:val="20"/>
                <w:szCs w:val="20"/>
                <w:color w:val="auto"/>
              </w:rPr>
            </w:pPr>
            <w:r>
              <w:rPr>
                <w:rFonts w:ascii="Arial" w:cs="Arial" w:eastAsia="Arial" w:hAnsi="Arial"/>
                <w:sz w:val="18"/>
                <w:szCs w:val="18"/>
                <w:color w:val="auto"/>
              </w:rPr>
              <w:t>Elsa S</w:t>
            </w:r>
          </w:p>
        </w:tc>
        <w:tc>
          <w:tcPr>
            <w:tcW w:w="100" w:type="dxa"/>
            <w:vAlign w:val="bottom"/>
          </w:tcPr>
          <w:p>
            <w:pPr>
              <w:spacing w:after="0"/>
              <w:rPr>
                <w:sz w:val="20"/>
                <w:szCs w:val="20"/>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Panamax</w:t>
            </w:r>
          </w:p>
        </w:tc>
        <w:tc>
          <w:tcPr>
            <w:tcW w:w="2280" w:type="dxa"/>
            <w:vAlign w:val="bottom"/>
            <w:gridSpan w:val="4"/>
          </w:tcPr>
          <w:p>
            <w:pPr>
              <w:ind w:left="1480"/>
              <w:spacing w:after="0"/>
              <w:rPr>
                <w:sz w:val="20"/>
                <w:szCs w:val="20"/>
                <w:color w:val="auto"/>
              </w:rPr>
            </w:pPr>
            <w:r>
              <w:rPr>
                <w:rFonts w:ascii="Arial" w:cs="Arial" w:eastAsia="Arial" w:hAnsi="Arial"/>
                <w:sz w:val="18"/>
                <w:szCs w:val="18"/>
                <w:color w:val="auto"/>
              </w:rPr>
              <w:t>2015</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80,954</w:t>
            </w:r>
          </w:p>
        </w:tc>
        <w:tc>
          <w:tcPr>
            <w:tcW w:w="86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No</w:t>
            </w:r>
          </w:p>
        </w:tc>
        <w:tc>
          <w:tcPr>
            <w:tcW w:w="1180" w:type="dxa"/>
            <w:vAlign w:val="bottom"/>
            <w:gridSpan w:val="2"/>
          </w:tcPr>
          <w:p>
            <w:pPr>
              <w:ind w:left="4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(7)</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04/2021</w:t>
            </w:r>
          </w:p>
        </w:tc>
        <w:tc>
          <w:tcPr>
            <w:tcW w:w="0" w:type="dxa"/>
            <w:vAlign w:val="bottom"/>
          </w:tcPr>
          <w:p>
            <w:pPr>
              <w:spacing w:after="0"/>
              <w:rPr>
                <w:sz w:val="1"/>
                <w:szCs w:val="1"/>
                <w:color w:val="auto"/>
              </w:rPr>
            </w:pPr>
          </w:p>
        </w:tc>
      </w:tr>
      <w:tr>
        <w:trPr>
          <w:trHeight w:val="202"/>
        </w:trPr>
        <w:tc>
          <w:tcPr>
            <w:tcW w:w="23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Navios Amber</w:t>
            </w:r>
          </w:p>
        </w:tc>
        <w:tc>
          <w:tcPr>
            <w:tcW w:w="100" w:type="dxa"/>
            <w:vAlign w:val="bottom"/>
            <w:shd w:val="clear" w:color="auto" w:fill="CCEEFF"/>
          </w:tcPr>
          <w:p>
            <w:pPr>
              <w:spacing w:after="0"/>
              <w:rPr>
                <w:sz w:val="17"/>
                <w:szCs w:val="17"/>
                <w:color w:val="auto"/>
              </w:rPr>
            </w:pPr>
          </w:p>
        </w:tc>
        <w:tc>
          <w:tcPr>
            <w:tcW w:w="2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Panamax</w:t>
            </w:r>
          </w:p>
        </w:tc>
        <w:tc>
          <w:tcPr>
            <w:tcW w:w="2280" w:type="dxa"/>
            <w:vAlign w:val="bottom"/>
            <w:gridSpan w:val="4"/>
            <w:shd w:val="clear" w:color="auto" w:fill="CCEEFF"/>
          </w:tcPr>
          <w:p>
            <w:pPr>
              <w:ind w:left="1480"/>
              <w:spacing w:after="0" w:line="201" w:lineRule="exact"/>
              <w:rPr>
                <w:sz w:val="20"/>
                <w:szCs w:val="20"/>
                <w:color w:val="auto"/>
              </w:rPr>
            </w:pPr>
            <w:r>
              <w:rPr>
                <w:rFonts w:ascii="Arial" w:cs="Arial" w:eastAsia="Arial" w:hAnsi="Arial"/>
                <w:sz w:val="18"/>
                <w:szCs w:val="18"/>
                <w:color w:val="auto"/>
              </w:rPr>
              <w:t>2015</w:t>
            </w:r>
          </w:p>
        </w:tc>
        <w:tc>
          <w:tcPr>
            <w:tcW w:w="980" w:type="dxa"/>
            <w:vAlign w:val="bottom"/>
            <w:gridSpan w:val="2"/>
            <w:shd w:val="clear" w:color="auto" w:fill="CCEEFF"/>
          </w:tcPr>
          <w:p>
            <w:pPr>
              <w:jc w:val="right"/>
              <w:ind w:right="440"/>
              <w:spacing w:after="0" w:line="201" w:lineRule="exact"/>
              <w:rPr>
                <w:sz w:val="20"/>
                <w:szCs w:val="20"/>
                <w:color w:val="auto"/>
              </w:rPr>
            </w:pPr>
            <w:r>
              <w:rPr>
                <w:rFonts w:ascii="Arial" w:cs="Arial" w:eastAsia="Arial" w:hAnsi="Arial"/>
                <w:sz w:val="18"/>
                <w:szCs w:val="18"/>
                <w:color w:val="auto"/>
                <w:w w:val="94"/>
              </w:rPr>
              <w:t>80,994</w:t>
            </w:r>
          </w:p>
        </w:tc>
        <w:tc>
          <w:tcPr>
            <w:tcW w:w="860" w:type="dxa"/>
            <w:vAlign w:val="bottom"/>
            <w:gridSpan w:val="2"/>
            <w:shd w:val="clear" w:color="auto" w:fill="CCEEFF"/>
          </w:tcPr>
          <w:p>
            <w:pPr>
              <w:jc w:val="center"/>
              <w:ind w:right="200"/>
              <w:spacing w:after="0" w:line="201" w:lineRule="exact"/>
              <w:rPr>
                <w:sz w:val="20"/>
                <w:szCs w:val="20"/>
                <w:color w:val="auto"/>
              </w:rPr>
            </w:pPr>
            <w:r>
              <w:rPr>
                <w:rFonts w:ascii="Arial" w:cs="Arial" w:eastAsia="Arial" w:hAnsi="Arial"/>
                <w:sz w:val="18"/>
                <w:szCs w:val="18"/>
                <w:color w:val="auto"/>
                <w:w w:val="83"/>
              </w:rPr>
              <w:t>Yes</w:t>
            </w:r>
          </w:p>
        </w:tc>
        <w:tc>
          <w:tcPr>
            <w:tcW w:w="1180" w:type="dxa"/>
            <w:vAlign w:val="bottom"/>
            <w:gridSpan w:val="2"/>
            <w:shd w:val="clear" w:color="auto" w:fill="CCEEFF"/>
          </w:tcPr>
          <w:p>
            <w:pPr>
              <w:jc w:val="right"/>
              <w:ind w:right="440"/>
              <w:spacing w:after="0" w:line="201" w:lineRule="exact"/>
              <w:rPr>
                <w:sz w:val="20"/>
                <w:szCs w:val="20"/>
                <w:color w:val="auto"/>
              </w:rPr>
            </w:pPr>
            <w:r>
              <w:rPr>
                <w:rFonts w:ascii="Arial" w:cs="Arial" w:eastAsia="Arial" w:hAnsi="Arial"/>
                <w:sz w:val="18"/>
                <w:szCs w:val="18"/>
                <w:color w:val="auto"/>
              </w:rPr>
              <w:t>22,565</w:t>
            </w:r>
          </w:p>
        </w:tc>
        <w:tc>
          <w:tcPr>
            <w:tcW w:w="80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04/2021</w:t>
            </w:r>
          </w:p>
        </w:tc>
        <w:tc>
          <w:tcPr>
            <w:tcW w:w="0" w:type="dxa"/>
            <w:vAlign w:val="bottom"/>
          </w:tcPr>
          <w:p>
            <w:pPr>
              <w:spacing w:after="0"/>
              <w:rPr>
                <w:sz w:val="1"/>
                <w:szCs w:val="1"/>
                <w:color w:val="auto"/>
              </w:rPr>
            </w:pPr>
          </w:p>
        </w:tc>
      </w:tr>
      <w:tr>
        <w:trPr>
          <w:trHeight w:val="244"/>
        </w:trPr>
        <w:tc>
          <w:tcPr>
            <w:tcW w:w="420" w:type="dxa"/>
            <w:vAlign w:val="bottom"/>
            <w:shd w:val="clear" w:color="auto" w:fill="CCEEFF"/>
          </w:tcPr>
          <w:p>
            <w:pPr>
              <w:spacing w:after="0"/>
              <w:rPr>
                <w:sz w:val="21"/>
                <w:szCs w:val="21"/>
                <w:color w:val="auto"/>
              </w:rPr>
            </w:pPr>
          </w:p>
        </w:tc>
        <w:tc>
          <w:tcPr>
            <w:tcW w:w="1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5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(7)</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01/2023</w:t>
            </w:r>
          </w:p>
        </w:tc>
        <w:tc>
          <w:tcPr>
            <w:tcW w:w="0" w:type="dxa"/>
            <w:vAlign w:val="bottom"/>
          </w:tcPr>
          <w:p>
            <w:pPr>
              <w:spacing w:after="0"/>
              <w:rPr>
                <w:sz w:val="1"/>
                <w:szCs w:val="1"/>
                <w:color w:val="auto"/>
              </w:rPr>
            </w:pPr>
          </w:p>
        </w:tc>
      </w:tr>
      <w:tr>
        <w:trPr>
          <w:trHeight w:val="202"/>
        </w:trPr>
        <w:tc>
          <w:tcPr>
            <w:tcW w:w="2300" w:type="dxa"/>
            <w:vAlign w:val="bottom"/>
            <w:gridSpan w:val="2"/>
          </w:tcPr>
          <w:p>
            <w:pPr>
              <w:spacing w:after="0" w:line="201" w:lineRule="exact"/>
              <w:rPr>
                <w:sz w:val="20"/>
                <w:szCs w:val="20"/>
                <w:color w:val="auto"/>
              </w:rPr>
            </w:pPr>
            <w:r>
              <w:rPr>
                <w:rFonts w:ascii="Arial" w:cs="Arial" w:eastAsia="Arial" w:hAnsi="Arial"/>
                <w:sz w:val="18"/>
                <w:szCs w:val="18"/>
                <w:color w:val="auto"/>
              </w:rPr>
              <w:t>Navios Sky</w:t>
            </w:r>
          </w:p>
        </w:tc>
        <w:tc>
          <w:tcPr>
            <w:tcW w:w="100" w:type="dxa"/>
            <w:vAlign w:val="bottom"/>
          </w:tcPr>
          <w:p>
            <w:pPr>
              <w:spacing w:after="0"/>
              <w:rPr>
                <w:sz w:val="17"/>
                <w:szCs w:val="17"/>
                <w:color w:val="auto"/>
              </w:rPr>
            </w:pPr>
          </w:p>
        </w:tc>
        <w:tc>
          <w:tcPr>
            <w:tcW w:w="2520" w:type="dxa"/>
            <w:vAlign w:val="bottom"/>
          </w:tcPr>
          <w:p>
            <w:pPr>
              <w:spacing w:after="0" w:line="201" w:lineRule="exact"/>
              <w:rPr>
                <w:sz w:val="20"/>
                <w:szCs w:val="20"/>
                <w:color w:val="auto"/>
              </w:rPr>
            </w:pPr>
            <w:r>
              <w:rPr>
                <w:rFonts w:ascii="Arial" w:cs="Arial" w:eastAsia="Arial" w:hAnsi="Arial"/>
                <w:sz w:val="18"/>
                <w:szCs w:val="18"/>
                <w:color w:val="auto"/>
              </w:rPr>
              <w:t>Panamax</w:t>
            </w:r>
          </w:p>
        </w:tc>
        <w:tc>
          <w:tcPr>
            <w:tcW w:w="2280" w:type="dxa"/>
            <w:vAlign w:val="bottom"/>
            <w:gridSpan w:val="4"/>
          </w:tcPr>
          <w:p>
            <w:pPr>
              <w:ind w:left="1480"/>
              <w:spacing w:after="0" w:line="201" w:lineRule="exact"/>
              <w:rPr>
                <w:sz w:val="20"/>
                <w:szCs w:val="20"/>
                <w:color w:val="auto"/>
              </w:rPr>
            </w:pPr>
            <w:r>
              <w:rPr>
                <w:rFonts w:ascii="Arial" w:cs="Arial" w:eastAsia="Arial" w:hAnsi="Arial"/>
                <w:sz w:val="18"/>
                <w:szCs w:val="18"/>
                <w:color w:val="auto"/>
              </w:rPr>
              <w:t>2015</w:t>
            </w:r>
          </w:p>
        </w:tc>
        <w:tc>
          <w:tcPr>
            <w:tcW w:w="980" w:type="dxa"/>
            <w:vAlign w:val="bottom"/>
            <w:gridSpan w:val="2"/>
          </w:tcPr>
          <w:p>
            <w:pPr>
              <w:jc w:val="right"/>
              <w:ind w:right="440"/>
              <w:spacing w:after="0" w:line="201" w:lineRule="exact"/>
              <w:rPr>
                <w:sz w:val="20"/>
                <w:szCs w:val="20"/>
                <w:color w:val="auto"/>
              </w:rPr>
            </w:pPr>
            <w:r>
              <w:rPr>
                <w:rFonts w:ascii="Arial" w:cs="Arial" w:eastAsia="Arial" w:hAnsi="Arial"/>
                <w:sz w:val="18"/>
                <w:szCs w:val="18"/>
                <w:color w:val="auto"/>
                <w:w w:val="94"/>
              </w:rPr>
              <w:t>82,056</w:t>
            </w:r>
          </w:p>
        </w:tc>
        <w:tc>
          <w:tcPr>
            <w:tcW w:w="86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83"/>
              </w:rPr>
              <w:t>Yes</w:t>
            </w:r>
          </w:p>
        </w:tc>
        <w:tc>
          <w:tcPr>
            <w:tcW w:w="1180" w:type="dxa"/>
            <w:vAlign w:val="bottom"/>
            <w:gridSpan w:val="2"/>
          </w:tcPr>
          <w:p>
            <w:pPr>
              <w:jc w:val="right"/>
              <w:ind w:right="440"/>
              <w:spacing w:after="0" w:line="201" w:lineRule="exact"/>
              <w:rPr>
                <w:sz w:val="20"/>
                <w:szCs w:val="20"/>
                <w:color w:val="auto"/>
              </w:rPr>
            </w:pPr>
            <w:r>
              <w:rPr>
                <w:rFonts w:ascii="Arial" w:cs="Arial" w:eastAsia="Arial" w:hAnsi="Arial"/>
                <w:sz w:val="18"/>
                <w:szCs w:val="18"/>
                <w:color w:val="auto"/>
              </w:rPr>
              <w:t>22,366</w:t>
            </w:r>
          </w:p>
        </w:tc>
        <w:tc>
          <w:tcPr>
            <w:tcW w:w="80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05/2021</w:t>
            </w:r>
          </w:p>
        </w:tc>
        <w:tc>
          <w:tcPr>
            <w:tcW w:w="0" w:type="dxa"/>
            <w:vAlign w:val="bottom"/>
          </w:tcPr>
          <w:p>
            <w:pPr>
              <w:spacing w:after="0"/>
              <w:rPr>
                <w:sz w:val="1"/>
                <w:szCs w:val="1"/>
                <w:color w:val="auto"/>
              </w:rPr>
            </w:pPr>
          </w:p>
        </w:tc>
      </w:tr>
      <w:tr>
        <w:trPr>
          <w:trHeight w:val="237"/>
        </w:trPr>
        <w:tc>
          <w:tcPr>
            <w:tcW w:w="4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ind w:left="4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(8)</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05/2021</w:t>
            </w:r>
          </w:p>
        </w:tc>
        <w:tc>
          <w:tcPr>
            <w:tcW w:w="0" w:type="dxa"/>
            <w:vAlign w:val="bottom"/>
          </w:tcPr>
          <w:p>
            <w:pPr>
              <w:spacing w:after="0"/>
              <w:rPr>
                <w:sz w:val="1"/>
                <w:szCs w:val="1"/>
                <w:color w:val="auto"/>
              </w:rPr>
            </w:pPr>
          </w:p>
        </w:tc>
      </w:tr>
      <w:tr>
        <w:trPr>
          <w:trHeight w:val="208"/>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Navios Coral</w:t>
            </w:r>
          </w:p>
        </w:tc>
        <w:tc>
          <w:tcPr>
            <w:tcW w:w="10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Panamax</w:t>
            </w:r>
          </w:p>
        </w:tc>
        <w:tc>
          <w:tcPr>
            <w:tcW w:w="2280" w:type="dxa"/>
            <w:vAlign w:val="bottom"/>
            <w:gridSpan w:val="4"/>
            <w:shd w:val="clear" w:color="auto" w:fill="CCEEFF"/>
          </w:tcPr>
          <w:p>
            <w:pPr>
              <w:ind w:left="1480"/>
              <w:spacing w:after="0"/>
              <w:rPr>
                <w:sz w:val="20"/>
                <w:szCs w:val="20"/>
                <w:color w:val="auto"/>
              </w:rPr>
            </w:pPr>
            <w:r>
              <w:rPr>
                <w:rFonts w:ascii="Arial" w:cs="Arial" w:eastAsia="Arial" w:hAnsi="Arial"/>
                <w:sz w:val="18"/>
                <w:szCs w:val="18"/>
                <w:color w:val="auto"/>
              </w:rPr>
              <w:t>2016</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84,904</w:t>
            </w:r>
          </w:p>
        </w:tc>
        <w:tc>
          <w:tcPr>
            <w:tcW w:w="8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3"/>
              </w:rPr>
              <w:t>Yes</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16,921</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06/2021</w:t>
            </w:r>
          </w:p>
        </w:tc>
        <w:tc>
          <w:tcPr>
            <w:tcW w:w="0" w:type="dxa"/>
            <w:vAlign w:val="bottom"/>
          </w:tcPr>
          <w:p>
            <w:pPr>
              <w:spacing w:after="0"/>
              <w:rPr>
                <w:sz w:val="1"/>
                <w:szCs w:val="1"/>
                <w:color w:val="auto"/>
              </w:rPr>
            </w:pPr>
          </w:p>
        </w:tc>
      </w:tr>
      <w:tr>
        <w:trPr>
          <w:trHeight w:val="244"/>
        </w:trPr>
        <w:tc>
          <w:tcPr>
            <w:tcW w:w="420" w:type="dxa"/>
            <w:vAlign w:val="bottom"/>
            <w:shd w:val="clear" w:color="auto" w:fill="CCEEFF"/>
          </w:tcPr>
          <w:p>
            <w:pPr>
              <w:spacing w:after="0"/>
              <w:rPr>
                <w:sz w:val="21"/>
                <w:szCs w:val="21"/>
                <w:color w:val="auto"/>
              </w:rPr>
            </w:pPr>
          </w:p>
        </w:tc>
        <w:tc>
          <w:tcPr>
            <w:tcW w:w="1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5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(9)</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12/2021</w:t>
            </w:r>
          </w:p>
        </w:tc>
        <w:tc>
          <w:tcPr>
            <w:tcW w:w="0" w:type="dxa"/>
            <w:vAlign w:val="bottom"/>
          </w:tcPr>
          <w:p>
            <w:pPr>
              <w:spacing w:after="0"/>
              <w:rPr>
                <w:sz w:val="1"/>
                <w:szCs w:val="1"/>
                <w:color w:val="auto"/>
              </w:rPr>
            </w:pPr>
          </w:p>
        </w:tc>
      </w:tr>
      <w:tr>
        <w:trPr>
          <w:trHeight w:val="202"/>
        </w:trPr>
        <w:tc>
          <w:tcPr>
            <w:tcW w:w="2300" w:type="dxa"/>
            <w:vAlign w:val="bottom"/>
            <w:gridSpan w:val="2"/>
          </w:tcPr>
          <w:p>
            <w:pPr>
              <w:spacing w:after="0" w:line="201" w:lineRule="exact"/>
              <w:rPr>
                <w:sz w:val="20"/>
                <w:szCs w:val="20"/>
                <w:color w:val="auto"/>
              </w:rPr>
            </w:pPr>
            <w:r>
              <w:rPr>
                <w:rFonts w:ascii="Arial" w:cs="Arial" w:eastAsia="Arial" w:hAnsi="Arial"/>
                <w:sz w:val="18"/>
                <w:szCs w:val="18"/>
                <w:color w:val="auto"/>
              </w:rPr>
              <w:t>Navios Citrine</w:t>
            </w:r>
          </w:p>
        </w:tc>
        <w:tc>
          <w:tcPr>
            <w:tcW w:w="100" w:type="dxa"/>
            <w:vAlign w:val="bottom"/>
          </w:tcPr>
          <w:p>
            <w:pPr>
              <w:spacing w:after="0"/>
              <w:rPr>
                <w:sz w:val="17"/>
                <w:szCs w:val="17"/>
                <w:color w:val="auto"/>
              </w:rPr>
            </w:pPr>
          </w:p>
        </w:tc>
        <w:tc>
          <w:tcPr>
            <w:tcW w:w="2520" w:type="dxa"/>
            <w:vAlign w:val="bottom"/>
          </w:tcPr>
          <w:p>
            <w:pPr>
              <w:spacing w:after="0" w:line="201" w:lineRule="exact"/>
              <w:rPr>
                <w:sz w:val="20"/>
                <w:szCs w:val="20"/>
                <w:color w:val="auto"/>
              </w:rPr>
            </w:pPr>
            <w:r>
              <w:rPr>
                <w:rFonts w:ascii="Arial" w:cs="Arial" w:eastAsia="Arial" w:hAnsi="Arial"/>
                <w:sz w:val="18"/>
                <w:szCs w:val="18"/>
                <w:color w:val="auto"/>
              </w:rPr>
              <w:t>Panamax</w:t>
            </w:r>
          </w:p>
        </w:tc>
        <w:tc>
          <w:tcPr>
            <w:tcW w:w="2280" w:type="dxa"/>
            <w:vAlign w:val="bottom"/>
            <w:gridSpan w:val="4"/>
          </w:tcPr>
          <w:p>
            <w:pPr>
              <w:ind w:left="1480"/>
              <w:spacing w:after="0" w:line="201" w:lineRule="exact"/>
              <w:rPr>
                <w:sz w:val="20"/>
                <w:szCs w:val="20"/>
                <w:color w:val="auto"/>
              </w:rPr>
            </w:pPr>
            <w:r>
              <w:rPr>
                <w:rFonts w:ascii="Arial" w:cs="Arial" w:eastAsia="Arial" w:hAnsi="Arial"/>
                <w:sz w:val="18"/>
                <w:szCs w:val="18"/>
                <w:color w:val="auto"/>
              </w:rPr>
              <w:t>2017</w:t>
            </w:r>
          </w:p>
        </w:tc>
        <w:tc>
          <w:tcPr>
            <w:tcW w:w="980" w:type="dxa"/>
            <w:vAlign w:val="bottom"/>
            <w:gridSpan w:val="2"/>
          </w:tcPr>
          <w:p>
            <w:pPr>
              <w:jc w:val="right"/>
              <w:ind w:right="440"/>
              <w:spacing w:after="0" w:line="201" w:lineRule="exact"/>
              <w:rPr>
                <w:sz w:val="20"/>
                <w:szCs w:val="20"/>
                <w:color w:val="auto"/>
              </w:rPr>
            </w:pPr>
            <w:r>
              <w:rPr>
                <w:rFonts w:ascii="Arial" w:cs="Arial" w:eastAsia="Arial" w:hAnsi="Arial"/>
                <w:sz w:val="18"/>
                <w:szCs w:val="18"/>
                <w:color w:val="auto"/>
                <w:w w:val="94"/>
              </w:rPr>
              <w:t>81,626</w:t>
            </w:r>
          </w:p>
        </w:tc>
        <w:tc>
          <w:tcPr>
            <w:tcW w:w="86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83"/>
              </w:rPr>
              <w:t>Yes</w:t>
            </w:r>
          </w:p>
        </w:tc>
        <w:tc>
          <w:tcPr>
            <w:tcW w:w="1180" w:type="dxa"/>
            <w:vAlign w:val="bottom"/>
            <w:gridSpan w:val="2"/>
          </w:tcPr>
          <w:p>
            <w:pPr>
              <w:jc w:val="right"/>
              <w:ind w:right="440"/>
              <w:spacing w:after="0" w:line="201" w:lineRule="exact"/>
              <w:rPr>
                <w:sz w:val="20"/>
                <w:szCs w:val="20"/>
                <w:color w:val="auto"/>
              </w:rPr>
            </w:pPr>
            <w:r>
              <w:rPr>
                <w:rFonts w:ascii="Arial" w:cs="Arial" w:eastAsia="Arial" w:hAnsi="Arial"/>
                <w:sz w:val="18"/>
                <w:szCs w:val="18"/>
                <w:color w:val="auto"/>
              </w:rPr>
              <w:t>24,339</w:t>
            </w:r>
          </w:p>
        </w:tc>
        <w:tc>
          <w:tcPr>
            <w:tcW w:w="80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06/2021</w:t>
            </w:r>
          </w:p>
        </w:tc>
        <w:tc>
          <w:tcPr>
            <w:tcW w:w="0" w:type="dxa"/>
            <w:vAlign w:val="bottom"/>
          </w:tcPr>
          <w:p>
            <w:pPr>
              <w:spacing w:after="0"/>
              <w:rPr>
                <w:sz w:val="1"/>
                <w:szCs w:val="1"/>
                <w:color w:val="auto"/>
              </w:rPr>
            </w:pPr>
          </w:p>
        </w:tc>
      </w:tr>
      <w:tr>
        <w:trPr>
          <w:trHeight w:val="237"/>
        </w:trPr>
        <w:tc>
          <w:tcPr>
            <w:tcW w:w="4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ind w:left="4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(11)</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02/2023</w:t>
            </w:r>
          </w:p>
        </w:tc>
        <w:tc>
          <w:tcPr>
            <w:tcW w:w="0" w:type="dxa"/>
            <w:vAlign w:val="bottom"/>
          </w:tcPr>
          <w:p>
            <w:pPr>
              <w:spacing w:after="0"/>
              <w:rPr>
                <w:sz w:val="1"/>
                <w:szCs w:val="1"/>
                <w:color w:val="auto"/>
              </w:rPr>
            </w:pPr>
          </w:p>
        </w:tc>
      </w:tr>
      <w:tr>
        <w:trPr>
          <w:trHeight w:val="208"/>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Navios Dolphin</w:t>
            </w:r>
          </w:p>
        </w:tc>
        <w:tc>
          <w:tcPr>
            <w:tcW w:w="10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Panamax</w:t>
            </w:r>
          </w:p>
        </w:tc>
        <w:tc>
          <w:tcPr>
            <w:tcW w:w="2280" w:type="dxa"/>
            <w:vAlign w:val="bottom"/>
            <w:gridSpan w:val="4"/>
            <w:shd w:val="clear" w:color="auto" w:fill="CCEEFF"/>
          </w:tcPr>
          <w:p>
            <w:pPr>
              <w:ind w:left="1480"/>
              <w:spacing w:after="0"/>
              <w:rPr>
                <w:sz w:val="20"/>
                <w:szCs w:val="20"/>
                <w:color w:val="auto"/>
              </w:rPr>
            </w:pPr>
            <w:r>
              <w:rPr>
                <w:rFonts w:ascii="Arial" w:cs="Arial" w:eastAsia="Arial" w:hAnsi="Arial"/>
                <w:sz w:val="18"/>
                <w:szCs w:val="18"/>
                <w:color w:val="auto"/>
              </w:rPr>
              <w:t>2017</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81,630</w:t>
            </w:r>
          </w:p>
        </w:tc>
        <w:tc>
          <w:tcPr>
            <w:tcW w:w="8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3"/>
              </w:rPr>
              <w:t>Yes</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19,413</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06/2021</w:t>
            </w:r>
          </w:p>
        </w:tc>
        <w:tc>
          <w:tcPr>
            <w:tcW w:w="0" w:type="dxa"/>
            <w:vAlign w:val="bottom"/>
          </w:tcPr>
          <w:p>
            <w:pPr>
              <w:spacing w:after="0"/>
              <w:rPr>
                <w:sz w:val="1"/>
                <w:szCs w:val="1"/>
                <w:color w:val="auto"/>
              </w:rPr>
            </w:pPr>
          </w:p>
        </w:tc>
      </w:tr>
      <w:tr>
        <w:trPr>
          <w:trHeight w:val="244"/>
        </w:trPr>
        <w:tc>
          <w:tcPr>
            <w:tcW w:w="420" w:type="dxa"/>
            <w:vAlign w:val="bottom"/>
            <w:shd w:val="clear" w:color="auto" w:fill="CCEEFF"/>
          </w:tcPr>
          <w:p>
            <w:pPr>
              <w:spacing w:after="0"/>
              <w:rPr>
                <w:sz w:val="21"/>
                <w:szCs w:val="21"/>
                <w:color w:val="auto"/>
              </w:rPr>
            </w:pPr>
          </w:p>
        </w:tc>
        <w:tc>
          <w:tcPr>
            <w:tcW w:w="1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5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(11)</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12/2022</w:t>
            </w:r>
          </w:p>
        </w:tc>
        <w:tc>
          <w:tcPr>
            <w:tcW w:w="0" w:type="dxa"/>
            <w:vAlign w:val="bottom"/>
          </w:tcPr>
          <w:p>
            <w:pPr>
              <w:spacing w:after="0"/>
              <w:rPr>
                <w:sz w:val="1"/>
                <w:szCs w:val="1"/>
                <w:color w:val="auto"/>
              </w:rPr>
            </w:pPr>
          </w:p>
        </w:tc>
      </w:tr>
      <w:tr>
        <w:trPr>
          <w:trHeight w:val="202"/>
        </w:trPr>
        <w:tc>
          <w:tcPr>
            <w:tcW w:w="2300" w:type="dxa"/>
            <w:vAlign w:val="bottom"/>
            <w:gridSpan w:val="2"/>
          </w:tcPr>
          <w:p>
            <w:pPr>
              <w:spacing w:after="0" w:line="201" w:lineRule="exact"/>
              <w:rPr>
                <w:sz w:val="20"/>
                <w:szCs w:val="20"/>
                <w:color w:val="auto"/>
              </w:rPr>
            </w:pPr>
            <w:r>
              <w:rPr>
                <w:rFonts w:ascii="Arial" w:cs="Arial" w:eastAsia="Arial" w:hAnsi="Arial"/>
                <w:sz w:val="18"/>
                <w:szCs w:val="18"/>
                <w:color w:val="auto"/>
              </w:rPr>
              <w:t>Mont Blanc Hawk</w:t>
            </w:r>
          </w:p>
        </w:tc>
        <w:tc>
          <w:tcPr>
            <w:tcW w:w="100" w:type="dxa"/>
            <w:vAlign w:val="bottom"/>
          </w:tcPr>
          <w:p>
            <w:pPr>
              <w:spacing w:after="0"/>
              <w:rPr>
                <w:sz w:val="17"/>
                <w:szCs w:val="17"/>
                <w:color w:val="auto"/>
              </w:rPr>
            </w:pPr>
          </w:p>
        </w:tc>
        <w:tc>
          <w:tcPr>
            <w:tcW w:w="2520" w:type="dxa"/>
            <w:vAlign w:val="bottom"/>
          </w:tcPr>
          <w:p>
            <w:pPr>
              <w:spacing w:after="0" w:line="201" w:lineRule="exact"/>
              <w:rPr>
                <w:sz w:val="20"/>
                <w:szCs w:val="20"/>
                <w:color w:val="auto"/>
              </w:rPr>
            </w:pPr>
            <w:r>
              <w:rPr>
                <w:rFonts w:ascii="Arial" w:cs="Arial" w:eastAsia="Arial" w:hAnsi="Arial"/>
                <w:sz w:val="18"/>
                <w:szCs w:val="18"/>
                <w:color w:val="auto"/>
              </w:rPr>
              <w:t>Panamax</w:t>
            </w:r>
          </w:p>
        </w:tc>
        <w:tc>
          <w:tcPr>
            <w:tcW w:w="2280" w:type="dxa"/>
            <w:vAlign w:val="bottom"/>
            <w:gridSpan w:val="4"/>
          </w:tcPr>
          <w:p>
            <w:pPr>
              <w:ind w:left="1480"/>
              <w:spacing w:after="0" w:line="201" w:lineRule="exact"/>
              <w:rPr>
                <w:sz w:val="20"/>
                <w:szCs w:val="20"/>
                <w:color w:val="auto"/>
              </w:rPr>
            </w:pPr>
            <w:r>
              <w:rPr>
                <w:rFonts w:ascii="Arial" w:cs="Arial" w:eastAsia="Arial" w:hAnsi="Arial"/>
                <w:sz w:val="18"/>
                <w:szCs w:val="18"/>
                <w:color w:val="auto"/>
              </w:rPr>
              <w:t>2017</w:t>
            </w:r>
          </w:p>
        </w:tc>
        <w:tc>
          <w:tcPr>
            <w:tcW w:w="980" w:type="dxa"/>
            <w:vAlign w:val="bottom"/>
            <w:gridSpan w:val="2"/>
          </w:tcPr>
          <w:p>
            <w:pPr>
              <w:jc w:val="right"/>
              <w:ind w:right="440"/>
              <w:spacing w:after="0" w:line="201" w:lineRule="exact"/>
              <w:rPr>
                <w:sz w:val="20"/>
                <w:szCs w:val="20"/>
                <w:color w:val="auto"/>
              </w:rPr>
            </w:pPr>
            <w:r>
              <w:rPr>
                <w:rFonts w:ascii="Arial" w:cs="Arial" w:eastAsia="Arial" w:hAnsi="Arial"/>
                <w:sz w:val="18"/>
                <w:szCs w:val="18"/>
                <w:color w:val="auto"/>
                <w:w w:val="94"/>
              </w:rPr>
              <w:t>81,638</w:t>
            </w:r>
          </w:p>
        </w:tc>
        <w:tc>
          <w:tcPr>
            <w:tcW w:w="86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95"/>
              </w:rPr>
              <w:t>No</w:t>
            </w:r>
          </w:p>
        </w:tc>
        <w:tc>
          <w:tcPr>
            <w:tcW w:w="1180" w:type="dxa"/>
            <w:vAlign w:val="bottom"/>
            <w:gridSpan w:val="2"/>
          </w:tcPr>
          <w:p>
            <w:pPr>
              <w:jc w:val="right"/>
              <w:ind w:right="440"/>
              <w:spacing w:after="0" w:line="201" w:lineRule="exact"/>
              <w:rPr>
                <w:sz w:val="20"/>
                <w:szCs w:val="20"/>
                <w:color w:val="auto"/>
              </w:rPr>
            </w:pPr>
            <w:r>
              <w:rPr>
                <w:rFonts w:ascii="Arial" w:cs="Arial" w:eastAsia="Arial" w:hAnsi="Arial"/>
                <w:sz w:val="18"/>
                <w:szCs w:val="18"/>
                <w:color w:val="auto"/>
              </w:rPr>
              <w:t>10,515</w:t>
            </w:r>
          </w:p>
        </w:tc>
        <w:tc>
          <w:tcPr>
            <w:tcW w:w="80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06/2021</w:t>
            </w:r>
          </w:p>
        </w:tc>
        <w:tc>
          <w:tcPr>
            <w:tcW w:w="0" w:type="dxa"/>
            <w:vAlign w:val="bottom"/>
          </w:tcPr>
          <w:p>
            <w:pPr>
              <w:spacing w:after="0"/>
              <w:rPr>
                <w:sz w:val="1"/>
                <w:szCs w:val="1"/>
                <w:color w:val="auto"/>
              </w:rPr>
            </w:pPr>
          </w:p>
        </w:tc>
      </w:tr>
      <w:tr>
        <w:trPr>
          <w:trHeight w:val="237"/>
        </w:trPr>
        <w:tc>
          <w:tcPr>
            <w:tcW w:w="4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ind w:left="4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(7)</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07/2021</w:t>
            </w:r>
          </w:p>
        </w:tc>
        <w:tc>
          <w:tcPr>
            <w:tcW w:w="0" w:type="dxa"/>
            <w:vAlign w:val="bottom"/>
          </w:tcPr>
          <w:p>
            <w:pPr>
              <w:spacing w:after="0"/>
              <w:rPr>
                <w:sz w:val="1"/>
                <w:szCs w:val="1"/>
                <w:color w:val="auto"/>
              </w:rPr>
            </w:pPr>
          </w:p>
        </w:tc>
      </w:tr>
      <w:tr>
        <w:trPr>
          <w:trHeight w:val="208"/>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Cassiopeia Ocean</w:t>
            </w:r>
          </w:p>
        </w:tc>
        <w:tc>
          <w:tcPr>
            <w:tcW w:w="10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Panamax</w:t>
            </w:r>
          </w:p>
        </w:tc>
        <w:tc>
          <w:tcPr>
            <w:tcW w:w="2280" w:type="dxa"/>
            <w:vAlign w:val="bottom"/>
            <w:gridSpan w:val="4"/>
            <w:shd w:val="clear" w:color="auto" w:fill="CCEEFF"/>
          </w:tcPr>
          <w:p>
            <w:pPr>
              <w:ind w:left="1480"/>
              <w:spacing w:after="0"/>
              <w:rPr>
                <w:sz w:val="20"/>
                <w:szCs w:val="20"/>
                <w:color w:val="auto"/>
              </w:rPr>
            </w:pPr>
            <w:r>
              <w:rPr>
                <w:rFonts w:ascii="Arial" w:cs="Arial" w:eastAsia="Arial" w:hAnsi="Arial"/>
                <w:sz w:val="18"/>
                <w:szCs w:val="18"/>
                <w:color w:val="auto"/>
              </w:rPr>
              <w:t>2018</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82,069</w:t>
            </w:r>
          </w:p>
        </w:tc>
        <w:tc>
          <w:tcPr>
            <w:tcW w:w="8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5"/>
              </w:rPr>
              <w:t>No</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11,622</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06/2021</w:t>
            </w:r>
          </w:p>
        </w:tc>
        <w:tc>
          <w:tcPr>
            <w:tcW w:w="0" w:type="dxa"/>
            <w:vAlign w:val="bottom"/>
          </w:tcPr>
          <w:p>
            <w:pPr>
              <w:spacing w:after="0"/>
              <w:rPr>
                <w:sz w:val="1"/>
                <w:szCs w:val="1"/>
                <w:color w:val="auto"/>
              </w:rPr>
            </w:pPr>
          </w:p>
        </w:tc>
      </w:tr>
      <w:tr>
        <w:trPr>
          <w:trHeight w:val="244"/>
        </w:trPr>
        <w:tc>
          <w:tcPr>
            <w:tcW w:w="420" w:type="dxa"/>
            <w:vAlign w:val="bottom"/>
            <w:shd w:val="clear" w:color="auto" w:fill="CCEEFF"/>
          </w:tcPr>
          <w:p>
            <w:pPr>
              <w:spacing w:after="0"/>
              <w:rPr>
                <w:sz w:val="21"/>
                <w:szCs w:val="21"/>
                <w:color w:val="auto"/>
              </w:rPr>
            </w:pPr>
          </w:p>
        </w:tc>
        <w:tc>
          <w:tcPr>
            <w:tcW w:w="1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5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(7)</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10/2021</w:t>
            </w:r>
          </w:p>
        </w:tc>
        <w:tc>
          <w:tcPr>
            <w:tcW w:w="0" w:type="dxa"/>
            <w:vAlign w:val="bottom"/>
          </w:tcPr>
          <w:p>
            <w:pPr>
              <w:spacing w:after="0"/>
              <w:rPr>
                <w:sz w:val="1"/>
                <w:szCs w:val="1"/>
                <w:color w:val="auto"/>
              </w:rPr>
            </w:pPr>
          </w:p>
        </w:tc>
      </w:tr>
      <w:tr>
        <w:trPr>
          <w:trHeight w:val="230"/>
        </w:trPr>
        <w:tc>
          <w:tcPr>
            <w:tcW w:w="2300" w:type="dxa"/>
            <w:vAlign w:val="bottom"/>
            <w:gridSpan w:val="2"/>
          </w:tcPr>
          <w:p>
            <w:pPr>
              <w:spacing w:after="0"/>
              <w:rPr>
                <w:sz w:val="20"/>
                <w:szCs w:val="20"/>
                <w:color w:val="auto"/>
              </w:rPr>
            </w:pPr>
            <w:r>
              <w:rPr>
                <w:rFonts w:ascii="Arial" w:cs="Arial" w:eastAsia="Arial" w:hAnsi="Arial"/>
                <w:sz w:val="18"/>
                <w:szCs w:val="18"/>
                <w:color w:val="auto"/>
              </w:rPr>
              <w:t>Navios Gemini</w:t>
            </w:r>
          </w:p>
        </w:tc>
        <w:tc>
          <w:tcPr>
            <w:tcW w:w="100" w:type="dxa"/>
            <w:vAlign w:val="bottom"/>
          </w:tcPr>
          <w:p>
            <w:pPr>
              <w:spacing w:after="0"/>
              <w:rPr>
                <w:sz w:val="20"/>
                <w:szCs w:val="20"/>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Panamax</w:t>
            </w:r>
          </w:p>
        </w:tc>
        <w:tc>
          <w:tcPr>
            <w:tcW w:w="2280" w:type="dxa"/>
            <w:vAlign w:val="bottom"/>
            <w:gridSpan w:val="4"/>
          </w:tcPr>
          <w:p>
            <w:pPr>
              <w:ind w:left="1480"/>
              <w:spacing w:after="0"/>
              <w:rPr>
                <w:sz w:val="20"/>
                <w:szCs w:val="20"/>
                <w:color w:val="auto"/>
              </w:rPr>
            </w:pPr>
            <w:r>
              <w:rPr>
                <w:rFonts w:ascii="Arial" w:cs="Arial" w:eastAsia="Arial" w:hAnsi="Arial"/>
                <w:sz w:val="18"/>
                <w:szCs w:val="18"/>
                <w:color w:val="auto"/>
              </w:rPr>
              <w:t>2018</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81,704</w:t>
            </w:r>
          </w:p>
        </w:tc>
        <w:tc>
          <w:tcPr>
            <w:tcW w:w="86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No</w:t>
            </w:r>
            <w:r>
              <w:rPr>
                <w:rFonts w:ascii="Arial" w:cs="Arial" w:eastAsia="Arial" w:hAnsi="Arial"/>
                <w:sz w:val="15"/>
                <w:szCs w:val="15"/>
                <w:color w:val="auto"/>
                <w:w w:val="96"/>
              </w:rPr>
              <w:t>(17)</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12,255</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04/2022</w:t>
            </w:r>
          </w:p>
        </w:tc>
        <w:tc>
          <w:tcPr>
            <w:tcW w:w="0" w:type="dxa"/>
            <w:vAlign w:val="bottom"/>
          </w:tcPr>
          <w:p>
            <w:pPr>
              <w:spacing w:after="0"/>
              <w:rPr>
                <w:sz w:val="1"/>
                <w:szCs w:val="1"/>
                <w:color w:val="auto"/>
              </w:rPr>
            </w:pPr>
          </w:p>
        </w:tc>
      </w:tr>
      <w:tr>
        <w:trPr>
          <w:trHeight w:val="350"/>
        </w:trPr>
        <w:tc>
          <w:tcPr>
            <w:tcW w:w="4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200" w:type="dxa"/>
            <w:vAlign w:val="bottom"/>
          </w:tcPr>
          <w:p>
            <w:pPr>
              <w:jc w:val="right"/>
              <w:ind w:right="430"/>
              <w:spacing w:after="0"/>
              <w:rPr>
                <w:sz w:val="20"/>
                <w:szCs w:val="20"/>
                <w:color w:val="auto"/>
              </w:rPr>
            </w:pPr>
            <w:r>
              <w:rPr>
                <w:rFonts w:ascii="Arial" w:cs="Arial" w:eastAsia="Arial" w:hAnsi="Arial"/>
                <w:sz w:val="18"/>
                <w:szCs w:val="18"/>
                <w:color w:val="auto"/>
              </w:rPr>
              <w:t>93</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Vessels</w:t>
            </w:r>
          </w:p>
        </w:tc>
        <w:tc>
          <w:tcPr>
            <w:tcW w:w="80" w:type="dxa"/>
            <w:vAlign w:val="bottom"/>
          </w:tcPr>
          <w:p>
            <w:pPr>
              <w:spacing w:after="0"/>
              <w:rPr>
                <w:sz w:val="14"/>
                <w:szCs w:val="14"/>
                <w:color w:val="auto"/>
              </w:rPr>
            </w:pPr>
          </w:p>
        </w:tc>
        <w:tc>
          <w:tcPr>
            <w:tcW w:w="3840" w:type="dxa"/>
            <w:vAlign w:val="bottom"/>
            <w:gridSpan w:val="3"/>
            <w:vMerge w:val="restart"/>
          </w:tcPr>
          <w:p>
            <w:pPr>
              <w:ind w:left="1660"/>
              <w:spacing w:after="0"/>
              <w:rPr>
                <w:sz w:val="20"/>
                <w:szCs w:val="20"/>
                <w:color w:val="auto"/>
              </w:rPr>
            </w:pPr>
            <w:r>
              <w:rPr>
                <w:rFonts w:ascii="Arial" w:cs="Arial" w:eastAsia="Arial" w:hAnsi="Arial"/>
                <w:sz w:val="14"/>
                <w:szCs w:val="14"/>
                <w:b w:val="1"/>
                <w:bCs w:val="1"/>
                <w:color w:val="auto"/>
              </w:rPr>
              <w:t>Type</w:t>
            </w:r>
          </w:p>
        </w:tc>
        <w:tc>
          <w:tcPr>
            <w:tcW w:w="20" w:type="dxa"/>
            <w:vAlign w:val="bottom"/>
          </w:tcPr>
          <w:p>
            <w:pPr>
              <w:spacing w:after="0"/>
              <w:rPr>
                <w:sz w:val="14"/>
                <w:szCs w:val="14"/>
                <w:color w:val="auto"/>
              </w:rPr>
            </w:pPr>
          </w:p>
        </w:tc>
        <w:tc>
          <w:tcPr>
            <w:tcW w:w="8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Built</w:t>
            </w:r>
          </w:p>
        </w:tc>
        <w:tc>
          <w:tcPr>
            <w:tcW w:w="20" w:type="dxa"/>
            <w:vAlign w:val="bottom"/>
          </w:tcPr>
          <w:p>
            <w:pPr>
              <w:spacing w:after="0"/>
              <w:rPr>
                <w:sz w:val="14"/>
                <w:szCs w:val="14"/>
                <w:color w:val="auto"/>
              </w:rPr>
            </w:pPr>
          </w:p>
        </w:tc>
        <w:tc>
          <w:tcPr>
            <w:tcW w:w="106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DWT</w:t>
            </w:r>
          </w:p>
        </w:tc>
        <w:tc>
          <w:tcPr>
            <w:tcW w:w="20" w:type="dxa"/>
            <w:vAlign w:val="bottom"/>
          </w:tcPr>
          <w:p>
            <w:pPr>
              <w:spacing w:after="0"/>
              <w:rPr>
                <w:sz w:val="14"/>
                <w:szCs w:val="14"/>
                <w:color w:val="auto"/>
              </w:rPr>
            </w:pPr>
          </w:p>
        </w:tc>
        <w:tc>
          <w:tcPr>
            <w:tcW w:w="8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8"/>
              </w:rPr>
              <w:t>Purchase</w:t>
            </w:r>
          </w:p>
        </w:tc>
        <w:tc>
          <w:tcPr>
            <w:tcW w:w="1160" w:type="dxa"/>
            <w:vAlign w:val="bottom"/>
            <w:gridSpan w:val="4"/>
          </w:tcPr>
          <w:p>
            <w:pPr>
              <w:jc w:val="center"/>
              <w:ind w:right="344"/>
              <w:spacing w:after="0"/>
              <w:rPr>
                <w:sz w:val="20"/>
                <w:szCs w:val="20"/>
                <w:color w:val="auto"/>
              </w:rPr>
            </w:pPr>
            <w:r>
              <w:rPr>
                <w:rFonts w:ascii="Arial" w:cs="Arial" w:eastAsia="Arial" w:hAnsi="Arial"/>
                <w:sz w:val="14"/>
                <w:szCs w:val="14"/>
                <w:b w:val="1"/>
                <w:bCs w:val="1"/>
                <w:color w:val="auto"/>
                <w:w w:val="97"/>
              </w:rPr>
              <w:t>Charter-out</w:t>
            </w:r>
          </w:p>
        </w:tc>
        <w:tc>
          <w:tcPr>
            <w:tcW w:w="8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62"/>
        </w:trPr>
        <w:tc>
          <w:tcPr>
            <w:tcW w:w="23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38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6"/>
              </w:rPr>
              <w:t>Option</w:t>
            </w:r>
            <w:r>
              <w:rPr>
                <w:rFonts w:ascii="Arial" w:cs="Arial" w:eastAsia="Arial" w:hAnsi="Arial"/>
                <w:sz w:val="12"/>
                <w:szCs w:val="12"/>
                <w:b w:val="1"/>
                <w:bCs w:val="1"/>
                <w:color w:val="auto"/>
                <w:w w:val="96"/>
              </w:rPr>
              <w:t>(4)</w:t>
            </w:r>
          </w:p>
        </w:tc>
        <w:tc>
          <w:tcPr>
            <w:tcW w:w="20" w:type="dxa"/>
            <w:vAlign w:val="bottom"/>
          </w:tcPr>
          <w:p>
            <w:pPr>
              <w:spacing w:after="0"/>
              <w:rPr>
                <w:sz w:val="14"/>
                <w:szCs w:val="14"/>
                <w:color w:val="auto"/>
              </w:rPr>
            </w:pPr>
          </w:p>
        </w:tc>
        <w:tc>
          <w:tcPr>
            <w:tcW w:w="1140" w:type="dxa"/>
            <w:vAlign w:val="bottom"/>
            <w:gridSpan w:val="3"/>
          </w:tcPr>
          <w:p>
            <w:pPr>
              <w:jc w:val="center"/>
              <w:ind w:right="364"/>
              <w:spacing w:after="0"/>
              <w:rPr>
                <w:sz w:val="20"/>
                <w:szCs w:val="20"/>
                <w:color w:val="auto"/>
              </w:rPr>
            </w:pPr>
            <w:r>
              <w:rPr>
                <w:rFonts w:ascii="Arial" w:cs="Arial" w:eastAsia="Arial" w:hAnsi="Arial"/>
                <w:sz w:val="14"/>
                <w:szCs w:val="14"/>
                <w:b w:val="1"/>
                <w:bCs w:val="1"/>
                <w:color w:val="auto"/>
                <w:w w:val="93"/>
              </w:rPr>
              <w:t>Rate</w:t>
            </w:r>
            <w:r>
              <w:rPr>
                <w:rFonts w:ascii="Arial" w:cs="Arial" w:eastAsia="Arial" w:hAnsi="Arial"/>
                <w:sz w:val="12"/>
                <w:szCs w:val="12"/>
                <w:b w:val="1"/>
                <w:bCs w:val="1"/>
                <w:color w:val="auto"/>
                <w:w w:val="93"/>
              </w:rPr>
              <w:t>(1)</w:t>
            </w:r>
          </w:p>
        </w:tc>
        <w:tc>
          <w:tcPr>
            <w:tcW w:w="2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Date</w:t>
            </w:r>
            <w:r>
              <w:rPr>
                <w:rFonts w:ascii="Arial" w:cs="Arial" w:eastAsia="Arial" w:hAnsi="Arial"/>
                <w:sz w:val="12"/>
                <w:szCs w:val="12"/>
                <w:b w:val="1"/>
                <w:bCs w:val="1"/>
                <w:color w:val="auto"/>
              </w:rPr>
              <w:t>(2)</w:t>
            </w:r>
          </w:p>
        </w:tc>
        <w:tc>
          <w:tcPr>
            <w:tcW w:w="0" w:type="dxa"/>
            <w:vAlign w:val="bottom"/>
          </w:tcPr>
          <w:p>
            <w:pPr>
              <w:spacing w:after="0"/>
              <w:rPr>
                <w:sz w:val="1"/>
                <w:szCs w:val="1"/>
                <w:color w:val="auto"/>
              </w:rPr>
            </w:pPr>
          </w:p>
        </w:tc>
      </w:tr>
      <w:tr>
        <w:trPr>
          <w:trHeight w:val="20"/>
        </w:trPr>
        <w:tc>
          <w:tcPr>
            <w:tcW w:w="420" w:type="dxa"/>
            <w:vAlign w:val="bottom"/>
            <w:tcBorders>
              <w:bottom w:val="single" w:sz="8" w:color="CCEEFF"/>
            </w:tcBorders>
            <w:shd w:val="clear" w:color="auto" w:fill="000000"/>
          </w:tcPr>
          <w:p>
            <w:pPr>
              <w:spacing w:after="0" w:line="20" w:lineRule="exact"/>
              <w:rPr>
                <w:sz w:val="1"/>
                <w:szCs w:val="1"/>
                <w:color w:val="auto"/>
              </w:rPr>
            </w:pPr>
          </w:p>
        </w:tc>
        <w:tc>
          <w:tcPr>
            <w:tcW w:w="19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3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Navios Horizon I</w:t>
            </w:r>
          </w:p>
        </w:tc>
        <w:tc>
          <w:tcPr>
            <w:tcW w:w="80" w:type="dxa"/>
            <w:vAlign w:val="bottom"/>
            <w:shd w:val="clear" w:color="auto" w:fill="CCEEFF"/>
          </w:tcPr>
          <w:p>
            <w:pPr>
              <w:spacing w:after="0"/>
              <w:rPr>
                <w:sz w:val="15"/>
                <w:szCs w:val="15"/>
                <w:color w:val="auto"/>
              </w:rPr>
            </w:pPr>
          </w:p>
        </w:tc>
        <w:tc>
          <w:tcPr>
            <w:tcW w:w="36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Panamax</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gridSpan w:val="2"/>
            <w:shd w:val="clear" w:color="auto" w:fill="CCEEFF"/>
          </w:tcPr>
          <w:p>
            <w:pPr>
              <w:ind w:left="60"/>
              <w:spacing w:after="0" w:line="176" w:lineRule="exact"/>
              <w:rPr>
                <w:sz w:val="20"/>
                <w:szCs w:val="20"/>
                <w:color w:val="auto"/>
              </w:rPr>
            </w:pPr>
            <w:r>
              <w:rPr>
                <w:rFonts w:ascii="Arial" w:cs="Arial" w:eastAsia="Arial" w:hAnsi="Arial"/>
                <w:sz w:val="18"/>
                <w:szCs w:val="18"/>
                <w:color w:val="auto"/>
                <w:w w:val="84"/>
              </w:rPr>
              <w:t>2019</w:t>
            </w: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81,692</w:t>
            </w: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6"/>
              </w:rPr>
              <w:t>No</w:t>
            </w:r>
            <w:r>
              <w:rPr>
                <w:rFonts w:ascii="Arial" w:cs="Arial" w:eastAsia="Arial" w:hAnsi="Arial"/>
                <w:sz w:val="15"/>
                <w:szCs w:val="15"/>
                <w:color w:val="auto"/>
                <w:w w:val="96"/>
              </w:rPr>
              <w:t>(17)</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12,027</w:t>
            </w:r>
          </w:p>
        </w:tc>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06/2021</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420" w:type="dxa"/>
            <w:vAlign w:val="bottom"/>
            <w:shd w:val="clear" w:color="auto" w:fill="CCEEFF"/>
          </w:tcPr>
          <w:p>
            <w:pPr>
              <w:spacing w:after="0"/>
              <w:rPr>
                <w:sz w:val="22"/>
                <w:szCs w:val="22"/>
                <w:color w:val="auto"/>
              </w:rPr>
            </w:pPr>
          </w:p>
        </w:tc>
        <w:tc>
          <w:tcPr>
            <w:tcW w:w="19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140" w:type="dxa"/>
            <w:vAlign w:val="bottom"/>
            <w:gridSpan w:val="3"/>
            <w:shd w:val="clear" w:color="auto" w:fill="CCEEFF"/>
          </w:tcPr>
          <w:p>
            <w:pPr>
              <w:ind w:left="44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4"/>
                <w:szCs w:val="14"/>
                <w:color w:val="auto"/>
              </w:rPr>
              <w:t xml:space="preserve"> (10)</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09/2021</w:t>
            </w:r>
          </w:p>
        </w:tc>
        <w:tc>
          <w:tcPr>
            <w:tcW w:w="0" w:type="dxa"/>
            <w:vAlign w:val="bottom"/>
          </w:tcPr>
          <w:p>
            <w:pPr>
              <w:spacing w:after="0"/>
              <w:rPr>
                <w:sz w:val="1"/>
                <w:szCs w:val="1"/>
                <w:color w:val="auto"/>
              </w:rPr>
            </w:pPr>
          </w:p>
        </w:tc>
      </w:tr>
      <w:tr>
        <w:trPr>
          <w:trHeight w:val="202"/>
        </w:trPr>
        <w:tc>
          <w:tcPr>
            <w:tcW w:w="2340" w:type="dxa"/>
            <w:vAlign w:val="bottom"/>
            <w:gridSpan w:val="2"/>
          </w:tcPr>
          <w:p>
            <w:pPr>
              <w:spacing w:after="0" w:line="201" w:lineRule="exact"/>
              <w:rPr>
                <w:sz w:val="20"/>
                <w:szCs w:val="20"/>
                <w:color w:val="auto"/>
              </w:rPr>
            </w:pPr>
            <w:r>
              <w:rPr>
                <w:rFonts w:ascii="Arial" w:cs="Arial" w:eastAsia="Arial" w:hAnsi="Arial"/>
                <w:sz w:val="18"/>
                <w:szCs w:val="18"/>
                <w:color w:val="auto"/>
              </w:rPr>
              <w:t>Navios Koyo</w:t>
            </w:r>
          </w:p>
        </w:tc>
        <w:tc>
          <w:tcPr>
            <w:tcW w:w="3920" w:type="dxa"/>
            <w:vAlign w:val="bottom"/>
            <w:gridSpan w:val="4"/>
          </w:tcPr>
          <w:p>
            <w:pPr>
              <w:ind w:left="80"/>
              <w:spacing w:after="0" w:line="201" w:lineRule="exact"/>
              <w:rPr>
                <w:sz w:val="20"/>
                <w:szCs w:val="20"/>
                <w:color w:val="auto"/>
              </w:rPr>
            </w:pPr>
            <w:r>
              <w:rPr>
                <w:rFonts w:ascii="Arial" w:cs="Arial" w:eastAsia="Arial" w:hAnsi="Arial"/>
                <w:sz w:val="18"/>
                <w:szCs w:val="18"/>
                <w:color w:val="auto"/>
              </w:rPr>
              <w:t>Capesize</w:t>
            </w:r>
          </w:p>
        </w:tc>
        <w:tc>
          <w:tcPr>
            <w:tcW w:w="440" w:type="dxa"/>
            <w:vAlign w:val="bottom"/>
            <w:gridSpan w:val="3"/>
          </w:tcPr>
          <w:p>
            <w:pPr>
              <w:ind w:left="60"/>
              <w:spacing w:after="0" w:line="201" w:lineRule="exact"/>
              <w:rPr>
                <w:sz w:val="20"/>
                <w:szCs w:val="20"/>
                <w:color w:val="auto"/>
              </w:rPr>
            </w:pPr>
            <w:r>
              <w:rPr>
                <w:rFonts w:ascii="Arial" w:cs="Arial" w:eastAsia="Arial" w:hAnsi="Arial"/>
                <w:sz w:val="18"/>
                <w:szCs w:val="18"/>
                <w:color w:val="auto"/>
                <w:w w:val="89"/>
              </w:rPr>
              <w:t>2011</w:t>
            </w:r>
          </w:p>
        </w:tc>
        <w:tc>
          <w:tcPr>
            <w:tcW w:w="420" w:type="dxa"/>
            <w:vAlign w:val="bottom"/>
          </w:tcPr>
          <w:p>
            <w:pPr>
              <w:spacing w:after="0"/>
              <w:rPr>
                <w:sz w:val="17"/>
                <w:szCs w:val="17"/>
                <w:color w:val="auto"/>
              </w:rPr>
            </w:pPr>
          </w:p>
        </w:tc>
        <w:tc>
          <w:tcPr>
            <w:tcW w:w="660" w:type="dxa"/>
            <w:vAlign w:val="bottom"/>
            <w:gridSpan w:val="3"/>
          </w:tcPr>
          <w:p>
            <w:pPr>
              <w:jc w:val="right"/>
              <w:ind w:right="20"/>
              <w:spacing w:after="0" w:line="201" w:lineRule="exact"/>
              <w:rPr>
                <w:sz w:val="20"/>
                <w:szCs w:val="20"/>
                <w:color w:val="auto"/>
              </w:rPr>
            </w:pPr>
            <w:r>
              <w:rPr>
                <w:rFonts w:ascii="Arial" w:cs="Arial" w:eastAsia="Arial" w:hAnsi="Arial"/>
                <w:sz w:val="18"/>
                <w:szCs w:val="18"/>
                <w:color w:val="auto"/>
                <w:w w:val="95"/>
              </w:rPr>
              <w:t>181,415</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gridSpan w:val="3"/>
          </w:tcPr>
          <w:p>
            <w:pPr>
              <w:jc w:val="center"/>
              <w:ind w:right="260"/>
              <w:spacing w:after="0" w:line="201" w:lineRule="exact"/>
              <w:rPr>
                <w:sz w:val="20"/>
                <w:szCs w:val="20"/>
                <w:color w:val="auto"/>
              </w:rPr>
            </w:pPr>
            <w:r>
              <w:rPr>
                <w:rFonts w:ascii="Arial" w:cs="Arial" w:eastAsia="Arial" w:hAnsi="Arial"/>
                <w:sz w:val="18"/>
                <w:szCs w:val="18"/>
                <w:color w:val="auto"/>
                <w:w w:val="83"/>
              </w:rPr>
              <w:t>Yes</w:t>
            </w:r>
          </w:p>
        </w:tc>
        <w:tc>
          <w:tcPr>
            <w:tcW w:w="20" w:type="dxa"/>
            <w:vAlign w:val="bottom"/>
          </w:tcPr>
          <w:p>
            <w:pPr>
              <w:spacing w:after="0"/>
              <w:rPr>
                <w:sz w:val="17"/>
                <w:szCs w:val="17"/>
                <w:color w:val="auto"/>
              </w:rPr>
            </w:pPr>
          </w:p>
        </w:tc>
        <w:tc>
          <w:tcPr>
            <w:tcW w:w="1140" w:type="dxa"/>
            <w:vAlign w:val="bottom"/>
            <w:gridSpan w:val="3"/>
          </w:tcPr>
          <w:p>
            <w:pPr>
              <w:jc w:val="right"/>
              <w:ind w:right="344"/>
              <w:spacing w:after="0" w:line="201" w:lineRule="exact"/>
              <w:rPr>
                <w:sz w:val="20"/>
                <w:szCs w:val="20"/>
                <w:color w:val="auto"/>
              </w:rPr>
            </w:pPr>
            <w:r>
              <w:rPr>
                <w:rFonts w:ascii="Arial" w:cs="Arial" w:eastAsia="Arial" w:hAnsi="Arial"/>
                <w:sz w:val="18"/>
                <w:szCs w:val="18"/>
                <w:color w:val="auto"/>
              </w:rPr>
              <w:t>Spot</w:t>
            </w:r>
          </w:p>
        </w:tc>
        <w:tc>
          <w:tcPr>
            <w:tcW w:w="20" w:type="dxa"/>
            <w:vAlign w:val="bottom"/>
          </w:tcPr>
          <w:p>
            <w:pPr>
              <w:spacing w:after="0"/>
              <w:rPr>
                <w:sz w:val="17"/>
                <w:szCs w:val="17"/>
                <w:color w:val="auto"/>
              </w:rPr>
            </w:pPr>
          </w:p>
        </w:tc>
        <w:tc>
          <w:tcPr>
            <w:tcW w:w="78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340" w:type="dxa"/>
            <w:vAlign w:val="bottom"/>
            <w:gridSpan w:val="2"/>
          </w:tcPr>
          <w:p>
            <w:pPr>
              <w:spacing w:after="0"/>
              <w:rPr>
                <w:sz w:val="20"/>
                <w:szCs w:val="20"/>
                <w:color w:val="auto"/>
              </w:rPr>
            </w:pPr>
            <w:r>
              <w:rPr>
                <w:rFonts w:ascii="Arial" w:cs="Arial" w:eastAsia="Arial" w:hAnsi="Arial"/>
                <w:sz w:val="18"/>
                <w:szCs w:val="18"/>
                <w:color w:val="auto"/>
              </w:rPr>
              <w:t>Navios Felix</w:t>
            </w:r>
          </w:p>
        </w:tc>
        <w:tc>
          <w:tcPr>
            <w:tcW w:w="3920" w:type="dxa"/>
            <w:vAlign w:val="bottom"/>
            <w:gridSpan w:val="4"/>
          </w:tcPr>
          <w:p>
            <w:pPr>
              <w:ind w:left="80"/>
              <w:spacing w:after="0"/>
              <w:rPr>
                <w:sz w:val="20"/>
                <w:szCs w:val="20"/>
                <w:color w:val="auto"/>
              </w:rPr>
            </w:pPr>
            <w:r>
              <w:rPr>
                <w:rFonts w:ascii="Arial" w:cs="Arial" w:eastAsia="Arial" w:hAnsi="Arial"/>
                <w:sz w:val="18"/>
                <w:szCs w:val="18"/>
                <w:color w:val="auto"/>
              </w:rPr>
              <w:t>Capesize</w:t>
            </w:r>
          </w:p>
        </w:tc>
        <w:tc>
          <w:tcPr>
            <w:tcW w:w="440" w:type="dxa"/>
            <w:vAlign w:val="bottom"/>
            <w:gridSpan w:val="3"/>
          </w:tcPr>
          <w:p>
            <w:pPr>
              <w:ind w:left="60"/>
              <w:spacing w:after="0"/>
              <w:rPr>
                <w:sz w:val="20"/>
                <w:szCs w:val="20"/>
                <w:color w:val="auto"/>
              </w:rPr>
            </w:pPr>
            <w:r>
              <w:rPr>
                <w:rFonts w:ascii="Arial" w:cs="Arial" w:eastAsia="Arial" w:hAnsi="Arial"/>
                <w:sz w:val="18"/>
                <w:szCs w:val="18"/>
                <w:color w:val="auto"/>
                <w:w w:val="89"/>
              </w:rPr>
              <w:t>2016</w:t>
            </w:r>
          </w:p>
        </w:tc>
        <w:tc>
          <w:tcPr>
            <w:tcW w:w="420" w:type="dxa"/>
            <w:vAlign w:val="bottom"/>
          </w:tcPr>
          <w:p>
            <w:pPr>
              <w:spacing w:after="0"/>
              <w:rPr>
                <w:sz w:val="20"/>
                <w:szCs w:val="20"/>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w w:val="95"/>
              </w:rPr>
              <w:t>181,221</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gridSpan w:val="3"/>
          </w:tcPr>
          <w:p>
            <w:pPr>
              <w:jc w:val="center"/>
              <w:ind w:right="260"/>
              <w:spacing w:after="0"/>
              <w:rPr>
                <w:sz w:val="20"/>
                <w:szCs w:val="20"/>
                <w:color w:val="auto"/>
              </w:rPr>
            </w:pPr>
            <w:r>
              <w:rPr>
                <w:rFonts w:ascii="Arial" w:cs="Arial" w:eastAsia="Arial" w:hAnsi="Arial"/>
                <w:sz w:val="18"/>
                <w:szCs w:val="18"/>
                <w:color w:val="auto"/>
                <w:w w:val="83"/>
              </w:rPr>
              <w:t>Yes</w:t>
            </w:r>
          </w:p>
        </w:tc>
        <w:tc>
          <w:tcPr>
            <w:tcW w:w="20" w:type="dxa"/>
            <w:vAlign w:val="bottom"/>
          </w:tcPr>
          <w:p>
            <w:pPr>
              <w:spacing w:after="0"/>
              <w:rPr>
                <w:sz w:val="20"/>
                <w:szCs w:val="20"/>
                <w:color w:val="auto"/>
              </w:rPr>
            </w:pPr>
          </w:p>
        </w:tc>
        <w:tc>
          <w:tcPr>
            <w:tcW w:w="1140" w:type="dxa"/>
            <w:vAlign w:val="bottom"/>
            <w:gridSpan w:val="3"/>
          </w:tcPr>
          <w:p>
            <w:pPr>
              <w:ind w:left="4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(12)</w:t>
            </w: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05/2021</w:t>
            </w:r>
          </w:p>
        </w:tc>
        <w:tc>
          <w:tcPr>
            <w:tcW w:w="0" w:type="dxa"/>
            <w:vAlign w:val="bottom"/>
          </w:tcPr>
          <w:p>
            <w:pPr>
              <w:spacing w:after="0"/>
              <w:rPr>
                <w:sz w:val="1"/>
                <w:szCs w:val="1"/>
                <w:color w:val="auto"/>
              </w:rPr>
            </w:pPr>
          </w:p>
        </w:tc>
      </w:tr>
      <w:tr>
        <w:trPr>
          <w:trHeight w:val="432"/>
        </w:trPr>
        <w:tc>
          <w:tcPr>
            <w:tcW w:w="2340" w:type="dxa"/>
            <w:vAlign w:val="bottom"/>
            <w:gridSpan w:val="2"/>
          </w:tcPr>
          <w:p>
            <w:pPr>
              <w:spacing w:after="0"/>
              <w:rPr>
                <w:sz w:val="20"/>
                <w:szCs w:val="20"/>
                <w:color w:val="auto"/>
              </w:rPr>
            </w:pPr>
            <w:r>
              <w:rPr>
                <w:rFonts w:ascii="Arial" w:cs="Arial" w:eastAsia="Arial" w:hAnsi="Arial"/>
                <w:sz w:val="18"/>
                <w:szCs w:val="18"/>
                <w:b w:val="1"/>
                <w:bCs w:val="1"/>
                <w:color w:val="auto"/>
              </w:rPr>
              <w:t>Kleimar Controlled Fleet</w:t>
            </w:r>
          </w:p>
        </w:tc>
        <w:tc>
          <w:tcPr>
            <w:tcW w:w="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Vessels</w:t>
            </w:r>
          </w:p>
        </w:tc>
        <w:tc>
          <w:tcPr>
            <w:tcW w:w="80" w:type="dxa"/>
            <w:vAlign w:val="bottom"/>
          </w:tcPr>
          <w:p>
            <w:pPr>
              <w:spacing w:after="0"/>
              <w:rPr>
                <w:sz w:val="24"/>
                <w:szCs w:val="24"/>
                <w:color w:val="auto"/>
              </w:rPr>
            </w:pPr>
          </w:p>
        </w:tc>
        <w:tc>
          <w:tcPr>
            <w:tcW w:w="3840" w:type="dxa"/>
            <w:vAlign w:val="bottom"/>
            <w:gridSpan w:val="3"/>
            <w:vMerge w:val="restart"/>
          </w:tcPr>
          <w:p>
            <w:pPr>
              <w:ind w:left="1640"/>
              <w:spacing w:after="0"/>
              <w:rPr>
                <w:sz w:val="20"/>
                <w:szCs w:val="20"/>
                <w:color w:val="auto"/>
              </w:rPr>
            </w:pPr>
            <w:r>
              <w:rPr>
                <w:rFonts w:ascii="Arial" w:cs="Arial" w:eastAsia="Arial" w:hAnsi="Arial"/>
                <w:sz w:val="14"/>
                <w:szCs w:val="14"/>
                <w:b w:val="1"/>
                <w:bCs w:val="1"/>
                <w:color w:val="auto"/>
              </w:rPr>
              <w:t>Type</w:t>
            </w:r>
          </w:p>
        </w:tc>
        <w:tc>
          <w:tcPr>
            <w:tcW w:w="20" w:type="dxa"/>
            <w:vAlign w:val="bottom"/>
          </w:tcPr>
          <w:p>
            <w:pPr>
              <w:spacing w:after="0"/>
              <w:rPr>
                <w:sz w:val="24"/>
                <w:szCs w:val="24"/>
                <w:color w:val="auto"/>
              </w:rPr>
            </w:pPr>
          </w:p>
        </w:tc>
        <w:tc>
          <w:tcPr>
            <w:tcW w:w="8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Built</w:t>
            </w:r>
          </w:p>
        </w:tc>
        <w:tc>
          <w:tcPr>
            <w:tcW w:w="20" w:type="dxa"/>
            <w:vAlign w:val="bottom"/>
          </w:tcPr>
          <w:p>
            <w:pPr>
              <w:spacing w:after="0"/>
              <w:rPr>
                <w:sz w:val="24"/>
                <w:szCs w:val="24"/>
                <w:color w:val="auto"/>
              </w:rPr>
            </w:pPr>
          </w:p>
        </w:tc>
        <w:tc>
          <w:tcPr>
            <w:tcW w:w="106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DWT</w:t>
            </w:r>
          </w:p>
        </w:tc>
        <w:tc>
          <w:tcPr>
            <w:tcW w:w="20" w:type="dxa"/>
            <w:vAlign w:val="bottom"/>
          </w:tcPr>
          <w:p>
            <w:pPr>
              <w:spacing w:after="0"/>
              <w:rPr>
                <w:sz w:val="24"/>
                <w:szCs w:val="24"/>
                <w:color w:val="auto"/>
              </w:rPr>
            </w:pPr>
          </w:p>
        </w:tc>
        <w:tc>
          <w:tcPr>
            <w:tcW w:w="8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Purchase</w:t>
            </w:r>
          </w:p>
        </w:tc>
        <w:tc>
          <w:tcPr>
            <w:tcW w:w="20" w:type="dxa"/>
            <w:vAlign w:val="bottom"/>
          </w:tcPr>
          <w:p>
            <w:pPr>
              <w:spacing w:after="0"/>
              <w:rPr>
                <w:sz w:val="24"/>
                <w:szCs w:val="24"/>
                <w:color w:val="auto"/>
              </w:rPr>
            </w:pPr>
          </w:p>
        </w:tc>
        <w:tc>
          <w:tcPr>
            <w:tcW w:w="1140" w:type="dxa"/>
            <w:vAlign w:val="bottom"/>
            <w:gridSpan w:val="3"/>
          </w:tcPr>
          <w:p>
            <w:pPr>
              <w:jc w:val="center"/>
              <w:ind w:right="344"/>
              <w:spacing w:after="0"/>
              <w:rPr>
                <w:sz w:val="20"/>
                <w:szCs w:val="20"/>
                <w:color w:val="auto"/>
              </w:rPr>
            </w:pPr>
            <w:r>
              <w:rPr>
                <w:rFonts w:ascii="Arial" w:cs="Arial" w:eastAsia="Arial" w:hAnsi="Arial"/>
                <w:sz w:val="14"/>
                <w:szCs w:val="14"/>
                <w:b w:val="1"/>
                <w:bCs w:val="1"/>
                <w:color w:val="auto"/>
                <w:w w:val="94"/>
              </w:rPr>
              <w:t>Charter-out</w:t>
            </w:r>
          </w:p>
        </w:tc>
        <w:tc>
          <w:tcPr>
            <w:tcW w:w="20" w:type="dxa"/>
            <w:vAlign w:val="bottom"/>
          </w:tcPr>
          <w:p>
            <w:pPr>
              <w:spacing w:after="0"/>
              <w:rPr>
                <w:sz w:val="24"/>
                <w:szCs w:val="2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3"/>
              </w:rPr>
              <w:t>Expiration</w:t>
            </w:r>
          </w:p>
        </w:tc>
        <w:tc>
          <w:tcPr>
            <w:tcW w:w="0" w:type="dxa"/>
            <w:vAlign w:val="bottom"/>
          </w:tcPr>
          <w:p>
            <w:pPr>
              <w:spacing w:after="0"/>
              <w:rPr>
                <w:sz w:val="1"/>
                <w:szCs w:val="1"/>
                <w:color w:val="auto"/>
              </w:rPr>
            </w:pPr>
          </w:p>
        </w:tc>
      </w:tr>
      <w:tr>
        <w:trPr>
          <w:trHeight w:val="162"/>
        </w:trPr>
        <w:tc>
          <w:tcPr>
            <w:tcW w:w="23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38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6"/>
              </w:rPr>
              <w:t>Option</w:t>
            </w:r>
            <w:r>
              <w:rPr>
                <w:rFonts w:ascii="Arial" w:cs="Arial" w:eastAsia="Arial" w:hAnsi="Arial"/>
                <w:sz w:val="12"/>
                <w:szCs w:val="12"/>
                <w:b w:val="1"/>
                <w:bCs w:val="1"/>
                <w:color w:val="auto"/>
                <w:w w:val="96"/>
              </w:rPr>
              <w:t>(4)</w:t>
            </w:r>
          </w:p>
        </w:tc>
        <w:tc>
          <w:tcPr>
            <w:tcW w:w="20" w:type="dxa"/>
            <w:vAlign w:val="bottom"/>
          </w:tcPr>
          <w:p>
            <w:pPr>
              <w:spacing w:after="0"/>
              <w:rPr>
                <w:sz w:val="14"/>
                <w:szCs w:val="14"/>
                <w:color w:val="auto"/>
              </w:rPr>
            </w:pPr>
          </w:p>
        </w:tc>
        <w:tc>
          <w:tcPr>
            <w:tcW w:w="1140" w:type="dxa"/>
            <w:vAlign w:val="bottom"/>
            <w:gridSpan w:val="3"/>
          </w:tcPr>
          <w:p>
            <w:pPr>
              <w:jc w:val="center"/>
              <w:ind w:right="344"/>
              <w:spacing w:after="0"/>
              <w:rPr>
                <w:sz w:val="20"/>
                <w:szCs w:val="20"/>
                <w:color w:val="auto"/>
              </w:rPr>
            </w:pPr>
            <w:r>
              <w:rPr>
                <w:rFonts w:ascii="Arial" w:cs="Arial" w:eastAsia="Arial" w:hAnsi="Arial"/>
                <w:sz w:val="14"/>
                <w:szCs w:val="14"/>
                <w:b w:val="1"/>
                <w:bCs w:val="1"/>
                <w:color w:val="auto"/>
                <w:w w:val="97"/>
              </w:rPr>
              <w:t>Rate</w:t>
            </w:r>
            <w:r>
              <w:rPr>
                <w:rFonts w:ascii="Arial" w:cs="Arial" w:eastAsia="Arial" w:hAnsi="Arial"/>
                <w:sz w:val="12"/>
                <w:szCs w:val="12"/>
                <w:b w:val="1"/>
                <w:bCs w:val="1"/>
                <w:color w:val="auto"/>
                <w:w w:val="97"/>
              </w:rPr>
              <w:t>(1)</w:t>
            </w:r>
          </w:p>
        </w:tc>
        <w:tc>
          <w:tcPr>
            <w:tcW w:w="2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Date</w:t>
            </w:r>
            <w:r>
              <w:rPr>
                <w:rFonts w:ascii="Arial" w:cs="Arial" w:eastAsia="Arial" w:hAnsi="Arial"/>
                <w:sz w:val="12"/>
                <w:szCs w:val="12"/>
                <w:b w:val="1"/>
                <w:bCs w:val="1"/>
                <w:color w:val="auto"/>
              </w:rPr>
              <w:t>(2)</w:t>
            </w:r>
          </w:p>
        </w:tc>
        <w:tc>
          <w:tcPr>
            <w:tcW w:w="0" w:type="dxa"/>
            <w:vAlign w:val="bottom"/>
          </w:tcPr>
          <w:p>
            <w:pPr>
              <w:spacing w:after="0"/>
              <w:rPr>
                <w:sz w:val="1"/>
                <w:szCs w:val="1"/>
                <w:color w:val="auto"/>
              </w:rPr>
            </w:pPr>
          </w:p>
        </w:tc>
      </w:tr>
      <w:tr>
        <w:trPr>
          <w:trHeight w:val="20"/>
        </w:trPr>
        <w:tc>
          <w:tcPr>
            <w:tcW w:w="420" w:type="dxa"/>
            <w:vAlign w:val="bottom"/>
            <w:tcBorders>
              <w:bottom w:val="single" w:sz="8" w:color="CCEEFF"/>
            </w:tcBorders>
            <w:shd w:val="clear" w:color="auto" w:fill="000000"/>
          </w:tcPr>
          <w:p>
            <w:pPr>
              <w:spacing w:after="0" w:line="20" w:lineRule="exact"/>
              <w:rPr>
                <w:sz w:val="1"/>
                <w:szCs w:val="1"/>
                <w:color w:val="auto"/>
              </w:rPr>
            </w:pPr>
          </w:p>
        </w:tc>
        <w:tc>
          <w:tcPr>
            <w:tcW w:w="19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3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Navios Obeliks</w:t>
            </w:r>
          </w:p>
        </w:tc>
        <w:tc>
          <w:tcPr>
            <w:tcW w:w="372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Capesize</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gridSpan w:val="2"/>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2012</w:t>
            </w: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181,415</w:t>
            </w: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center"/>
              <w:ind w:right="20"/>
              <w:spacing w:after="0" w:line="203" w:lineRule="exact"/>
              <w:rPr>
                <w:sz w:val="20"/>
                <w:szCs w:val="20"/>
                <w:color w:val="auto"/>
              </w:rPr>
            </w:pPr>
            <w:r>
              <w:rPr>
                <w:rFonts w:ascii="Arial" w:cs="Arial" w:eastAsia="Arial" w:hAnsi="Arial"/>
                <w:sz w:val="18"/>
                <w:szCs w:val="18"/>
                <w:color w:val="auto"/>
                <w:w w:val="83"/>
              </w:rPr>
              <w:t>Yes</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460"/>
              <w:spacing w:after="0" w:line="203"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82"/>
              </w:rPr>
              <w:t>(14)</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07/2021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60" w:hanging="444"/>
        <w:spacing w:after="0"/>
        <w:tabs>
          <w:tab w:leader="none" w:pos="5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Daily rate net of commissions.</w:t>
      </w:r>
    </w:p>
    <w:p>
      <w:pPr>
        <w:spacing w:after="0" w:line="23" w:lineRule="exact"/>
        <w:rPr>
          <w:rFonts w:ascii="Arial" w:cs="Arial" w:eastAsia="Arial" w:hAnsi="Arial"/>
          <w:sz w:val="18"/>
          <w:szCs w:val="18"/>
          <w:color w:val="auto"/>
        </w:rPr>
      </w:pPr>
    </w:p>
    <w:p>
      <w:pPr>
        <w:ind w:left="560" w:hanging="444"/>
        <w:spacing w:after="0"/>
        <w:tabs>
          <w:tab w:leader="none" w:pos="5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Expected redelivery basis midpoint of full redelivery period or company’s best estimate.</w:t>
      </w:r>
    </w:p>
    <w:p>
      <w:pPr>
        <w:spacing w:after="0" w:line="9" w:lineRule="exact"/>
        <w:rPr>
          <w:rFonts w:ascii="Arial" w:cs="Arial" w:eastAsia="Arial" w:hAnsi="Arial"/>
          <w:sz w:val="18"/>
          <w:szCs w:val="18"/>
          <w:color w:val="auto"/>
        </w:rPr>
      </w:pPr>
    </w:p>
    <w:p>
      <w:pPr>
        <w:ind w:left="560" w:hanging="444"/>
        <w:spacing w:after="0"/>
        <w:tabs>
          <w:tab w:leader="none" w:pos="5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Agreed to be sold. Expected delivery to new owners within the second quarter of 2021.</w:t>
      </w:r>
    </w:p>
    <w:p>
      <w:pPr>
        <w:spacing w:after="0" w:line="9" w:lineRule="exact"/>
        <w:rPr>
          <w:rFonts w:ascii="Arial" w:cs="Arial" w:eastAsia="Arial" w:hAnsi="Arial"/>
          <w:sz w:val="18"/>
          <w:szCs w:val="18"/>
          <w:color w:val="auto"/>
        </w:rPr>
      </w:pPr>
    </w:p>
    <w:p>
      <w:pPr>
        <w:ind w:left="560" w:hanging="444"/>
        <w:spacing w:after="0"/>
        <w:tabs>
          <w:tab w:leader="none" w:pos="5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Generally, Navios Holdings may exercise its purchase option after three to five years of service.</w:t>
      </w:r>
    </w:p>
    <w:p>
      <w:pPr>
        <w:spacing w:after="0" w:line="9" w:lineRule="exact"/>
        <w:rPr>
          <w:rFonts w:ascii="Arial" w:cs="Arial" w:eastAsia="Arial" w:hAnsi="Arial"/>
          <w:sz w:val="18"/>
          <w:szCs w:val="18"/>
          <w:color w:val="auto"/>
        </w:rPr>
      </w:pPr>
    </w:p>
    <w:p>
      <w:pPr>
        <w:ind w:left="560" w:hanging="444"/>
        <w:spacing w:after="0"/>
        <w:tabs>
          <w:tab w:leader="none" w:pos="5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Navios Holdings holds the initial 50% purchase option on the vessel.</w:t>
      </w:r>
    </w:p>
    <w:p>
      <w:pPr>
        <w:spacing w:after="0" w:line="9" w:lineRule="exact"/>
        <w:rPr>
          <w:rFonts w:ascii="Arial" w:cs="Arial" w:eastAsia="Arial" w:hAnsi="Arial"/>
          <w:sz w:val="18"/>
          <w:szCs w:val="18"/>
          <w:color w:val="auto"/>
        </w:rPr>
      </w:pPr>
    </w:p>
    <w:p>
      <w:pPr>
        <w:ind w:left="560" w:hanging="444"/>
        <w:spacing w:after="0"/>
        <w:tabs>
          <w:tab w:leader="none" w:pos="5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110% of average Baltic Supramax 58 10TC Index Routes.</w:t>
      </w:r>
    </w:p>
    <w:p>
      <w:pPr>
        <w:spacing w:after="0" w:line="9" w:lineRule="exact"/>
        <w:rPr>
          <w:rFonts w:ascii="Arial" w:cs="Arial" w:eastAsia="Arial" w:hAnsi="Arial"/>
          <w:sz w:val="18"/>
          <w:szCs w:val="18"/>
          <w:color w:val="auto"/>
        </w:rPr>
      </w:pPr>
    </w:p>
    <w:p>
      <w:pPr>
        <w:ind w:left="560" w:hanging="444"/>
        <w:spacing w:after="0"/>
        <w:tabs>
          <w:tab w:leader="none" w:pos="5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115% of average Baltic Panamax 4TC Index Routes.</w:t>
      </w:r>
    </w:p>
    <w:p>
      <w:pPr>
        <w:spacing w:after="0" w:line="9" w:lineRule="exact"/>
        <w:rPr>
          <w:rFonts w:ascii="Arial" w:cs="Arial" w:eastAsia="Arial" w:hAnsi="Arial"/>
          <w:sz w:val="18"/>
          <w:szCs w:val="18"/>
          <w:color w:val="auto"/>
        </w:rPr>
      </w:pPr>
    </w:p>
    <w:p>
      <w:pPr>
        <w:ind w:left="560" w:hanging="444"/>
        <w:spacing w:after="0"/>
        <w:tabs>
          <w:tab w:leader="none" w:pos="5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113% of average Baltic Panamax 4TC Index Routes.</w:t>
      </w:r>
    </w:p>
    <w:p>
      <w:pPr>
        <w:spacing w:after="0" w:line="9" w:lineRule="exact"/>
        <w:rPr>
          <w:sz w:val="20"/>
          <w:szCs w:val="20"/>
          <w:color w:val="auto"/>
        </w:rPr>
      </w:pPr>
    </w:p>
    <w:p>
      <w:pPr>
        <w:ind w:left="560" w:hanging="444"/>
        <w:spacing w:after="0"/>
        <w:tabs>
          <w:tab w:leader="none" w:pos="5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120% of average Baltic Panamax 4TC Index Routes.</w:t>
      </w:r>
    </w:p>
    <w:p>
      <w:pPr>
        <w:spacing w:after="0" w:line="9" w:lineRule="exact"/>
        <w:rPr>
          <w:rFonts w:ascii="Arial" w:cs="Arial" w:eastAsia="Arial" w:hAnsi="Arial"/>
          <w:sz w:val="18"/>
          <w:szCs w:val="18"/>
          <w:color w:val="auto"/>
        </w:rPr>
      </w:pPr>
    </w:p>
    <w:p>
      <w:pPr>
        <w:ind w:left="560" w:hanging="444"/>
        <w:spacing w:after="0"/>
        <w:tabs>
          <w:tab w:leader="none" w:pos="5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122% of average Baltic Panamax 4TC Index Routes.</w:t>
      </w:r>
    </w:p>
    <w:p>
      <w:pPr>
        <w:spacing w:after="0" w:line="9" w:lineRule="exact"/>
        <w:rPr>
          <w:rFonts w:ascii="Arial" w:cs="Arial" w:eastAsia="Arial" w:hAnsi="Arial"/>
          <w:sz w:val="18"/>
          <w:szCs w:val="18"/>
          <w:color w:val="auto"/>
        </w:rPr>
      </w:pPr>
    </w:p>
    <w:p>
      <w:pPr>
        <w:ind w:left="560" w:hanging="444"/>
        <w:spacing w:after="0"/>
        <w:tabs>
          <w:tab w:leader="none" w:pos="5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122% of average Baltic Capesize 5TC Index Routes.</w:t>
      </w:r>
    </w:p>
    <w:p>
      <w:pPr>
        <w:spacing w:after="0" w:line="9" w:lineRule="exact"/>
        <w:rPr>
          <w:sz w:val="20"/>
          <w:szCs w:val="20"/>
          <w:color w:val="auto"/>
        </w:rPr>
      </w:pPr>
    </w:p>
    <w:p>
      <w:pPr>
        <w:ind w:left="560" w:hanging="444"/>
        <w:spacing w:after="0"/>
        <w:tabs>
          <w:tab w:leader="none" w:pos="5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105.5% of average Baltic Capesize 5TC Index Routes.</w:t>
      </w:r>
    </w:p>
    <w:p>
      <w:pPr>
        <w:spacing w:after="0" w:line="9" w:lineRule="exact"/>
        <w:rPr>
          <w:rFonts w:ascii="Arial" w:cs="Arial" w:eastAsia="Arial" w:hAnsi="Arial"/>
          <w:sz w:val="18"/>
          <w:szCs w:val="18"/>
          <w:color w:val="auto"/>
        </w:rPr>
      </w:pPr>
    </w:p>
    <w:p>
      <w:pPr>
        <w:ind w:left="560" w:hanging="444"/>
        <w:spacing w:after="0"/>
        <w:tabs>
          <w:tab w:leader="none" w:pos="5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Navios Holdings has the right of first refusal and profit sharing on sale of vessel.</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Navios Logistics’ Fleet</w:t>
      </w:r>
    </w:p>
    <w:p>
      <w:pPr>
        <w:spacing w:after="0" w:line="12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Navios Logistics’ fleet consists of six product tanker vessels, one bunker vessel and one river and estuary product tanker. The table below reflects its cabotage tanker fleet as presented in Navios Logistics’ 20-F filed with SEC.</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81"/>
              </w:rPr>
              <w:t>Vessel</w:t>
            </w:r>
          </w:p>
        </w:tc>
        <w:tc>
          <w:tcPr>
            <w:tcW w:w="3400" w:type="dxa"/>
            <w:vAlign w:val="bottom"/>
            <w:vMerge w:val="restart"/>
          </w:tcPr>
          <w:p>
            <w:pPr>
              <w:spacing w:after="0"/>
              <w:rPr>
                <w:sz w:val="14"/>
                <w:szCs w:val="14"/>
                <w:color w:val="auto"/>
              </w:rPr>
            </w:pPr>
          </w:p>
        </w:tc>
        <w:tc>
          <w:tcPr>
            <w:tcW w:w="12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Type</w:t>
            </w:r>
          </w:p>
        </w:tc>
        <w:tc>
          <w:tcPr>
            <w:tcW w:w="5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Built</w:t>
            </w:r>
          </w:p>
        </w:tc>
        <w:tc>
          <w:tcPr>
            <w:tcW w:w="7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DWT</w:t>
            </w:r>
          </w:p>
        </w:tc>
        <w:tc>
          <w:tcPr>
            <w:tcW w:w="19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Employment Date</w:t>
            </w:r>
          </w:p>
        </w:tc>
        <w:tc>
          <w:tcPr>
            <w:tcW w:w="11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9"/>
              </w:rPr>
              <w:t>Charter-Out</w:t>
            </w:r>
          </w:p>
        </w:tc>
        <w:tc>
          <w:tcPr>
            <w:tcW w:w="1660" w:type="dxa"/>
            <w:vAlign w:val="bottom"/>
            <w:gridSpan w:val="2"/>
          </w:tcPr>
          <w:p>
            <w:pPr>
              <w:jc w:val="right"/>
              <w:ind w:right="384"/>
              <w:spacing w:after="0"/>
              <w:rPr>
                <w:sz w:val="20"/>
                <w:szCs w:val="20"/>
                <w:color w:val="auto"/>
              </w:rPr>
            </w:pPr>
            <w:r>
              <w:rPr>
                <w:rFonts w:ascii="Arial" w:cs="Arial" w:eastAsia="Arial" w:hAnsi="Arial"/>
                <w:sz w:val="14"/>
                <w:szCs w:val="14"/>
                <w:b w:val="1"/>
                <w:bCs w:val="1"/>
                <w:color w:val="auto"/>
              </w:rPr>
              <w:t>Expiration Date</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3400" w:type="dxa"/>
            <w:vAlign w:val="bottom"/>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940" w:type="dxa"/>
            <w:vAlign w:val="bottom"/>
            <w:gridSpan w:val="2"/>
            <w:vMerge w:val="continue"/>
          </w:tcPr>
          <w:p>
            <w:pPr>
              <w:spacing w:after="0"/>
              <w:rPr>
                <w:sz w:val="15"/>
                <w:szCs w:val="15"/>
                <w:color w:val="auto"/>
              </w:rPr>
            </w:pPr>
          </w:p>
        </w:tc>
        <w:tc>
          <w:tcPr>
            <w:tcW w:w="1140" w:type="dxa"/>
            <w:vAlign w:val="bottom"/>
            <w:gridSpan w:val="2"/>
          </w:tcPr>
          <w:p>
            <w:pPr>
              <w:jc w:val="right"/>
              <w:ind w:right="460"/>
              <w:spacing w:after="0" w:line="158" w:lineRule="exact"/>
              <w:rPr>
                <w:sz w:val="20"/>
                <w:szCs w:val="20"/>
                <w:color w:val="auto"/>
              </w:rPr>
            </w:pPr>
            <w:r>
              <w:rPr>
                <w:rFonts w:ascii="Arial" w:cs="Arial" w:eastAsia="Arial" w:hAnsi="Arial"/>
                <w:sz w:val="14"/>
                <w:szCs w:val="14"/>
                <w:b w:val="1"/>
                <w:bCs w:val="1"/>
                <w:color w:val="auto"/>
              </w:rPr>
              <w:t>Duration</w:t>
            </w:r>
          </w:p>
        </w:tc>
        <w:tc>
          <w:tcPr>
            <w:tcW w:w="1660" w:type="dxa"/>
            <w:vAlign w:val="bottom"/>
            <w:gridSpan w:val="2"/>
          </w:tcPr>
          <w:p>
            <w:pPr>
              <w:jc w:val="right"/>
              <w:ind w:right="564"/>
              <w:spacing w:after="0" w:line="158" w:lineRule="exact"/>
              <w:rPr>
                <w:sz w:val="20"/>
                <w:szCs w:val="20"/>
                <w:color w:val="auto"/>
              </w:rPr>
            </w:pPr>
            <w:r>
              <w:rPr>
                <w:rFonts w:ascii="Arial" w:cs="Arial" w:eastAsia="Arial" w:hAnsi="Arial"/>
                <w:sz w:val="14"/>
                <w:szCs w:val="14"/>
                <w:b w:val="1"/>
                <w:bCs w:val="1"/>
                <w:color w:val="auto"/>
              </w:rPr>
              <w:t>of License</w:t>
            </w:r>
          </w:p>
        </w:tc>
        <w:tc>
          <w:tcPr>
            <w:tcW w:w="0" w:type="dxa"/>
            <w:vAlign w:val="bottom"/>
          </w:tcPr>
          <w:p>
            <w:pPr>
              <w:spacing w:after="0"/>
              <w:rPr>
                <w:sz w:val="1"/>
                <w:szCs w:val="1"/>
                <w:color w:val="auto"/>
              </w:rPr>
            </w:pPr>
          </w:p>
        </w:tc>
      </w:tr>
      <w:tr>
        <w:trPr>
          <w:trHeight w:val="203"/>
        </w:trPr>
        <w:tc>
          <w:tcPr>
            <w:tcW w:w="37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Malva H</w:t>
            </w:r>
          </w:p>
        </w:tc>
        <w:tc>
          <w:tcPr>
            <w:tcW w:w="11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Product Tanker</w:t>
            </w:r>
          </w:p>
        </w:tc>
        <w:tc>
          <w:tcPr>
            <w:tcW w:w="1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ind w:left="40"/>
              <w:spacing w:after="0" w:line="203" w:lineRule="exact"/>
              <w:rPr>
                <w:sz w:val="20"/>
                <w:szCs w:val="20"/>
                <w:color w:val="auto"/>
              </w:rPr>
            </w:pPr>
            <w:r>
              <w:rPr>
                <w:rFonts w:ascii="Arial" w:cs="Arial" w:eastAsia="Arial" w:hAnsi="Arial"/>
                <w:sz w:val="18"/>
                <w:szCs w:val="18"/>
                <w:color w:val="auto"/>
                <w:w w:val="84"/>
              </w:rPr>
              <w:t>2008</w:t>
            </w:r>
          </w:p>
        </w:tc>
        <w:tc>
          <w:tcPr>
            <w:tcW w:w="1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8,974</w:t>
            </w:r>
          </w:p>
        </w:tc>
        <w:tc>
          <w:tcPr>
            <w:tcW w:w="160" w:type="dxa"/>
            <w:vAlign w:val="bottom"/>
            <w:tcBorders>
              <w:top w:val="single" w:sz="8" w:color="CCEEFF"/>
            </w:tcBorders>
            <w:shd w:val="clear" w:color="auto" w:fill="CCEEFF"/>
          </w:tcPr>
          <w:p>
            <w:pPr>
              <w:spacing w:after="0"/>
              <w:rPr>
                <w:sz w:val="17"/>
                <w:szCs w:val="17"/>
                <w:color w:val="auto"/>
              </w:rPr>
            </w:pPr>
          </w:p>
        </w:tc>
        <w:tc>
          <w:tcPr>
            <w:tcW w:w="1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March 01, 2020</w:t>
            </w:r>
          </w:p>
        </w:tc>
        <w:tc>
          <w:tcPr>
            <w:tcW w:w="1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18 months</w:t>
            </w:r>
          </w:p>
        </w:tc>
        <w:tc>
          <w:tcPr>
            <w:tcW w:w="34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N/A</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7"/>
              </w:rPr>
              <w:t>(1)</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Estefania H</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Product Tanker</w:t>
            </w:r>
          </w:p>
        </w:tc>
        <w:tc>
          <w:tcPr>
            <w:tcW w:w="580" w:type="dxa"/>
            <w:vAlign w:val="bottom"/>
            <w:gridSpan w:val="2"/>
          </w:tcPr>
          <w:p>
            <w:pPr>
              <w:ind w:left="40"/>
              <w:spacing w:after="0"/>
              <w:rPr>
                <w:sz w:val="20"/>
                <w:szCs w:val="20"/>
                <w:color w:val="auto"/>
              </w:rPr>
            </w:pPr>
            <w:r>
              <w:rPr>
                <w:rFonts w:ascii="Arial" w:cs="Arial" w:eastAsia="Arial" w:hAnsi="Arial"/>
                <w:sz w:val="18"/>
                <w:szCs w:val="18"/>
                <w:color w:val="auto"/>
              </w:rPr>
              <w:t>2008</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12,000</w:t>
            </w:r>
          </w:p>
        </w:tc>
        <w:tc>
          <w:tcPr>
            <w:tcW w:w="1940" w:type="dxa"/>
            <w:vAlign w:val="bottom"/>
            <w:gridSpan w:val="2"/>
          </w:tcPr>
          <w:p>
            <w:pPr>
              <w:jc w:val="right"/>
              <w:ind w:right="120"/>
              <w:spacing w:after="0"/>
              <w:rPr>
                <w:sz w:val="20"/>
                <w:szCs w:val="20"/>
                <w:color w:val="auto"/>
              </w:rPr>
            </w:pPr>
            <w:r>
              <w:rPr>
                <w:rFonts w:ascii="Arial" w:cs="Arial" w:eastAsia="Arial" w:hAnsi="Arial"/>
                <w:sz w:val="18"/>
                <w:szCs w:val="18"/>
                <w:color w:val="auto"/>
              </w:rPr>
              <w:t>February 01, 2021</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8 months</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N/A</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Makenita H</w:t>
            </w:r>
          </w:p>
        </w:tc>
        <w:tc>
          <w:tcPr>
            <w:tcW w:w="12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Product Tanker</w:t>
            </w:r>
          </w:p>
        </w:tc>
        <w:tc>
          <w:tcPr>
            <w:tcW w:w="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2009</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17,508</w:t>
            </w:r>
          </w:p>
        </w:tc>
        <w:tc>
          <w:tcPr>
            <w:tcW w:w="1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February 16, 2019</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36 months</w:t>
            </w:r>
          </w:p>
        </w:tc>
        <w:tc>
          <w:tcPr>
            <w:tcW w:w="1660" w:type="dxa"/>
            <w:vAlign w:val="bottom"/>
            <w:gridSpan w:val="2"/>
            <w:shd w:val="clear" w:color="auto" w:fill="CCEEFF"/>
          </w:tcPr>
          <w:p>
            <w:pPr>
              <w:jc w:val="right"/>
              <w:ind w:right="164"/>
              <w:spacing w:after="0"/>
              <w:rPr>
                <w:sz w:val="20"/>
                <w:szCs w:val="20"/>
                <w:color w:val="auto"/>
              </w:rPr>
            </w:pPr>
            <w:r>
              <w:rPr>
                <w:rFonts w:ascii="Arial" w:cs="Arial" w:eastAsia="Arial" w:hAnsi="Arial"/>
                <w:sz w:val="18"/>
                <w:szCs w:val="18"/>
                <w:color w:val="auto"/>
              </w:rPr>
              <w:t>June 26, 2022</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Sara H</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Product Tanker</w:t>
            </w:r>
          </w:p>
        </w:tc>
        <w:tc>
          <w:tcPr>
            <w:tcW w:w="580" w:type="dxa"/>
            <w:vAlign w:val="bottom"/>
            <w:gridSpan w:val="2"/>
          </w:tcPr>
          <w:p>
            <w:pPr>
              <w:ind w:left="40"/>
              <w:spacing w:after="0"/>
              <w:rPr>
                <w:sz w:val="20"/>
                <w:szCs w:val="20"/>
                <w:color w:val="auto"/>
              </w:rPr>
            </w:pPr>
            <w:r>
              <w:rPr>
                <w:rFonts w:ascii="Arial" w:cs="Arial" w:eastAsia="Arial" w:hAnsi="Arial"/>
                <w:sz w:val="18"/>
                <w:szCs w:val="18"/>
                <w:color w:val="auto"/>
              </w:rPr>
              <w:t>2009</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9,000</w:t>
            </w:r>
          </w:p>
        </w:tc>
        <w:tc>
          <w:tcPr>
            <w:tcW w:w="194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r>
              <w:rPr>
                <w:rFonts w:ascii="Arial" w:cs="Arial" w:eastAsia="Arial" w:hAnsi="Arial"/>
                <w:sz w:val="15"/>
                <w:szCs w:val="15"/>
                <w:color w:val="auto"/>
              </w:rPr>
              <w:t>(3)</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r>
              <w:rPr>
                <w:rFonts w:ascii="Arial" w:cs="Arial" w:eastAsia="Arial" w:hAnsi="Arial"/>
                <w:sz w:val="15"/>
                <w:szCs w:val="15"/>
                <w:color w:val="auto"/>
              </w:rPr>
              <w:t>(3)</w:t>
            </w:r>
          </w:p>
        </w:tc>
        <w:tc>
          <w:tcPr>
            <w:tcW w:w="1660" w:type="dxa"/>
            <w:vAlign w:val="bottom"/>
            <w:gridSpan w:val="2"/>
          </w:tcPr>
          <w:p>
            <w:pPr>
              <w:jc w:val="right"/>
              <w:ind w:right="164"/>
              <w:spacing w:after="0"/>
              <w:rPr>
                <w:sz w:val="20"/>
                <w:szCs w:val="20"/>
                <w:color w:val="auto"/>
              </w:rPr>
            </w:pPr>
            <w:r>
              <w:rPr>
                <w:rFonts w:ascii="Arial" w:cs="Arial" w:eastAsia="Arial" w:hAnsi="Arial"/>
                <w:sz w:val="18"/>
                <w:szCs w:val="18"/>
                <w:color w:val="auto"/>
              </w:rPr>
              <w:t>June 30, 2022</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Ferni H</w:t>
            </w:r>
          </w:p>
        </w:tc>
        <w:tc>
          <w:tcPr>
            <w:tcW w:w="12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Product Tanker</w:t>
            </w:r>
          </w:p>
        </w:tc>
        <w:tc>
          <w:tcPr>
            <w:tcW w:w="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2010</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16,871</w:t>
            </w:r>
          </w:p>
        </w:tc>
        <w:tc>
          <w:tcPr>
            <w:tcW w:w="1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April 1, 2020</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36 months</w:t>
            </w:r>
          </w:p>
        </w:tc>
        <w:tc>
          <w:tcPr>
            <w:tcW w:w="1660" w:type="dxa"/>
            <w:vAlign w:val="bottom"/>
            <w:gridSpan w:val="2"/>
            <w:shd w:val="clear" w:color="auto" w:fill="CCEEFF"/>
          </w:tcPr>
          <w:p>
            <w:pPr>
              <w:jc w:val="right"/>
              <w:ind w:right="164"/>
              <w:spacing w:after="0"/>
              <w:rPr>
                <w:sz w:val="20"/>
                <w:szCs w:val="20"/>
                <w:color w:val="auto"/>
              </w:rPr>
            </w:pPr>
            <w:r>
              <w:rPr>
                <w:rFonts w:ascii="Arial" w:cs="Arial" w:eastAsia="Arial" w:hAnsi="Arial"/>
                <w:sz w:val="18"/>
                <w:szCs w:val="18"/>
                <w:color w:val="auto"/>
              </w:rPr>
              <w:t>August 3, 2022</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San San H</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Product Tanker</w:t>
            </w:r>
          </w:p>
        </w:tc>
        <w:tc>
          <w:tcPr>
            <w:tcW w:w="580" w:type="dxa"/>
            <w:vAlign w:val="bottom"/>
            <w:gridSpan w:val="2"/>
          </w:tcPr>
          <w:p>
            <w:pPr>
              <w:ind w:left="40"/>
              <w:spacing w:after="0"/>
              <w:rPr>
                <w:sz w:val="20"/>
                <w:szCs w:val="20"/>
                <w:color w:val="auto"/>
              </w:rPr>
            </w:pPr>
            <w:r>
              <w:rPr>
                <w:rFonts w:ascii="Arial" w:cs="Arial" w:eastAsia="Arial" w:hAnsi="Arial"/>
                <w:sz w:val="18"/>
                <w:szCs w:val="18"/>
                <w:color w:val="auto"/>
              </w:rPr>
              <w:t>2010</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16,871</w:t>
            </w:r>
          </w:p>
        </w:tc>
        <w:tc>
          <w:tcPr>
            <w:tcW w:w="194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r>
              <w:rPr>
                <w:rFonts w:ascii="Arial" w:cs="Arial" w:eastAsia="Arial" w:hAnsi="Arial"/>
                <w:sz w:val="15"/>
                <w:szCs w:val="15"/>
                <w:color w:val="auto"/>
              </w:rPr>
              <w:t>(3)</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r>
              <w:rPr>
                <w:rFonts w:ascii="Arial" w:cs="Arial" w:eastAsia="Arial" w:hAnsi="Arial"/>
                <w:sz w:val="15"/>
                <w:szCs w:val="15"/>
                <w:color w:val="auto"/>
              </w:rPr>
              <w:t>(3)</w:t>
            </w:r>
          </w:p>
        </w:tc>
        <w:tc>
          <w:tcPr>
            <w:tcW w:w="1660" w:type="dxa"/>
            <w:vAlign w:val="bottom"/>
            <w:gridSpan w:val="2"/>
          </w:tcPr>
          <w:p>
            <w:pPr>
              <w:jc w:val="right"/>
              <w:ind w:right="164"/>
              <w:spacing w:after="0"/>
              <w:rPr>
                <w:sz w:val="20"/>
                <w:szCs w:val="20"/>
                <w:color w:val="auto"/>
              </w:rPr>
            </w:pPr>
            <w:r>
              <w:rPr>
                <w:rFonts w:ascii="Arial" w:cs="Arial" w:eastAsia="Arial" w:hAnsi="Arial"/>
                <w:sz w:val="18"/>
                <w:szCs w:val="18"/>
                <w:color w:val="auto"/>
              </w:rPr>
              <w:t>May 31, 2023</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Elena H</w:t>
            </w:r>
          </w:p>
        </w:tc>
        <w:tc>
          <w:tcPr>
            <w:tcW w:w="12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Product Tanker</w:t>
            </w:r>
          </w:p>
        </w:tc>
        <w:tc>
          <w:tcPr>
            <w:tcW w:w="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4,999</w:t>
            </w:r>
          </w:p>
        </w:tc>
        <w:tc>
          <w:tcPr>
            <w:tcW w:w="1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October 13, 2018</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60 months</w:t>
            </w:r>
          </w:p>
        </w:tc>
        <w:tc>
          <w:tcPr>
            <w:tcW w:w="1660" w:type="dxa"/>
            <w:vAlign w:val="bottom"/>
            <w:gridSpan w:val="2"/>
            <w:shd w:val="clear" w:color="auto" w:fill="CCEEFF"/>
          </w:tcPr>
          <w:p>
            <w:pPr>
              <w:jc w:val="right"/>
              <w:ind w:right="164"/>
              <w:spacing w:after="0"/>
              <w:rPr>
                <w:sz w:val="20"/>
                <w:szCs w:val="20"/>
                <w:color w:val="auto"/>
              </w:rPr>
            </w:pPr>
            <w:r>
              <w:rPr>
                <w:rFonts w:ascii="Arial" w:cs="Arial" w:eastAsia="Arial" w:hAnsi="Arial"/>
                <w:sz w:val="18"/>
                <w:szCs w:val="18"/>
                <w:color w:val="auto"/>
              </w:rPr>
              <w:t>August 17, 2022</w:t>
            </w:r>
          </w:p>
        </w:tc>
        <w:tc>
          <w:tcPr>
            <w:tcW w:w="0" w:type="dxa"/>
            <w:vAlign w:val="bottom"/>
          </w:tcPr>
          <w:p>
            <w:pPr>
              <w:spacing w:after="0"/>
              <w:rPr>
                <w:sz w:val="1"/>
                <w:szCs w:val="1"/>
                <w:color w:val="auto"/>
              </w:rPr>
            </w:pPr>
          </w:p>
        </w:tc>
      </w:tr>
      <w:tr>
        <w:trPr>
          <w:trHeight w:val="230"/>
        </w:trPr>
        <w:tc>
          <w:tcPr>
            <w:tcW w:w="3780" w:type="dxa"/>
            <w:vAlign w:val="bottom"/>
            <w:gridSpan w:val="2"/>
          </w:tcPr>
          <w:p>
            <w:pPr>
              <w:spacing w:after="0"/>
              <w:rPr>
                <w:sz w:val="20"/>
                <w:szCs w:val="20"/>
                <w:color w:val="auto"/>
              </w:rPr>
            </w:pPr>
            <w:r>
              <w:rPr>
                <w:rFonts w:ascii="Arial" w:cs="Arial" w:eastAsia="Arial" w:hAnsi="Arial"/>
                <w:sz w:val="18"/>
                <w:szCs w:val="18"/>
                <w:color w:val="auto"/>
              </w:rPr>
              <w:t>He Man H</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Bunker Vessel</w:t>
            </w:r>
          </w:p>
        </w:tc>
        <w:tc>
          <w:tcPr>
            <w:tcW w:w="580" w:type="dxa"/>
            <w:vAlign w:val="bottom"/>
            <w:gridSpan w:val="2"/>
          </w:tcPr>
          <w:p>
            <w:pPr>
              <w:ind w:left="40"/>
              <w:spacing w:after="0"/>
              <w:rPr>
                <w:sz w:val="20"/>
                <w:szCs w:val="20"/>
                <w:color w:val="auto"/>
              </w:rPr>
            </w:pPr>
            <w:r>
              <w:rPr>
                <w:rFonts w:ascii="Arial" w:cs="Arial" w:eastAsia="Arial" w:hAnsi="Arial"/>
                <w:sz w:val="18"/>
                <w:szCs w:val="18"/>
                <w:color w:val="auto"/>
              </w:rPr>
              <w:t>2012</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1,693</w:t>
            </w:r>
          </w:p>
        </w:tc>
        <w:tc>
          <w:tcPr>
            <w:tcW w:w="1940" w:type="dxa"/>
            <w:vAlign w:val="bottom"/>
            <w:gridSpan w:val="2"/>
          </w:tcPr>
          <w:p>
            <w:pPr>
              <w:jc w:val="right"/>
              <w:ind w:right="120"/>
              <w:spacing w:after="0"/>
              <w:rPr>
                <w:sz w:val="20"/>
                <w:szCs w:val="20"/>
                <w:color w:val="auto"/>
              </w:rPr>
            </w:pPr>
            <w:r>
              <w:rPr>
                <w:rFonts w:ascii="Arial" w:cs="Arial" w:eastAsia="Arial" w:hAnsi="Arial"/>
                <w:sz w:val="18"/>
                <w:szCs w:val="18"/>
                <w:color w:val="auto"/>
              </w:rPr>
              <w:t>April 1, 2019</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24 months</w:t>
            </w:r>
          </w:p>
        </w:tc>
        <w:tc>
          <w:tcPr>
            <w:tcW w:w="1660" w:type="dxa"/>
            <w:vAlign w:val="bottom"/>
            <w:gridSpan w:val="2"/>
          </w:tcPr>
          <w:p>
            <w:pPr>
              <w:jc w:val="right"/>
              <w:ind w:right="164"/>
              <w:spacing w:after="0"/>
              <w:rPr>
                <w:sz w:val="20"/>
                <w:szCs w:val="20"/>
                <w:color w:val="auto"/>
              </w:rPr>
            </w:pPr>
            <w:r>
              <w:rPr>
                <w:rFonts w:ascii="Arial" w:cs="Arial" w:eastAsia="Arial" w:hAnsi="Arial"/>
                <w:sz w:val="18"/>
                <w:szCs w:val="18"/>
                <w:color w:val="auto"/>
                <w:w w:val="91"/>
              </w:rPr>
              <w:t>September 9, 2024</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hanging="344"/>
        <w:spacing w:after="0"/>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License does not apply as the vessel is located in Uruguay under Uruguayan flag.</w:t>
      </w:r>
    </w:p>
    <w:p>
      <w:pPr>
        <w:spacing w:after="0" w:line="23" w:lineRule="exact"/>
        <w:rPr>
          <w:rFonts w:ascii="Arial" w:cs="Arial" w:eastAsia="Arial" w:hAnsi="Arial"/>
          <w:sz w:val="18"/>
          <w:szCs w:val="18"/>
          <w:color w:val="auto"/>
        </w:rPr>
      </w:pPr>
    </w:p>
    <w:p>
      <w:pPr>
        <w:ind w:left="460" w:hanging="344"/>
        <w:spacing w:after="0"/>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License does not apply as the vessel has an Argentine flag.</w:t>
      </w:r>
    </w:p>
    <w:p>
      <w:pPr>
        <w:spacing w:after="0" w:line="9" w:lineRule="exact"/>
        <w:rPr>
          <w:rFonts w:ascii="Arial" w:cs="Arial" w:eastAsia="Arial" w:hAnsi="Arial"/>
          <w:sz w:val="18"/>
          <w:szCs w:val="18"/>
          <w:color w:val="auto"/>
        </w:rPr>
      </w:pPr>
    </w:p>
    <w:p>
      <w:pPr>
        <w:ind w:left="460" w:hanging="344"/>
        <w:spacing w:after="0"/>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Vessels operating the spot market.</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40"/>
          </w:cols>
          <w:pgMar w:left="320" w:top="459" w:right="4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1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On January 4, 2021, Navios Containers and Navios Partners announced that they entered into a definitive merger agreement (the “Navios Partners’ Merger”). Under the terms of the Navios Partners’ Merger, Navios Partners acquired all of the publicly held common units of Navios Containers through the issuance of 8,133,452 newly issued common units of Navios Partners in exchange for the publicly held common units of Navios Containers at an exchange ratio of 0.39 units of Navios Partners for each Navios Containers common unit. The Navios Partners’ Merger, was completed on March 31, 2021 and Navios Holdings had 12.6% ownership interest in Navios Partners. As of the close of the market on March 31, 2021, Navios Containers’ common units were no longer listed for trading on NASDAQ.</w:t>
      </w:r>
    </w:p>
    <w:p>
      <w:pPr>
        <w:spacing w:after="0" w:line="192"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In February 2021, Navios Logistics commenced a new commercial relationship with COFCO at its grain terminal in Nueva Palmira, Uruguay, on a spot basis and is currently in discussions for a long-term storage and transshipment contract. The shipment completed in February was the first ever export of Uruguayan barley to China.</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Fleet Update</w:t>
      </w:r>
    </w:p>
    <w:p>
      <w:pPr>
        <w:spacing w:after="0" w:line="117" w:lineRule="exact"/>
        <w:rPr>
          <w:sz w:val="20"/>
          <w:szCs w:val="20"/>
          <w:color w:val="auto"/>
        </w:rPr>
      </w:pPr>
    </w:p>
    <w:p>
      <w:pPr>
        <w:ind w:left="120" w:right="620"/>
        <w:spacing w:after="0" w:line="342" w:lineRule="auto"/>
        <w:rPr>
          <w:sz w:val="20"/>
          <w:szCs w:val="20"/>
          <w:color w:val="auto"/>
        </w:rPr>
      </w:pPr>
      <w:r>
        <w:rPr>
          <w:rFonts w:ascii="Arial" w:cs="Arial" w:eastAsia="Arial" w:hAnsi="Arial"/>
          <w:sz w:val="16"/>
          <w:szCs w:val="16"/>
          <w:color w:val="auto"/>
        </w:rPr>
        <w:t>In April 2021, Navios Holdings agreed to sell to Navios Partners, a 2011-built Capesize vessel for a price of $28.5 million. The vessel, currently chartered-in by Navios Holdings, will be delivered to the new owners upon acquisition, which is expected within the second quarter of 2021.</w:t>
      </w:r>
    </w:p>
    <w:p>
      <w:pPr>
        <w:spacing w:after="0" w:line="124" w:lineRule="exact"/>
        <w:rPr>
          <w:sz w:val="20"/>
          <w:szCs w:val="20"/>
          <w:color w:val="auto"/>
        </w:rPr>
      </w:pPr>
    </w:p>
    <w:p>
      <w:pPr>
        <w:jc w:val="both"/>
        <w:ind w:left="120" w:right="40"/>
        <w:spacing w:after="0" w:line="286" w:lineRule="auto"/>
        <w:rPr>
          <w:sz w:val="20"/>
          <w:szCs w:val="20"/>
          <w:color w:val="auto"/>
        </w:rPr>
      </w:pPr>
      <w:r>
        <w:rPr>
          <w:rFonts w:ascii="Arial" w:cs="Arial" w:eastAsia="Arial" w:hAnsi="Arial"/>
          <w:sz w:val="17"/>
          <w:szCs w:val="17"/>
          <w:color w:val="auto"/>
        </w:rPr>
        <w:t>In March, 2021, Navios Logistics completed the acquisition of three pushboats and 18 tank barges (the “Navios Logistics’ 2020 Fleet”), operating in the Hidrovia Waterway, for a purchase price of $30.0 million. The acquisition was funded with $15.0 million from existing cash paid at closing and sellers’ financing of $15.0 million, bearing interest at a fixed rate of 5% per annum, payable in three equal annual installments.</w:t>
      </w:r>
    </w:p>
    <w:p>
      <w:pPr>
        <w:spacing w:after="0" w:line="165"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In March 2021, the Company agreed to sell to an unrelated third party the Navios Serenity, a 2011 built Handysize vessel of 34,690 dwt, for a net sale price of $10.4 million. The vessel is expected to be delivered to the buyers in the second quarter of 2021. The loss due to sale is expected to be approximately $7.0 million.</w:t>
      </w:r>
    </w:p>
    <w:p>
      <w:pPr>
        <w:spacing w:after="0" w:line="184" w:lineRule="exact"/>
        <w:rPr>
          <w:sz w:val="20"/>
          <w:szCs w:val="20"/>
          <w:color w:val="auto"/>
        </w:rPr>
      </w:pPr>
    </w:p>
    <w:p>
      <w:pPr>
        <w:ind w:left="120" w:right="120"/>
        <w:spacing w:after="0" w:line="286" w:lineRule="auto"/>
        <w:rPr>
          <w:sz w:val="20"/>
          <w:szCs w:val="20"/>
          <w:color w:val="auto"/>
        </w:rPr>
      </w:pPr>
      <w:r>
        <w:rPr>
          <w:rFonts w:ascii="Arial" w:cs="Arial" w:eastAsia="Arial" w:hAnsi="Arial"/>
          <w:sz w:val="17"/>
          <w:szCs w:val="17"/>
          <w:color w:val="auto"/>
        </w:rPr>
        <w:t>In March 2021, the Company completed the sale to Navios Partners of the Navios Centaurus, a 2012 built Panamax vessel of 81,472 dwt, and the Navios Avior, a 2012 built Panamax vessel of 81,355 dwt, for a sale price of $39.3 million, including working capital adjustments and repaid in full the outstanding loan balances of $22.5 million in total. The loss due to sale is expected to be approximately $13.5 million.</w:t>
      </w:r>
    </w:p>
    <w:p>
      <w:pPr>
        <w:spacing w:after="0" w:line="165"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In February 2021, the Company completed the sale to an unrelated third party of the Navios Astra, a 2006-built Ultra Handymax vessel of 53,468 dwt, for a net sale price of approximately $6.4 million and repaid in full the outstanding loan balance of $4.5 million.</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January 2021, the last barge of the six liquid barges was delivered to Navios Logistics.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 Operating Results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Factors Affecting Navios Holdings’ Results of Operations: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Navios Holdings believes that the important measures for analyzing trends in its results of operations include the following:</w:t>
      </w:r>
    </w:p>
    <w:p>
      <w:pPr>
        <w:spacing w:after="0" w:line="131" w:lineRule="exact"/>
        <w:rPr>
          <w:sz w:val="20"/>
          <w:szCs w:val="20"/>
          <w:color w:val="auto"/>
        </w:rPr>
      </w:pPr>
    </w:p>
    <w:p>
      <w:pPr>
        <w:ind w:left="1080" w:right="60" w:hanging="424"/>
        <w:spacing w:after="0" w:line="296" w:lineRule="auto"/>
        <w:tabs>
          <w:tab w:leader="none" w:pos="1080" w:val="left"/>
        </w:tabs>
        <w:numPr>
          <w:ilvl w:val="0"/>
          <w:numId w:val="89"/>
        </w:numPr>
        <w:rPr>
          <w:rFonts w:ascii="Arial" w:cs="Arial" w:eastAsia="Arial" w:hAnsi="Arial"/>
          <w:sz w:val="16"/>
          <w:szCs w:val="16"/>
          <w:color w:val="auto"/>
        </w:rPr>
      </w:pPr>
      <w:r>
        <w:rPr>
          <w:rFonts w:ascii="Arial" w:cs="Arial" w:eastAsia="Arial" w:hAnsi="Arial"/>
          <w:sz w:val="16"/>
          <w:szCs w:val="16"/>
          <w:i w:val="1"/>
          <w:iCs w:val="1"/>
          <w:color w:val="auto"/>
        </w:rPr>
        <w:t xml:space="preserve">Market Exposure: </w:t>
      </w:r>
      <w:r>
        <w:rPr>
          <w:rFonts w:ascii="Arial" w:cs="Arial" w:eastAsia="Arial" w:hAnsi="Arial"/>
          <w:sz w:val="16"/>
          <w:szCs w:val="16"/>
          <w:color w:val="auto"/>
        </w:rPr>
        <w:t>Navios Holdings manages the size and composition of its fleet by seeking a mix between chartering and owning vessels</w:t>
      </w:r>
      <w:r>
        <w:rPr>
          <w:rFonts w:ascii="Arial" w:cs="Arial" w:eastAsia="Arial" w:hAnsi="Arial"/>
          <w:sz w:val="16"/>
          <w:szCs w:val="16"/>
          <w:i w:val="1"/>
          <w:iCs w:val="1"/>
          <w:color w:val="auto"/>
        </w:rPr>
        <w:t xml:space="preserve"> </w:t>
      </w:r>
      <w:r>
        <w:rPr>
          <w:rFonts w:ascii="Arial" w:cs="Arial" w:eastAsia="Arial" w:hAnsi="Arial"/>
          <w:sz w:val="16"/>
          <w:szCs w:val="16"/>
          <w:color w:val="auto"/>
        </w:rPr>
        <w:t>in order to adjust to anticipated changes in market rates. Navios Holdings aims to achieve an appropriate balance between owned vessels and long-term charter-in vessels and currently controls approximately 5.0 million dwt in dry bulk tonnage. Navios Holdings’ options to extend the charter duration of vessels it has under long-term time charter (durations of over 12 months) and its purchase options on chartered vessels permit Navios Holdings to adjust the cost and the fleet size to correspond to market conditions.</w:t>
      </w:r>
    </w:p>
    <w:p>
      <w:pPr>
        <w:spacing w:after="0" w:line="66" w:lineRule="exact"/>
        <w:rPr>
          <w:rFonts w:ascii="Arial" w:cs="Arial" w:eastAsia="Arial" w:hAnsi="Arial"/>
          <w:sz w:val="16"/>
          <w:szCs w:val="16"/>
          <w:color w:val="auto"/>
        </w:rPr>
      </w:pPr>
    </w:p>
    <w:p>
      <w:pPr>
        <w:ind w:left="1080" w:hanging="424"/>
        <w:spacing w:after="0" w:line="259"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 xml:space="preserve">Available days: </w:t>
      </w:r>
      <w:r>
        <w:rPr>
          <w:rFonts w:ascii="Arial" w:cs="Arial" w:eastAsia="Arial" w:hAnsi="Arial"/>
          <w:sz w:val="18"/>
          <w:szCs w:val="18"/>
          <w:color w:val="auto"/>
        </w:rPr>
        <w:t>Available days are the total number of days a vessel is controlled by a company less the aggregate number of days that the</w:t>
      </w:r>
      <w:r>
        <w:rPr>
          <w:rFonts w:ascii="Arial" w:cs="Arial" w:eastAsia="Arial" w:hAnsi="Arial"/>
          <w:sz w:val="18"/>
          <w:szCs w:val="18"/>
          <w:i w:val="1"/>
          <w:iCs w:val="1"/>
          <w:color w:val="auto"/>
        </w:rPr>
        <w:t xml:space="preserve"> </w:t>
      </w:r>
      <w:r>
        <w:rPr>
          <w:rFonts w:ascii="Arial" w:cs="Arial" w:eastAsia="Arial" w:hAnsi="Arial"/>
          <w:sz w:val="18"/>
          <w:szCs w:val="18"/>
          <w:color w:val="auto"/>
        </w:rPr>
        <w:t>vessel is off-hire due to major repairs or repairs under guarantee, vessel upgrades, drydocking or special surveys and ballast days relating to voyages. The shipping industry uses available days to measure the number of days in a period during which vessels should be capable of generating revenues.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20"/>
          </w:cols>
          <w:pgMar w:left="320" w:top="459" w:right="4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line="277"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 xml:space="preserve">Operating days: </w:t>
      </w:r>
      <w:r>
        <w:rPr>
          <w:rFonts w:ascii="Arial" w:cs="Arial" w:eastAsia="Arial" w:hAnsi="Arial"/>
          <w:sz w:val="18"/>
          <w:szCs w:val="18"/>
          <w:color w:val="auto"/>
        </w:rPr>
        <w:t>Operating days are the number of available days in a period less the aggregate number of days that the vessels are off-hire</w:t>
      </w:r>
      <w:r>
        <w:rPr>
          <w:rFonts w:ascii="Arial" w:cs="Arial" w:eastAsia="Arial" w:hAnsi="Arial"/>
          <w:sz w:val="18"/>
          <w:szCs w:val="18"/>
          <w:i w:val="1"/>
          <w:iCs w:val="1"/>
          <w:color w:val="auto"/>
        </w:rPr>
        <w:t xml:space="preserve"> </w:t>
      </w:r>
      <w:r>
        <w:rPr>
          <w:rFonts w:ascii="Arial" w:cs="Arial" w:eastAsia="Arial" w:hAnsi="Arial"/>
          <w:sz w:val="18"/>
          <w:szCs w:val="18"/>
          <w:color w:val="auto"/>
        </w:rPr>
        <w:t>due to any reason, including unforeseen circumstances.</w:t>
      </w:r>
    </w:p>
    <w:p>
      <w:pPr>
        <w:spacing w:after="0" w:line="75" w:lineRule="exact"/>
        <w:rPr>
          <w:rFonts w:ascii="Arial" w:cs="Arial" w:eastAsia="Arial" w:hAnsi="Arial"/>
          <w:sz w:val="18"/>
          <w:szCs w:val="18"/>
          <w:color w:val="auto"/>
        </w:rPr>
      </w:pPr>
    </w:p>
    <w:p>
      <w:pPr>
        <w:ind w:left="1080" w:right="320" w:hanging="424"/>
        <w:spacing w:after="0" w:line="342" w:lineRule="auto"/>
        <w:tabs>
          <w:tab w:leader="none" w:pos="1080" w:val="left"/>
        </w:tabs>
        <w:numPr>
          <w:ilvl w:val="0"/>
          <w:numId w:val="90"/>
        </w:numPr>
        <w:rPr>
          <w:rFonts w:ascii="Arial" w:cs="Arial" w:eastAsia="Arial" w:hAnsi="Arial"/>
          <w:sz w:val="16"/>
          <w:szCs w:val="16"/>
          <w:color w:val="auto"/>
        </w:rPr>
      </w:pPr>
      <w:r>
        <w:rPr>
          <w:rFonts w:ascii="Arial" w:cs="Arial" w:eastAsia="Arial" w:hAnsi="Arial"/>
          <w:sz w:val="16"/>
          <w:szCs w:val="16"/>
          <w:i w:val="1"/>
          <w:iCs w:val="1"/>
          <w:color w:val="auto"/>
        </w:rPr>
        <w:t xml:space="preserve">Fleet utilization: </w:t>
      </w:r>
      <w:r>
        <w:rPr>
          <w:rFonts w:ascii="Arial" w:cs="Arial" w:eastAsia="Arial" w:hAnsi="Arial"/>
          <w:sz w:val="16"/>
          <w:szCs w:val="16"/>
          <w:color w:val="auto"/>
        </w:rPr>
        <w:t>Fleet utilization is the percentage of time that Navios Holdings’ vessels were available for generating revenue, and is</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determined by dividing the number of operating days during a relevant period by the number of available days during that period.</w:t>
      </w:r>
    </w:p>
    <w:p>
      <w:pPr>
        <w:spacing w:after="0" w:line="29" w:lineRule="exact"/>
        <w:rPr>
          <w:rFonts w:ascii="Arial" w:cs="Arial" w:eastAsia="Arial" w:hAnsi="Arial"/>
          <w:sz w:val="16"/>
          <w:szCs w:val="16"/>
          <w:color w:val="auto"/>
        </w:rPr>
      </w:pPr>
    </w:p>
    <w:p>
      <w:pPr>
        <w:ind w:left="1080" w:right="200" w:hanging="424"/>
        <w:spacing w:after="0" w:line="286" w:lineRule="auto"/>
        <w:tabs>
          <w:tab w:leader="none" w:pos="1080" w:val="left"/>
        </w:tabs>
        <w:numPr>
          <w:ilvl w:val="0"/>
          <w:numId w:val="90"/>
        </w:numPr>
        <w:rPr>
          <w:rFonts w:ascii="Arial" w:cs="Arial" w:eastAsia="Arial" w:hAnsi="Arial"/>
          <w:sz w:val="17"/>
          <w:szCs w:val="17"/>
          <w:color w:val="auto"/>
        </w:rPr>
      </w:pPr>
      <w:r>
        <w:rPr>
          <w:rFonts w:ascii="Arial" w:cs="Arial" w:eastAsia="Arial" w:hAnsi="Arial"/>
          <w:sz w:val="17"/>
          <w:szCs w:val="17"/>
          <w:i w:val="1"/>
          <w:iCs w:val="1"/>
          <w:color w:val="auto"/>
        </w:rPr>
        <w:t xml:space="preserve">TCE rates: </w:t>
      </w:r>
      <w:r>
        <w:rPr>
          <w:rFonts w:ascii="Arial" w:cs="Arial" w:eastAsia="Arial" w:hAnsi="Arial"/>
          <w:sz w:val="17"/>
          <w:szCs w:val="17"/>
          <w:color w:val="auto"/>
        </w:rPr>
        <w:t>TCE rates are defined as voyage and time charter revenues less voyage expenses during a period divided by the number of</w:t>
      </w:r>
      <w:r>
        <w:rPr>
          <w:rFonts w:ascii="Arial" w:cs="Arial" w:eastAsia="Arial" w:hAnsi="Arial"/>
          <w:sz w:val="17"/>
          <w:szCs w:val="17"/>
          <w:i w:val="1"/>
          <w:iCs w:val="1"/>
          <w:color w:val="auto"/>
        </w:rPr>
        <w:t xml:space="preserve"> </w:t>
      </w:r>
      <w:r>
        <w:rPr>
          <w:rFonts w:ascii="Arial" w:cs="Arial" w:eastAsia="Arial" w:hAnsi="Arial"/>
          <w:sz w:val="17"/>
          <w:szCs w:val="17"/>
          <w:color w:val="auto"/>
        </w:rPr>
        <w:t>available days during the period. The TCE rate is a standard shipping industry performance measure used primarily to present the actual daily earnings generated by vessels on various types of contracts for the number of available days of the fleet.</w:t>
      </w:r>
    </w:p>
    <w:p>
      <w:pPr>
        <w:spacing w:after="0" w:line="70" w:lineRule="exact"/>
        <w:rPr>
          <w:rFonts w:ascii="Arial" w:cs="Arial" w:eastAsia="Arial" w:hAnsi="Arial"/>
          <w:sz w:val="17"/>
          <w:szCs w:val="17"/>
          <w:color w:val="auto"/>
        </w:rPr>
      </w:pPr>
    </w:p>
    <w:p>
      <w:pPr>
        <w:ind w:left="1080" w:right="420" w:hanging="424"/>
        <w:spacing w:after="0" w:line="277"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 xml:space="preserve">Equivalent vessels: </w:t>
      </w:r>
      <w:r>
        <w:rPr>
          <w:rFonts w:ascii="Arial" w:cs="Arial" w:eastAsia="Arial" w:hAnsi="Arial"/>
          <w:sz w:val="18"/>
          <w:szCs w:val="18"/>
          <w:color w:val="auto"/>
        </w:rPr>
        <w:t>Equivalent vessels are defined as the available days of the fleet divided by the number of the calendar days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period.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Voyage and Time Charter</w:t>
      </w:r>
    </w:p>
    <w:p>
      <w:pPr>
        <w:spacing w:after="0" w:line="121" w:lineRule="exact"/>
        <w:rPr>
          <w:sz w:val="20"/>
          <w:szCs w:val="20"/>
          <w:color w:val="auto"/>
        </w:rPr>
      </w:pPr>
    </w:p>
    <w:p>
      <w:pPr>
        <w:ind w:left="120" w:right="480" w:firstLine="440"/>
        <w:spacing w:after="0" w:line="342" w:lineRule="auto"/>
        <w:rPr>
          <w:sz w:val="20"/>
          <w:szCs w:val="20"/>
          <w:color w:val="auto"/>
        </w:rPr>
      </w:pPr>
      <w:r>
        <w:rPr>
          <w:rFonts w:ascii="Arial" w:cs="Arial" w:eastAsia="Arial" w:hAnsi="Arial"/>
          <w:sz w:val="16"/>
          <w:szCs w:val="16"/>
          <w:color w:val="auto"/>
        </w:rPr>
        <w:t>Revenues are driven primarily by the number and type of vessels in the fleet, the number of days during which such vessels operate and the amount of daily charter hire rates that the vessels earn under charters, which, in turn, are affected by a number of factors, including:</w:t>
      </w:r>
    </w:p>
    <w:p>
      <w:pPr>
        <w:spacing w:after="0" w:line="151" w:lineRule="exact"/>
        <w:rPr>
          <w:sz w:val="20"/>
          <w:szCs w:val="20"/>
          <w:color w:val="auto"/>
        </w:rPr>
      </w:pPr>
    </w:p>
    <w:p>
      <w:pPr>
        <w:ind w:left="1080" w:hanging="424"/>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duration of the charters;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level of spot market rates at the time of charters;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level of period charter rates;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decisions relating to vessel acquisitions and disposals;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amount of time spent positioning vessels;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amount of time that vessels spend in drydock undergoing repairs and upgrades;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age, condition and specifications of the vessels;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aggregate level of supply and demand in the dry bulk shipping industry.</w:t>
      </w:r>
    </w:p>
    <w:p>
      <w:pPr>
        <w:spacing w:after="0" w:line="225"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Time charters are available for varying periods, ranging from a single trip (spot charter) to a long-term period which may be many years. Under a time charter, owners assume no risk for finding business and obtaining and paying for fuel or other expenses related to the voyage, such as port entry fees. In general, a long-term time charter assures the vessel owner of a consistent stream of revenue. Operating the vessel in the spot market affords the owner greater spot market opportunity, which may result in high rates when vessels are in high demand or low rates when vessel availability exceeds demand. Vessel charter rates are affected by world economics, international events, weather conditions, labor strikes, governmental policies, supply and demand, and many other factors that might be beyond the control of management.</w:t>
      </w:r>
    </w:p>
    <w:p>
      <w:pPr>
        <w:spacing w:after="0" w:line="178"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Consistent with industry practice, Navios Holdings uses TCE rates, as a method of analyzing fluctuations between financial periods and as a method of equating revenue generated from a voyage charter to time charter revenue.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TCE rate also serves as an industry standard for measuring revenue and comparing results between geographical regions and among competitors.</w:t>
      </w:r>
    </w:p>
    <w:p>
      <w:pPr>
        <w:spacing w:after="0" w:line="248"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The cost to maintain and operate a vessel increases with the age of the vessel. Older vessels are less fuel efficient, cost more to insure and require upgrades from time to time to comply with new regulations. The average age of Navios Holdings’ owned fleet is currently 8.2 years. As Navios Holdings’ fleet ages or if Navios Holdings expands its fleet by acquiring previously owned and older vessels, the cost per vessel would be expected to rise and, assuming all else, including rates, remains constant, vessel profitability would be expected to decrease.</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Statement of Operations Breakdown by Segment</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Navios Holdings reports financial information and evaluates its operations by charter revenues and not by vessel type, length of ship employment, customers or type of charter. Navios Holdings does not use discrete financial information to evaluate the operating results for each such type of charter. Although revenue can be identified for each type of charter, management does not identify expenses, profitability or other financial information on a charter-by-charter or type of charter basis. The reportable segments reflect the internal organization of the Company and are strategic businesses that offer different products and services. The Company currently has two reportable segments: the Dry Bulk Vessel Operations and the Logistics Business, following the reclassification of</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080"/>
          </w:cols>
          <w:pgMar w:left="320" w:top="459" w:right="49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results of Navios Containers as discontinued operations (see also Note 3 included elsewhere in this Annual Report). The Containers Business became a reportable segment as a result of the consolidation of Navios Containers from November 30, 2018 (date of obtaining control) and ceased to be a reportable segment on August 30, 2019 (date of loss of control). The Dry Bulk Vessel Operations segment consists of the transportation and handling of bulk cargoes through the ownership, operation, and trading of vessels and freight. The Logistics Business segment consists of port terminal business, barge business and cabotage business in the Hidrovia Region. Navios Holdings measures segment performance based on net income attributable to Navios Holdings’ common stockholders.</w:t>
      </w:r>
    </w:p>
    <w:p>
      <w:pPr>
        <w:spacing w:after="0" w:line="192"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For further segment information and the markets in which we operate, please see Note 19 to the Consolidated Financial Statements included elsewhere in this Annual Report.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Period over Period Comparisons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 the year ended December 31, 2020 compared to the year ended December 31, 2019</w:t>
      </w:r>
    </w:p>
    <w:p>
      <w:pPr>
        <w:spacing w:after="0" w:line="121"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The following table presents consolidated revenue and expense information for each of the years ended December 31, 2020 and 2019, respectively. This information was derived from the audited consolidated revenue and expense accounts of Navios Holdings for each of the years ended December 31, 2020 and 2019. Following the sale of Navios Containers’ general partnership interest effected on August 30, 2019, Navios Holdings deconsolidated Navios Containers from that date onwards. The results of operations of Navios Containers for the period consolidated under Navios Holdings have been reported as discontinued operations for the period from January 1, 2019 to August 30, 2019 presented herein.</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w w:val="96"/>
              </w:rPr>
              <w:t>Year Ended</w:t>
            </w:r>
          </w:p>
        </w:tc>
        <w:tc>
          <w:tcPr>
            <w:tcW w:w="940" w:type="dxa"/>
            <w:vAlign w:val="bottom"/>
            <w:gridSpan w:val="3"/>
          </w:tcPr>
          <w:p>
            <w:pPr>
              <w:jc w:val="right"/>
              <w:ind w:right="81"/>
              <w:spacing w:after="0"/>
              <w:rPr>
                <w:sz w:val="20"/>
                <w:szCs w:val="20"/>
                <w:color w:val="auto"/>
              </w:rPr>
            </w:pPr>
            <w:r>
              <w:rPr>
                <w:rFonts w:ascii="Arial" w:cs="Arial" w:eastAsia="Arial" w:hAnsi="Arial"/>
                <w:sz w:val="14"/>
                <w:szCs w:val="14"/>
                <w:b w:val="1"/>
                <w:bCs w:val="1"/>
                <w:color w:val="auto"/>
                <w:w w:val="98"/>
              </w:rPr>
              <w:t>Year Ended</w:t>
            </w:r>
          </w:p>
        </w:tc>
        <w:tc>
          <w:tcPr>
            <w:tcW w:w="0" w:type="dxa"/>
            <w:vAlign w:val="bottom"/>
          </w:tcPr>
          <w:p>
            <w:pPr>
              <w:spacing w:after="0"/>
              <w:rPr>
                <w:sz w:val="1"/>
                <w:szCs w:val="1"/>
                <w:color w:val="auto"/>
              </w:rPr>
            </w:pPr>
          </w:p>
        </w:tc>
      </w:tr>
      <w:tr>
        <w:trPr>
          <w:trHeight w:val="148"/>
        </w:trPr>
        <w:tc>
          <w:tcPr>
            <w:tcW w:w="61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of U.S. dollars)</w:t>
            </w:r>
          </w:p>
        </w:tc>
        <w:tc>
          <w:tcPr>
            <w:tcW w:w="20" w:type="dxa"/>
            <w:vAlign w:val="bottom"/>
          </w:tcPr>
          <w:p>
            <w:pPr>
              <w:spacing w:after="0"/>
              <w:rPr>
                <w:sz w:val="12"/>
                <w:szCs w:val="12"/>
                <w:color w:val="auto"/>
              </w:rPr>
            </w:pPr>
          </w:p>
        </w:tc>
        <w:tc>
          <w:tcPr>
            <w:tcW w:w="12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160" w:type="dxa"/>
            <w:vAlign w:val="bottom"/>
            <w:tcBorders>
              <w:bottom w:val="single" w:sz="8" w:color="CCEEFF"/>
            </w:tcBorders>
            <w:vMerge w:val="continue"/>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416,718</w:t>
            </w:r>
          </w:p>
        </w:tc>
        <w:tc>
          <w:tcPr>
            <w:tcW w:w="42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482,449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Administrative fee revenue from affiliate companies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21"/>
              <w:spacing w:after="0"/>
              <w:rPr>
                <w:sz w:val="20"/>
                <w:szCs w:val="20"/>
                <w:color w:val="auto"/>
              </w:rPr>
            </w:pPr>
            <w:r>
              <w:rPr>
                <w:rFonts w:ascii="Arial" w:cs="Arial" w:eastAsia="Arial" w:hAnsi="Arial"/>
                <w:sz w:val="18"/>
                <w:szCs w:val="18"/>
                <w:color w:val="auto"/>
              </w:rPr>
              <w:t>16,991</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Time charter, voyage and logistics business expenses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95"/>
              </w:rPr>
              <w:t>(166,589)</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(177,216)</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Direct vessel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360"/>
              <w:spacing w:after="0"/>
              <w:rPr>
                <w:sz w:val="20"/>
                <w:szCs w:val="20"/>
                <w:color w:val="auto"/>
              </w:rPr>
            </w:pPr>
            <w:r>
              <w:rPr>
                <w:rFonts w:ascii="Arial" w:cs="Arial" w:eastAsia="Arial" w:hAnsi="Arial"/>
                <w:sz w:val="18"/>
                <w:szCs w:val="18"/>
                <w:color w:val="auto"/>
                <w:w w:val="95"/>
              </w:rPr>
              <w:t>(104,755)</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5"/>
              </w:rPr>
              <w:t>(101,467)</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w w:val="98"/>
              </w:rPr>
              <w:t>General and administrative expenses incurred on behalf of affiliate companies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(16,991)</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360"/>
              <w:spacing w:after="0"/>
              <w:rPr>
                <w:sz w:val="20"/>
                <w:szCs w:val="20"/>
                <w:color w:val="auto"/>
              </w:rPr>
            </w:pPr>
            <w:r>
              <w:rPr>
                <w:rFonts w:ascii="Arial" w:cs="Arial" w:eastAsia="Arial" w:hAnsi="Arial"/>
                <w:sz w:val="18"/>
                <w:szCs w:val="18"/>
                <w:color w:val="auto"/>
              </w:rPr>
              <w:t>(33,702)</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(36,194)</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(71,015)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(81,723)</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Allowance for credit losses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360"/>
              <w:spacing w:after="0"/>
              <w:rPr>
                <w:sz w:val="20"/>
                <w:szCs w:val="20"/>
                <w:color w:val="auto"/>
              </w:rPr>
            </w:pPr>
            <w:r>
              <w:rPr>
                <w:rFonts w:ascii="Arial" w:cs="Arial" w:eastAsia="Arial" w:hAnsi="Arial"/>
                <w:sz w:val="18"/>
                <w:szCs w:val="18"/>
                <w:color w:val="auto"/>
              </w:rPr>
              <w:t>(541)</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257</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10,662</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Interest expense and finance cost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360"/>
              <w:spacing w:after="0"/>
              <w:rPr>
                <w:sz w:val="20"/>
                <w:szCs w:val="20"/>
                <w:color w:val="auto"/>
              </w:rPr>
            </w:pPr>
            <w:r>
              <w:rPr>
                <w:rFonts w:ascii="Arial" w:cs="Arial" w:eastAsia="Arial" w:hAnsi="Arial"/>
                <w:sz w:val="18"/>
                <w:szCs w:val="18"/>
                <w:color w:val="auto"/>
                <w:w w:val="95"/>
              </w:rPr>
              <w:t>(136,559)</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5"/>
              </w:rPr>
              <w:t>(133,479)</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Impairment loss/ loss on sale of vessels, net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(88,367)</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(156,106)</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Gain on bond and debt extinguishment, net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420"/>
              <w:spacing w:after="0"/>
              <w:rPr>
                <w:sz w:val="20"/>
                <w:szCs w:val="20"/>
                <w:color w:val="auto"/>
              </w:rPr>
            </w:pPr>
            <w:r>
              <w:rPr>
                <w:rFonts w:ascii="Arial" w:cs="Arial" w:eastAsia="Arial" w:hAnsi="Arial"/>
                <w:sz w:val="18"/>
                <w:szCs w:val="18"/>
                <w:color w:val="auto"/>
              </w:rPr>
              <w:t>7,047</w:t>
            </w:r>
          </w:p>
        </w:tc>
        <w:tc>
          <w:tcPr>
            <w:tcW w:w="140" w:type="dxa"/>
            <w:vAlign w:val="bottom"/>
          </w:tcPr>
          <w:p>
            <w:pPr>
              <w:spacing w:after="0"/>
              <w:rPr>
                <w:sz w:val="18"/>
                <w:szCs w:val="18"/>
                <w:color w:val="auto"/>
              </w:rPr>
            </w:pPr>
          </w:p>
        </w:tc>
        <w:tc>
          <w:tcPr>
            <w:tcW w:w="800" w:type="dxa"/>
            <w:vAlign w:val="bottom"/>
            <w:gridSpan w:val="2"/>
          </w:tcPr>
          <w:p>
            <w:pPr>
              <w:jc w:val="right"/>
              <w:ind w:right="21"/>
              <w:spacing w:after="0"/>
              <w:rPr>
                <w:sz w:val="20"/>
                <w:szCs w:val="20"/>
                <w:color w:val="auto"/>
              </w:rPr>
            </w:pPr>
            <w:r>
              <w:rPr>
                <w:rFonts w:ascii="Arial" w:cs="Arial" w:eastAsia="Arial" w:hAnsi="Arial"/>
                <w:sz w:val="18"/>
                <w:szCs w:val="18"/>
                <w:color w:val="auto"/>
              </w:rPr>
              <w:t>47,430</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business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9,802</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Loss on loss of control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(61,741)</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6,303</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44,750</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Other expense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360"/>
              <w:spacing w:after="0"/>
              <w:rPr>
                <w:sz w:val="20"/>
                <w:szCs w:val="20"/>
                <w:color w:val="auto"/>
              </w:rPr>
            </w:pPr>
            <w:r>
              <w:rPr>
                <w:rFonts w:ascii="Arial" w:cs="Arial" w:eastAsia="Arial" w:hAnsi="Arial"/>
                <w:sz w:val="18"/>
                <w:szCs w:val="18"/>
                <w:color w:val="auto"/>
              </w:rPr>
              <w:t>(8,007)</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(15,842)</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Impairment of loan receivable from affiliate company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(6,050)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160" w:type="dxa"/>
            <w:vAlign w:val="bottom"/>
          </w:tcPr>
          <w:p>
            <w:pPr>
              <w:spacing w:after="0"/>
              <w:rPr>
                <w:sz w:val="20"/>
                <w:szCs w:val="20"/>
                <w:color w:val="auto"/>
              </w:rPr>
            </w:pPr>
            <w:r>
              <w:rPr>
                <w:rFonts w:ascii="Arial" w:cs="Arial" w:eastAsia="Arial" w:hAnsi="Arial"/>
                <w:sz w:val="18"/>
                <w:szCs w:val="18"/>
                <w:b w:val="1"/>
                <w:bCs w:val="1"/>
                <w:color w:val="auto"/>
              </w:rPr>
              <w:t>Loss before equity in net losses of affiliate companies</w:t>
            </w: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(185,260</w:t>
            </w:r>
          </w:p>
        </w:tc>
        <w:tc>
          <w:tcPr>
            <w:tcW w:w="42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(169,674</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Equity in net losses of affiliate companies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(1,293)</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(9,185)</w:t>
            </w:r>
          </w:p>
        </w:tc>
        <w:tc>
          <w:tcPr>
            <w:tcW w:w="0" w:type="dxa"/>
            <w:vAlign w:val="bottom"/>
          </w:tcPr>
          <w:p>
            <w:pPr>
              <w:spacing w:after="0"/>
              <w:rPr>
                <w:sz w:val="1"/>
                <w:szCs w:val="1"/>
                <w:color w:val="auto"/>
              </w:rPr>
            </w:pPr>
          </w:p>
        </w:tc>
      </w:tr>
      <w:tr>
        <w:trPr>
          <w:trHeight w:val="230"/>
        </w:trPr>
        <w:tc>
          <w:tcPr>
            <w:tcW w:w="6160" w:type="dxa"/>
            <w:vAlign w:val="bottom"/>
          </w:tcPr>
          <w:p>
            <w:pPr>
              <w:spacing w:after="0"/>
              <w:rPr>
                <w:sz w:val="20"/>
                <w:szCs w:val="20"/>
                <w:color w:val="auto"/>
              </w:rPr>
            </w:pPr>
            <w:r>
              <w:rPr>
                <w:rFonts w:ascii="Arial" w:cs="Arial" w:eastAsia="Arial" w:hAnsi="Arial"/>
                <w:sz w:val="18"/>
                <w:szCs w:val="18"/>
                <w:b w:val="1"/>
                <w:bCs w:val="1"/>
                <w:color w:val="auto"/>
              </w:rPr>
              <w:t>Loss before taxes</w:t>
            </w: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(186,553</w:t>
            </w:r>
          </w:p>
        </w:tc>
        <w:tc>
          <w:tcPr>
            <w:tcW w:w="42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(178,859</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(2,052)</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0" w:type="dxa"/>
            <w:vAlign w:val="bottom"/>
          </w:tcPr>
          <w:p>
            <w:pPr>
              <w:spacing w:after="0"/>
              <w:rPr>
                <w:sz w:val="1"/>
                <w:szCs w:val="1"/>
                <w:color w:val="auto"/>
              </w:rPr>
            </w:pPr>
          </w:p>
        </w:tc>
      </w:tr>
      <w:tr>
        <w:trPr>
          <w:trHeight w:val="230"/>
        </w:trPr>
        <w:tc>
          <w:tcPr>
            <w:tcW w:w="6160" w:type="dxa"/>
            <w:vAlign w:val="bottom"/>
          </w:tcPr>
          <w:p>
            <w:pPr>
              <w:spacing w:after="0"/>
              <w:rPr>
                <w:sz w:val="20"/>
                <w:szCs w:val="20"/>
                <w:color w:val="auto"/>
              </w:rPr>
            </w:pPr>
            <w:r>
              <w:rPr>
                <w:rFonts w:ascii="Arial" w:cs="Arial" w:eastAsia="Arial" w:hAnsi="Arial"/>
                <w:sz w:val="18"/>
                <w:szCs w:val="18"/>
                <w:b w:val="1"/>
                <w:bCs w:val="1"/>
                <w:color w:val="auto"/>
              </w:rPr>
              <w:t>Net loss from continuing operations</w:t>
            </w: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(188,605</w:t>
            </w:r>
          </w:p>
        </w:tc>
        <w:tc>
          <w:tcPr>
            <w:tcW w:w="42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(180,334</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Net loss from discontinued operations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(4,118)</w:t>
            </w:r>
          </w:p>
        </w:tc>
        <w:tc>
          <w:tcPr>
            <w:tcW w:w="0" w:type="dxa"/>
            <w:vAlign w:val="bottom"/>
          </w:tcPr>
          <w:p>
            <w:pPr>
              <w:spacing w:after="0"/>
              <w:rPr>
                <w:sz w:val="1"/>
                <w:szCs w:val="1"/>
                <w:color w:val="auto"/>
              </w:rPr>
            </w:pPr>
          </w:p>
        </w:tc>
      </w:tr>
      <w:tr>
        <w:trPr>
          <w:trHeight w:val="230"/>
        </w:trPr>
        <w:tc>
          <w:tcPr>
            <w:tcW w:w="616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(188,605</w:t>
            </w:r>
          </w:p>
        </w:tc>
        <w:tc>
          <w:tcPr>
            <w:tcW w:w="42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(184,452</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Less: Net income attributable to the noncontrolling interest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(4,356)</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(7,658)</w:t>
            </w:r>
          </w:p>
        </w:tc>
        <w:tc>
          <w:tcPr>
            <w:tcW w:w="0" w:type="dxa"/>
            <w:vAlign w:val="bottom"/>
          </w:tcPr>
          <w:p>
            <w:pPr>
              <w:spacing w:after="0"/>
              <w:rPr>
                <w:sz w:val="1"/>
                <w:szCs w:val="1"/>
                <w:color w:val="auto"/>
              </w:rPr>
            </w:pPr>
          </w:p>
        </w:tc>
      </w:tr>
      <w:tr>
        <w:trPr>
          <w:trHeight w:val="223"/>
        </w:trPr>
        <w:tc>
          <w:tcPr>
            <w:tcW w:w="6160" w:type="dxa"/>
            <w:vAlign w:val="bottom"/>
          </w:tcPr>
          <w:p>
            <w:pPr>
              <w:spacing w:after="0"/>
              <w:rPr>
                <w:sz w:val="20"/>
                <w:szCs w:val="20"/>
                <w:color w:val="auto"/>
              </w:rPr>
            </w:pPr>
            <w:r>
              <w:rPr>
                <w:rFonts w:ascii="Arial" w:cs="Arial" w:eastAsia="Arial" w:hAnsi="Arial"/>
                <w:sz w:val="18"/>
                <w:szCs w:val="18"/>
                <w:b w:val="1"/>
                <w:bCs w:val="1"/>
                <w:color w:val="auto"/>
              </w:rPr>
              <w:t>Net loss attributable to Navios Holdings common stockholders</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(192,961</w:t>
            </w:r>
          </w:p>
        </w:tc>
        <w:tc>
          <w:tcPr>
            <w:tcW w:w="42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(192,110</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60" w:firstLine="440"/>
        <w:spacing w:after="0" w:line="342" w:lineRule="auto"/>
        <w:rPr>
          <w:sz w:val="20"/>
          <w:szCs w:val="20"/>
          <w:color w:val="auto"/>
        </w:rPr>
      </w:pPr>
      <w:r>
        <w:rPr>
          <w:rFonts w:ascii="Arial" w:cs="Arial" w:eastAsia="Arial" w:hAnsi="Arial"/>
          <w:sz w:val="16"/>
          <w:szCs w:val="16"/>
          <w:color w:val="auto"/>
        </w:rPr>
        <w:t>Set forth below are selected historical and statistical data for the Dry Bulk Vessel Operations segment for each of the years ended December 31, 2020 and 2019 that the Company believes may be useful in better understanding the Company’s financial position and results of operations.</w:t>
      </w:r>
    </w:p>
    <w:p>
      <w:pPr>
        <w:spacing w:after="0" w:line="5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060"/>
          </w:cols>
          <w:pgMar w:left="320" w:top="459" w:right="51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Year Ended</w:t>
      </w:r>
    </w:p>
    <w:p>
      <w:pPr>
        <w:jc w:val="center"/>
        <w:ind w:left="618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6400" w:type="dxa"/>
            <w:vAlign w:val="bottom"/>
          </w:tcPr>
          <w:p>
            <w:pPr>
              <w:spacing w:after="0"/>
              <w:rPr>
                <w:sz w:val="12"/>
                <w:szCs w:val="12"/>
                <w:color w:val="auto"/>
              </w:rPr>
            </w:pPr>
          </w:p>
        </w:tc>
        <w:tc>
          <w:tcPr>
            <w:tcW w:w="600" w:type="dxa"/>
            <w:vAlign w:val="bottom"/>
            <w:tcBorders>
              <w:top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r>
      <w:tr>
        <w:trPr>
          <w:trHeight w:val="196"/>
        </w:trPr>
        <w:tc>
          <w:tcPr>
            <w:tcW w:w="6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FLEET DATA</w:t>
            </w:r>
          </w:p>
        </w:tc>
        <w:tc>
          <w:tcPr>
            <w:tcW w:w="6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Available days</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18,266</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19,738</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Operating days</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18,060</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19,613</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Fleet utilization</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98.9%</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99.4%</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Equivalent vessels</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54</w:t>
            </w:r>
          </w:p>
        </w:tc>
      </w:tr>
      <w:tr>
        <w:trPr>
          <w:trHeight w:val="216"/>
        </w:trPr>
        <w:tc>
          <w:tcPr>
            <w:tcW w:w="6400" w:type="dxa"/>
            <w:vAlign w:val="bottom"/>
          </w:tcPr>
          <w:p>
            <w:pPr>
              <w:spacing w:after="0"/>
              <w:rPr>
                <w:sz w:val="20"/>
                <w:szCs w:val="20"/>
                <w:color w:val="auto"/>
              </w:rPr>
            </w:pPr>
            <w:r>
              <w:rPr>
                <w:rFonts w:ascii="Arial" w:cs="Arial" w:eastAsia="Arial" w:hAnsi="Arial"/>
                <w:sz w:val="18"/>
                <w:szCs w:val="18"/>
                <w:b w:val="1"/>
                <w:bCs w:val="1"/>
                <w:color w:val="auto"/>
              </w:rPr>
              <w:t>AVERAGE DAILY RESULTS</w:t>
            </w: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TCE</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$10,543</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$12,519</w:t>
            </w:r>
          </w:p>
        </w:tc>
      </w:tr>
    </w:tbl>
    <w:p>
      <w:pPr>
        <w:spacing w:after="0" w:line="202"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During the year ended December 31, 2020, there were 1,472 fewer available days as compared to 2019, mainly due to (i) a decrease in long-term charter-in fleet available days by 1,609 days; partially mitigated by (ii) an increase in available days for owned vessels and bareboat chartered-in vessels by 137 days following the sale of seven and six vessels in 2020 and 2019, respectively and the delivery of seven and three vessels in 2020 and 2019, respectively.</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average TCE rate for the year ended December 31, 2020 was $10,543 per day, $1,976 per day lower than the rate achieved in 2019.</w:t>
      </w:r>
    </w:p>
    <w:p>
      <w:pPr>
        <w:spacing w:after="0" w:line="23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Revenue from the Dry Bulk Vessel Operations for the year ended December 31, 2020 was $200.8 million as compared to $254.2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same period during 2019. The decrease in dry bulk revenue was mainly attributable to the decline in time charter and freight market during the periods compared, as well as the decrease in available days by 7.5%. The TCE per day amounted to $10,543 per day in the year ended December 31, 2020, as compared to $12,519 per day in the same period in 2019.</w:t>
      </w:r>
    </w:p>
    <w:p>
      <w:pPr>
        <w:spacing w:after="0" w:line="187"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Revenue from the Logistics Business was $215.9 million for the year ended December 31, 2020 as compared to $228.3 million for the same period in 2019. The decrease of $12.3 million was mainly attributable to an $11.5 million decrease in the barge business, mainly due to the expiration of certain legacy time charter contracts, partially offset by higher COA/voyage revenues of convoys previously under time charter contracts. During the year ended December 31, 2020, COA/voyage revenues were adversely affected by a prolonged period of unusually warm weather and a drought in southern Brazil, Paraguay and northern Argentina that resulted in water levels in the Paraná River dropping to their lowest levels in decades, which hampered shipping volumes and navigation. Revenues from the port terminal business decreased by $7.3 million mainly due to lower volumes transshipped from the Grain Terminal, due to (a) reduced Uruguayan exports affected by lower Uruguay soybean production and (b) reduced transshipment of grains mainly from Paraguay and Bolivia due to the difficult navigation caused by the low water levels described above. Revenues from the cabotage business decreased by $1.4 million mainly due to lower time charter rates due to market conditions, partially offset by an increase of 41.4% in revenues from spot voyages performed. The overall decrease was partially mitigated by a $7.9 million increase in sales of products, mainly attributable to an increase in Navios Logistics liquid port terminal’s volumes of products sold mainly due to their ability to offer competitive prices compared to the market</w:t>
      </w:r>
    </w:p>
    <w:p>
      <w:pPr>
        <w:spacing w:after="0" w:line="179"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b w:val="1"/>
          <w:bCs w:val="1"/>
          <w:i w:val="1"/>
          <w:iCs w:val="1"/>
          <w:color w:val="auto"/>
        </w:rPr>
        <w:t xml:space="preserve">Administrative Fee Revenue from Affiliate Companies/ General and Administrative Expenses Incurred on Behalf of Affiliate Companies: </w:t>
      </w:r>
      <w:r>
        <w:rPr>
          <w:rFonts w:ascii="Arial" w:cs="Arial" w:eastAsia="Arial" w:hAnsi="Arial"/>
          <w:sz w:val="18"/>
          <w:szCs w:val="18"/>
          <w:color w:val="auto"/>
        </w:rPr>
        <w:t>Administrative fee revenue from affiliate companies was $0 million for the year ended December 31, 2020, as compared to $17.0 million for the year ended December 31, 2019 as result of the Transaction in August 2019.</w:t>
      </w:r>
    </w:p>
    <w:p>
      <w:pPr>
        <w:spacing w:after="0" w:line="184"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General and administrative expenses incurred on behalf of affiliate companies was $0 million for the year ended December 31, 2020, as compared to $17.0 million for the year ended December 31, 2019 as a result of the Transaction in August 2019.</w:t>
      </w:r>
    </w:p>
    <w:p>
      <w:pPr>
        <w:spacing w:after="0" w:line="170" w:lineRule="exact"/>
        <w:rPr>
          <w:sz w:val="20"/>
          <w:szCs w:val="20"/>
          <w:color w:val="auto"/>
        </w:rPr>
      </w:pPr>
    </w:p>
    <w:p>
      <w:pPr>
        <w:ind w:left="120" w:right="280" w:firstLine="440"/>
        <w:spacing w:after="0" w:line="342" w:lineRule="auto"/>
        <w:rPr>
          <w:sz w:val="20"/>
          <w:szCs w:val="20"/>
          <w:color w:val="auto"/>
        </w:rPr>
      </w:pPr>
      <w:r>
        <w:rPr>
          <w:rFonts w:ascii="Arial" w:cs="Arial" w:eastAsia="Arial" w:hAnsi="Arial"/>
          <w:sz w:val="16"/>
          <w:szCs w:val="16"/>
          <w:b w:val="1"/>
          <w:bCs w:val="1"/>
          <w:i w:val="1"/>
          <w:iCs w:val="1"/>
          <w:color w:val="auto"/>
        </w:rPr>
        <w:t xml:space="preserve">Time Charter, Voyage and Logistics Business Expenses: </w:t>
      </w:r>
      <w:r>
        <w:rPr>
          <w:rFonts w:ascii="Arial" w:cs="Arial" w:eastAsia="Arial" w:hAnsi="Arial"/>
          <w:sz w:val="16"/>
          <w:szCs w:val="16"/>
          <w:color w:val="auto"/>
        </w:rPr>
        <w:t>Time charter, voyage and Logistics Business expenses decreased by $10.6 million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6.0% to $166.6 million for the year ended December 31, 2020, as compared to $177.2 million for the year ended December 31, 2019.</w:t>
      </w:r>
    </w:p>
    <w:p>
      <w:pPr>
        <w:spacing w:after="0" w:line="124" w:lineRule="exact"/>
        <w:rPr>
          <w:sz w:val="20"/>
          <w:szCs w:val="20"/>
          <w:color w:val="auto"/>
        </w:rPr>
      </w:pPr>
    </w:p>
    <w:p>
      <w:pPr>
        <w:ind w:left="120" w:right="260" w:firstLine="440"/>
        <w:spacing w:after="0" w:line="279" w:lineRule="auto"/>
        <w:rPr>
          <w:sz w:val="20"/>
          <w:szCs w:val="20"/>
          <w:color w:val="auto"/>
        </w:rPr>
      </w:pPr>
      <w:r>
        <w:rPr>
          <w:rFonts w:ascii="Arial" w:cs="Arial" w:eastAsia="Arial" w:hAnsi="Arial"/>
          <w:sz w:val="17"/>
          <w:szCs w:val="17"/>
          <w:color w:val="auto"/>
        </w:rPr>
        <w:t>Time charter and voyage expenses from dry bulk operations decreased by $21.5 million, or 17.2%, to $103.6 million for the year ended December 31, 2020, as compared to $125.0 million for the year ended December 31, 2019. This was primarily due to a $23.0 million decrease in charter-in expenses, mainly due to a decrease in charter-in available days in 2020 as compared to the same period in 2019; partially mitigated by (i) a $1.0 million increase in off hire and fuel expenses; and (ii) a $0.5 million increase in port and other voyage expenses.</w:t>
      </w:r>
    </w:p>
    <w:p>
      <w:pPr>
        <w:spacing w:after="0" w:line="171"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Of the total expenses for the years ended December 31, 2020 and 2019, $63.0 million and $52.2 million, respectively, related to Navios Logistics. The increase of $10.8 million in time charter, voyage and Logistics Business was mainly due to (i) a $7.0 million increase in cost of products sold, mainly attributable to an increase in Navios Logistics Liquid Port Terminal’s volumes of products sold driven by an increase in the sales of products in Navios Logistics Liquid Port Terminal; (ii) a $3.0 million increase in the barge business mainly due to increased charter-in fleet used to service Navios Logistics COA/voyage contracts as their fleet operated at reduced carrying capacity because of the low water levels described above, and other voyage expenses caused by more voyage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20"/>
          </w:cols>
          <w:pgMar w:left="320" w:top="459" w:right="4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80"/>
        <w:spacing w:after="0" w:line="263" w:lineRule="auto"/>
        <w:rPr>
          <w:sz w:val="20"/>
          <w:szCs w:val="20"/>
          <w:color w:val="auto"/>
        </w:rPr>
      </w:pPr>
      <w:r>
        <w:rPr>
          <w:rFonts w:ascii="Arial" w:cs="Arial" w:eastAsia="Arial" w:hAnsi="Arial"/>
          <w:sz w:val="18"/>
          <w:szCs w:val="18"/>
          <w:color w:val="auto"/>
        </w:rPr>
        <w:t>charters and difficult navigation conditions resulting from the same low water levels; (iii) a $0.5 million increase in the port terminal business mainly due to increases in insurance premiums; and (iv) a $0.3 million increase in the cabotage business mainly due to an increase of 41.4% in revenues from spot voyages performed.</w:t>
      </w:r>
    </w:p>
    <w:p>
      <w:pPr>
        <w:spacing w:after="0" w:line="184"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b w:val="1"/>
          <w:bCs w:val="1"/>
          <w:i w:val="1"/>
          <w:iCs w:val="1"/>
          <w:color w:val="auto"/>
        </w:rPr>
        <w:t xml:space="preserve">Direct Vessel Expenses: </w:t>
      </w:r>
      <w:r>
        <w:rPr>
          <w:rFonts w:ascii="Arial" w:cs="Arial" w:eastAsia="Arial" w:hAnsi="Arial"/>
          <w:sz w:val="18"/>
          <w:szCs w:val="18"/>
          <w:color w:val="auto"/>
        </w:rPr>
        <w:t>Direct vessel expenses increased by $3.3 million, or 3.2%, to $104.8 million for the year ended December 31, 2020,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$101.5 million for the year ended December 31, 2019. Direct vessel expenses include crew costs, provisions, deck and engine stores, lubricating oils, insurance premiums and costs for maintenance and repairs.</w:t>
      </w:r>
    </w:p>
    <w:p>
      <w:pPr>
        <w:spacing w:after="0" w:line="184"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Direct vessel expenses from dry bulk operations decreased by $4.5 million or 9.4% to $52.0 million for the year ended December 31, 2020, as compared to $47.6 million for the year ended December 31, 2019. As of August 30, 2019, following the sale of the management division, NSM provides management services to the Company at a fixed rate of $3,700 per day per vessel. During the year ended December 31, 2020 direct vessel expenses from the Dry Bulk Vessel Operations consisted of (i) a $45.5 million vessel operating expenses (management fees); (ii) a $6.3 million of drydocking and special survey amortization; and (iii) a $0.3 million other direct vessel expenses. During the year ended December 31, 2019, direct vessel expenses from the Dry Bulk Vessel Operations consisted of (i) a $14.4 million vessel operating expenses (management fees); (ii) a $27.3 million other direct vessel expenses relating to crew costs, provisions, deck and engine stores, lubricating oils, insurance premiums and costs for maintenance and repairs, which were part of the management division; and (iii) a $5.9 million of drydocking and special survey amortization.</w:t>
      </w:r>
    </w:p>
    <w:p>
      <w:pPr>
        <w:spacing w:after="0" w:line="165" w:lineRule="exact"/>
        <w:rPr>
          <w:sz w:val="20"/>
          <w:szCs w:val="20"/>
          <w:color w:val="auto"/>
        </w:rPr>
      </w:pPr>
    </w:p>
    <w:p>
      <w:pPr>
        <w:jc w:val="both"/>
        <w:ind w:left="120" w:right="300" w:firstLine="440"/>
        <w:spacing w:after="0" w:line="263" w:lineRule="auto"/>
        <w:rPr>
          <w:sz w:val="20"/>
          <w:szCs w:val="20"/>
          <w:color w:val="auto"/>
        </w:rPr>
      </w:pPr>
      <w:r>
        <w:rPr>
          <w:rFonts w:ascii="Arial" w:cs="Arial" w:eastAsia="Arial" w:hAnsi="Arial"/>
          <w:sz w:val="18"/>
          <w:szCs w:val="18"/>
          <w:color w:val="auto"/>
        </w:rPr>
        <w:t>Of the total amounts of direct vessel expenses for the years ended December 31, 2020 and 2019, $52.7 million and $53.9 million, respectively, related to the Logistics Business. The decrease of $1.2 million in direct vessel expenses was mainly due to a $1.2 million decrease in amortization of deferred drydock and special survey costs of Navios Logistics’ fleet.</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of Navios Holdings are comprised of the following:</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2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 Ended</w:t>
            </w:r>
          </w:p>
        </w:tc>
        <w:tc>
          <w:tcPr>
            <w:tcW w:w="88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44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of U.S. dollars)</w:t>
            </w:r>
          </w:p>
        </w:tc>
        <w:tc>
          <w:tcPr>
            <w:tcW w:w="1620" w:type="dxa"/>
            <w:vAlign w:val="bottom"/>
          </w:tcPr>
          <w:p>
            <w:pPr>
              <w:spacing w:after="0"/>
              <w:rPr>
                <w:sz w:val="12"/>
                <w:szCs w:val="12"/>
                <w:color w:val="auto"/>
              </w:rPr>
            </w:pPr>
          </w:p>
        </w:tc>
        <w:tc>
          <w:tcPr>
            <w:tcW w:w="1420" w:type="dxa"/>
            <w:vAlign w:val="bottom"/>
            <w:gridSpan w:val="3"/>
          </w:tcPr>
          <w:p>
            <w:pPr>
              <w:jc w:val="right"/>
              <w:ind w:right="58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880" w:type="dxa"/>
            <w:vAlign w:val="bottom"/>
            <w:gridSpan w:val="3"/>
          </w:tcPr>
          <w:p>
            <w:pPr>
              <w:jc w:val="right"/>
              <w:ind w:right="4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4440" w:type="dxa"/>
            <w:vAlign w:val="bottom"/>
            <w:tcBorders>
              <w:bottom w:val="single" w:sz="8" w:color="CCEEFF"/>
            </w:tcBorders>
            <w:vMerge w:val="continue"/>
          </w:tcPr>
          <w:p>
            <w:pPr>
              <w:spacing w:after="0"/>
              <w:rPr>
                <w:sz w:val="14"/>
                <w:szCs w:val="14"/>
                <w:color w:val="auto"/>
              </w:rPr>
            </w:pPr>
          </w:p>
        </w:tc>
        <w:tc>
          <w:tcPr>
            <w:tcW w:w="16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Dry bulk Vessel Operations</w:t>
            </w:r>
          </w:p>
        </w:tc>
        <w:tc>
          <w:tcPr>
            <w:tcW w:w="16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20,769</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40" w:type="dxa"/>
            <w:vAlign w:val="bottom"/>
          </w:tcPr>
          <w:p>
            <w:pPr>
              <w:spacing w:after="0"/>
              <w:rPr>
                <w:sz w:val="20"/>
                <w:szCs w:val="20"/>
                <w:color w:val="auto"/>
              </w:rPr>
            </w:pPr>
            <w:r>
              <w:rPr>
                <w:rFonts w:ascii="Arial" w:cs="Arial" w:eastAsia="Arial" w:hAnsi="Arial"/>
                <w:sz w:val="18"/>
                <w:szCs w:val="18"/>
                <w:color w:val="auto"/>
              </w:rPr>
              <w:t>Logistics Business</w:t>
            </w:r>
          </w:p>
        </w:tc>
        <w:tc>
          <w:tcPr>
            <w:tcW w:w="16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12,933</w:t>
            </w:r>
          </w:p>
        </w:tc>
        <w:tc>
          <w:tcPr>
            <w:tcW w:w="5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17,393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General and administrative expenses</w:t>
            </w:r>
          </w:p>
        </w:tc>
        <w:tc>
          <w:tcPr>
            <w:tcW w:w="180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33,702</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36,194</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Following the Transaction, NSM provides administrative services to the Company reimbursed at allocable cost. For the year ended December 31, 2020, general and administrative expenses, under the Administrative Services Agreement, amounted to $9.4 million. For the period from August 30, 2019 to December 31, 2019, general and administrative expenses, under the Administrative Services Agreement, amounted to $3.0 million.</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General and administrative expenses decreased by $2.5 million to $33.7 million for the year ended December 31, 2020, as compared to</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$36.2 million for the year ended December 31, 2019. The decrease was mainly attributable a $4.5 million decrease in general and administrative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expenses of Logistics Business; partially mitigated by an increase in other professional fees and expenses.</w:t>
      </w:r>
    </w:p>
    <w:p>
      <w:pPr>
        <w:spacing w:after="0" w:line="211" w:lineRule="exact"/>
        <w:rPr>
          <w:sz w:val="20"/>
          <w:szCs w:val="20"/>
          <w:color w:val="auto"/>
        </w:rPr>
      </w:pPr>
    </w:p>
    <w:p>
      <w:pPr>
        <w:ind w:left="120" w:right="940" w:firstLine="440"/>
        <w:spacing w:after="0" w:line="277"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For the year ended December 31, 2020, depreciation and amortization decreased by $10.7 million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$71.0 million, as compared to $81.7 million for the year ended December 31, 2019.</w:t>
      </w:r>
    </w:p>
    <w:p>
      <w:pPr>
        <w:spacing w:after="0" w:line="170"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7"/>
          <w:szCs w:val="17"/>
          <w:color w:val="auto"/>
        </w:rPr>
        <w:t>Depreciation expenses related to the Dry Bulk Vessel Operations decreased by $10.2 million, or 20.7%, to $39.3 million for the year ended December 31, 2020, as compared to $49.5 million for the year ended December 31, 2019. This decrease was primarily due to (i) the sale of seven and six of the Company’s vessels in 2020 and 2019, respectively; and (ii) the impairment loss recognized in the fourth quarter of 2019 for two of the Company’s vessels; partially mitigated by the acquisition of four and one vessels in 2020 and 2019, respectively. Amortization expenses related to dry bulk operations remained stable at $2.8 million for each of the years ended December 31, 2020 and 2019.</w:t>
      </w:r>
    </w:p>
    <w:p>
      <w:pPr>
        <w:spacing w:after="0" w:line="176"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Of the total amount of depreciation and amortization for the year ended December 31, 2020 and 2019, $28.9 million and $29.4 million, respectively, related to Navios Logistics. The decrease in depreciation and amortization of the Logistics Business was mainly due to (i) a $0.5 million decrease in the depreciation of barge business. Depreciation and amortization in the port terminal business and in the cabotage business remained stable at $8.2 million and $3.5 million for both the years ended December 31, 2020 and December 31, 2019, respectively.</w:t>
      </w:r>
    </w:p>
    <w:p>
      <w:pPr>
        <w:spacing w:after="0" w:line="171" w:lineRule="exact"/>
        <w:rPr>
          <w:sz w:val="20"/>
          <w:szCs w:val="20"/>
          <w:color w:val="auto"/>
        </w:rPr>
      </w:pPr>
    </w:p>
    <w:p>
      <w:pPr>
        <w:ind w:left="120" w:right="320" w:firstLine="440"/>
        <w:spacing w:after="0" w:line="311" w:lineRule="auto"/>
        <w:rPr>
          <w:sz w:val="20"/>
          <w:szCs w:val="20"/>
          <w:color w:val="auto"/>
        </w:rPr>
      </w:pPr>
      <w:r>
        <w:rPr>
          <w:rFonts w:ascii="Arial" w:cs="Arial" w:eastAsia="Arial" w:hAnsi="Arial"/>
          <w:sz w:val="16"/>
          <w:szCs w:val="16"/>
          <w:b w:val="1"/>
          <w:bCs w:val="1"/>
          <w:i w:val="1"/>
          <w:iCs w:val="1"/>
          <w:color w:val="auto"/>
        </w:rPr>
        <w:t xml:space="preserve">Allowance for Credit Losses: </w:t>
      </w:r>
      <w:r>
        <w:rPr>
          <w:rFonts w:ascii="Arial" w:cs="Arial" w:eastAsia="Arial" w:hAnsi="Arial"/>
          <w:sz w:val="16"/>
          <w:szCs w:val="16"/>
          <w:color w:val="auto"/>
        </w:rPr>
        <w:t>For the year ended December 31, 2020, allowance for credit losses decreased by $0.5 million to $0.5 million,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$1.0 million for the year ended December 31, 2019. The decrease was mainly attributable to (i) a $0.7 million decrease in bad debt provisions in the Dry Bulk Vessel Operations; and (ii) a $0.2 million increase in the recovery of bad debt provisions in the Logistics Business.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20"/>
          </w:cols>
          <w:pgMar w:left="320" w:top="459" w:right="4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b w:val="1"/>
          <w:bCs w:val="1"/>
          <w:i w:val="1"/>
          <w:iCs w:val="1"/>
          <w:color w:val="auto"/>
        </w:rPr>
        <w:t xml:space="preserve">Interest Income: </w:t>
      </w:r>
      <w:r>
        <w:rPr>
          <w:rFonts w:ascii="Arial" w:cs="Arial" w:eastAsia="Arial" w:hAnsi="Arial"/>
          <w:sz w:val="18"/>
          <w:szCs w:val="18"/>
          <w:color w:val="auto"/>
        </w:rPr>
        <w:t>Interest income decreased by $10.4 million to $0.3 million for the year ended December 31, 2020, as compared to $10.7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same period in 2019, mainly due to (i) a $9.6 million decrease in interest income of the Dry Bulk Vessel Operations, mainly due to higher interest income from loans provided to Navios Europe I and Navios Europe II and the amortization of the premium from the transfer of Navios Holdings’ participation in the Navios Revolving Loans I (as defined herein) to Navios Partners in March 2017; and (ii) a $0.8 million decrease in interest income of Logistics Business.</w:t>
      </w:r>
    </w:p>
    <w:p>
      <w:pPr>
        <w:spacing w:after="0" w:line="188"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b w:val="1"/>
          <w:bCs w:val="1"/>
          <w:i w:val="1"/>
          <w:iCs w:val="1"/>
          <w:color w:val="auto"/>
        </w:rPr>
        <w:t xml:space="preserve">Interest Expense and Finance Cost: </w:t>
      </w:r>
      <w:r>
        <w:rPr>
          <w:rFonts w:ascii="Arial" w:cs="Arial" w:eastAsia="Arial" w:hAnsi="Arial"/>
          <w:sz w:val="18"/>
          <w:szCs w:val="18"/>
          <w:color w:val="auto"/>
        </w:rPr>
        <w:t>Interest expense and finance cost for the year ended December 31, 2020 increased by $3.1 million, or 2.3%,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$136.6 million, as compared to $133.5 million in the same period of 2019. This increase was due to a $7.8 million increase in interest expense and finance cost of the Logistics Business mainly attributable to the financing costs related to the issuance of the 2025 Logistics Senior Notes; partially mitigated by a $4.7 million decrease in interest expense and finance cost of the Dry Bulk Vessel Operations, mainly attributable to the repurchase of 2022 Notes (as defined herein).</w:t>
      </w:r>
    </w:p>
    <w:p>
      <w:pPr>
        <w:spacing w:after="0" w:line="188"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b w:val="1"/>
          <w:bCs w:val="1"/>
          <w:i w:val="1"/>
          <w:iCs w:val="1"/>
          <w:color w:val="auto"/>
        </w:rPr>
        <w:t xml:space="preserve">Impairment Loss/Loss on Sale of Vessels, Net: </w:t>
      </w:r>
      <w:r>
        <w:rPr>
          <w:rFonts w:ascii="Arial" w:cs="Arial" w:eastAsia="Arial" w:hAnsi="Arial"/>
          <w:sz w:val="17"/>
          <w:szCs w:val="17"/>
          <w:color w:val="auto"/>
        </w:rPr>
        <w:t>For the year ended December 31, 2020, impairment losses recognized decreased by $67.7 million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$88.4 million, as compared to $156.1 million for the year ended December 31, 2019. During the year ended December 31, 2020, the Company recognized (i) a $52.8 million impairment loss for two of the Company’s vessels; (ii) a $37.2 million impairment loss/loss on sale of vessels relating to the sale of Navios Kypros, Navios Star, Navios Amitie, Navios Northern Star, Navios Gem and Navios Astra; partially mitigated by a $3.0 million gain relating to the sale of Navios Victory; and (iii) a $1.4 million impairment loss for two of the Company’s charter-in vessels. During the year ended December 31, 2019, the Company recognized (i) an $84.6 million impairment loss for two of the Company’s vessels; (ii) a $38.6 million impairment loss of for certain of the Company’s charter-in vessels; and (iii) an $34.7 million impairment loss/loss on sale of vessels relating to the sale of Navios Vector, Navios Mercator, Navios Arc, Navios Meridian, Navios Primavera and Navios Hios; partially mitigated by a $1.8 million gain of relating to the sale of Navios Equator Prosper.</w:t>
      </w:r>
    </w:p>
    <w:p>
      <w:pPr>
        <w:spacing w:after="0" w:line="18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b w:val="1"/>
          <w:bCs w:val="1"/>
          <w:i w:val="1"/>
          <w:iCs w:val="1"/>
          <w:color w:val="auto"/>
        </w:rPr>
        <w:t xml:space="preserve">Gain on Bond and Debt Extinguishment, net: </w:t>
      </w:r>
      <w:r>
        <w:rPr>
          <w:rFonts w:ascii="Arial" w:cs="Arial" w:eastAsia="Arial" w:hAnsi="Arial"/>
          <w:sz w:val="17"/>
          <w:szCs w:val="17"/>
          <w:color w:val="auto"/>
        </w:rPr>
        <w:t>During the year ended December 31, 2020, the Company repurchased $20.8 million of the 2022</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Notes in open market transactions for a cash consideration of $9.4 million resulting in a gain on bond extinguishment of $11.2 million, net of deferred financing costs written-off. This gain was partially mitigated by a $4.2 million loss recognized relating to the accelerated amortization of Navios Logistics’ unamortized deferred financing costs due to the repayment in full of the 2022 Logistics Senior Notes and the Navios Logistics’ Term Loan B Facility. During the year ended December 31, 2019, Navios Logistics repurchased $35.5 million of the 2022 Notes from unaffiliated third parties in open market transactions for a cash consideration of $17.6 million and the Company repurchased $81.2 million of its 2022 Notes for a cash consideration of $50.7 million resulting in a total gain on bond extinguishment of $47.4 million, net of deferred financing costs written-off.</w:t>
      </w:r>
    </w:p>
    <w:p>
      <w:pPr>
        <w:spacing w:after="0" w:line="17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b w:val="1"/>
          <w:bCs w:val="1"/>
          <w:i w:val="1"/>
          <w:iCs w:val="1"/>
          <w:color w:val="auto"/>
        </w:rPr>
        <w:t xml:space="preserve">Gain on Sale of Business: </w:t>
      </w:r>
      <w:r>
        <w:rPr>
          <w:rFonts w:ascii="Arial" w:cs="Arial" w:eastAsia="Arial" w:hAnsi="Arial"/>
          <w:sz w:val="18"/>
          <w:szCs w:val="18"/>
          <w:color w:val="auto"/>
        </w:rPr>
        <w:t>During the years ended December 31, 2020 and 2019, the Company recognized a $0 million and $9.8 million gain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sale of business, respectively, as a result of the Transaction (see also Note 3 included elsewhere in this Annual Report).</w:t>
      </w:r>
    </w:p>
    <w:p>
      <w:pPr>
        <w:spacing w:after="0" w:line="170"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b w:val="1"/>
          <w:bCs w:val="1"/>
          <w:i w:val="1"/>
          <w:iCs w:val="1"/>
          <w:color w:val="auto"/>
        </w:rPr>
        <w:t xml:space="preserve">Loss on loss of control: </w:t>
      </w:r>
      <w:r>
        <w:rPr>
          <w:rFonts w:ascii="Arial" w:cs="Arial" w:eastAsia="Arial" w:hAnsi="Arial"/>
          <w:sz w:val="18"/>
          <w:szCs w:val="18"/>
          <w:color w:val="auto"/>
        </w:rPr>
        <w:t>During the years ended December 31, 2020 and 2019, the Company recognized a $0 million and $61.7 million loss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loss of control of Navios Containers, respectively (see also Note 3 included elsewhere in this Annual Report).</w:t>
      </w:r>
    </w:p>
    <w:p>
      <w:pPr>
        <w:spacing w:after="0" w:line="170"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b w:val="1"/>
          <w:bCs w:val="1"/>
          <w:i w:val="1"/>
          <w:iCs w:val="1"/>
          <w:color w:val="auto"/>
        </w:rPr>
        <w:t xml:space="preserve">Other Income: </w:t>
      </w:r>
      <w:r>
        <w:rPr>
          <w:rFonts w:ascii="Arial" w:cs="Arial" w:eastAsia="Arial" w:hAnsi="Arial"/>
          <w:sz w:val="18"/>
          <w:szCs w:val="18"/>
          <w:color w:val="auto"/>
        </w:rPr>
        <w:t>Other income decreased by $38.4 million to $6.3 million for the year ended December 31, 2020, as compared to $44.8 million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year ended December 31, 2019. The decrease was due to a $39.8 million decrease in other income of Dry Bulk Vessels Operations; partially mitigated by a $1.3 million increase in other income of the Logistics Business.</w:t>
      </w:r>
    </w:p>
    <w:p>
      <w:pPr>
        <w:spacing w:after="0" w:line="184"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The decrease in other income of the Dry Bulk Vessels Operations is due to (i) a $33.3 million decrease in miscellaneous other income mainly related to extraordinary fees and costs related to regulatory requirements under management agreements; and (ii) a $6.5 million decrease in non-cash compensation income.</w:t>
      </w:r>
    </w:p>
    <w:p>
      <w:pPr>
        <w:spacing w:after="0" w:line="184"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The increase in other income of the Logistics Business is mainly due to a $4.1 million increase mainly due to a claim settlement regarding a storage and transshipment contract in the grain terminal during the year ended December 31, 2020, partially mitigated by (i) a $1.7 million decrease in miscellaneous other income; and (ii) a $1.1 million decrease in other income mainly due to an insurance claim settlement during the year ended December 31, 2019.</w:t>
      </w:r>
    </w:p>
    <w:p>
      <w:pPr>
        <w:spacing w:after="0" w:line="18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b w:val="1"/>
          <w:bCs w:val="1"/>
          <w:i w:val="1"/>
          <w:iCs w:val="1"/>
          <w:color w:val="auto"/>
        </w:rPr>
        <w:t xml:space="preserve">Other Expense: </w:t>
      </w:r>
      <w:r>
        <w:rPr>
          <w:rFonts w:ascii="Arial" w:cs="Arial" w:eastAsia="Arial" w:hAnsi="Arial"/>
          <w:sz w:val="18"/>
          <w:szCs w:val="18"/>
          <w:color w:val="auto"/>
        </w:rPr>
        <w:t>Other expense decreased by $7.8 million to $8.0 million for the year ended December 31, 2020, as compared to $15.8 million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year ended December 31, 2019. This decrease was due to (i) a $4.3 million decrease in other expense of the Logistics Business; and (ii) a $3.5 million decrease in other expense of Dry Bulk Vessels Operations.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decrease in other expense of Dry Bulk Vessels Operations is mainly due to (i) a $3.9 million decrease in other miscellaneous expenses; and</w:t>
      </w:r>
    </w:p>
    <w:p>
      <w:pPr>
        <w:spacing w:after="0" w:line="46" w:lineRule="exact"/>
        <w:rPr>
          <w:sz w:val="20"/>
          <w:szCs w:val="20"/>
          <w:color w:val="auto"/>
        </w:rPr>
      </w:pPr>
    </w:p>
    <w:p>
      <w:pPr>
        <w:ind w:left="120" w:hanging="4"/>
        <w:spacing w:after="0" w:line="260" w:lineRule="auto"/>
        <w:tabs>
          <w:tab w:leader="none" w:pos="385"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$0.1 million decrease in loss from foreign exchange differences. This decrease was partially mitigated by a $0.5 million increase in taxes other than income tax.</w:t>
      </w:r>
    </w:p>
    <w:p>
      <w:pPr>
        <w:spacing w:after="0" w:line="185"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The decrease in other expense of the Logistics Business is mainly due to (i) a $2.2 million decrease in loss from foreign exchange differences, (ii) a $2.0 million decrease in taxes other than income taxes and (iii) a $0.1 million decrease in other expense.</w:t>
      </w:r>
    </w:p>
    <w:p>
      <w:pPr>
        <w:spacing w:after="0" w:line="170"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b w:val="1"/>
          <w:bCs w:val="1"/>
          <w:i w:val="1"/>
          <w:iCs w:val="1"/>
          <w:color w:val="auto"/>
        </w:rPr>
        <w:t xml:space="preserve">Impairment of loan receivable from affiliate company: </w:t>
      </w:r>
      <w:r>
        <w:rPr>
          <w:rFonts w:ascii="Arial" w:cs="Arial" w:eastAsia="Arial" w:hAnsi="Arial"/>
          <w:sz w:val="18"/>
          <w:szCs w:val="18"/>
          <w:color w:val="auto"/>
        </w:rPr>
        <w:t>During the years ended December 31, 2020 and 2019, the Company recognized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$6.1 million and $0 million on impairment of loan receivable from affiliate company.</w:t>
      </w:r>
    </w:p>
    <w:p>
      <w:pPr>
        <w:sectPr>
          <w:pgSz w:w="11900" w:h="16838" w:orient="portrait"/>
          <w:cols w:equalWidth="0" w:num="1">
            <w:col w:w="11120"/>
          </w:cols>
          <w:pgMar w:left="320" w:top="459" w:right="459" w:bottom="1440" w:gutter="0" w:footer="0" w:header="0"/>
        </w:sectPr>
      </w:pP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100</w:t>
      </w:r>
    </w:p>
    <w:p>
      <w:pPr>
        <w:sectPr>
          <w:pgSz w:w="11900" w:h="16838" w:orient="portrait"/>
          <w:cols w:equalWidth="0" w:num="1">
            <w:col w:w="11120"/>
          </w:cols>
          <w:pgMar w:left="320" w:top="459" w:right="459" w:bottom="1440" w:gutter="0" w:footer="0" w:header="0"/>
          <w:type w:val="continuous"/>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b w:val="1"/>
          <w:bCs w:val="1"/>
          <w:i w:val="1"/>
          <w:iCs w:val="1"/>
          <w:color w:val="auto"/>
        </w:rPr>
        <w:t xml:space="preserve">Equity in Net Losses of Affiliate Companies: </w:t>
      </w:r>
      <w:r>
        <w:rPr>
          <w:rFonts w:ascii="Arial" w:cs="Arial" w:eastAsia="Arial" w:hAnsi="Arial"/>
          <w:sz w:val="17"/>
          <w:szCs w:val="17"/>
          <w:color w:val="auto"/>
        </w:rPr>
        <w:t>Equity in net losses of affiliate companies decreased by $7.9 million to $1.3 million for the year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ended December 31, 2020, as compared to $9.2 million for the same period in 2019. This decrease was mainly due to (i) a $13.5 million OTTI loss relating to the investment in Navios Acquisition recognized in the second quarter of 2019; and (ii) a $14.4 million increase in equity method income; partially mitigated by (i) a $13.4 million OTTI loss relating to the investment in Navios Acquisition recognized in the fourth quarter of 2020; and (ii) a $6.7 million OTTI loss relating to the investment in Navios Europe II recognized in the first quarter of 2020. The $14.4 million increase in equity method income was mainly due to a $24.2 million increase in equity method income from Navios Acquisition; partially mitigated by (i) a $8.1 million decrease in equity method income from Navios Partners; (ii) a $1.8 million decrease in equity method income from Navios Europe II; and (iii) a less than $0.1 million decrease in equity method income from Navios Containers.</w:t>
      </w:r>
    </w:p>
    <w:p>
      <w:pPr>
        <w:spacing w:after="0" w:line="178"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b w:val="1"/>
          <w:bCs w:val="1"/>
          <w:i w:val="1"/>
          <w:iCs w:val="1"/>
          <w:color w:val="auto"/>
        </w:rPr>
        <w:t xml:space="preserve">Income Tax Expense: </w:t>
      </w:r>
      <w:r>
        <w:rPr>
          <w:rFonts w:ascii="Arial" w:cs="Arial" w:eastAsia="Arial" w:hAnsi="Arial"/>
          <w:sz w:val="16"/>
          <w:szCs w:val="16"/>
          <w:color w:val="auto"/>
        </w:rPr>
        <w:t>Income tax expense increased by $0.6 million to a $2.1 million for the year ended December 31, 2020, as compared to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$1.5 million tax expense for the year ended December 31, 2019. The change in income tax was mainly attributable to Navios Logistics due to (i) a $0.5 million decrease in tax benefit from the barge business; and (ii) a $0.2 million increase in income tax expense in cabotage business.</w:t>
      </w:r>
    </w:p>
    <w:p>
      <w:pPr>
        <w:spacing w:after="0" w:line="149" w:lineRule="exact"/>
        <w:rPr>
          <w:sz w:val="20"/>
          <w:szCs w:val="20"/>
          <w:color w:val="auto"/>
        </w:rPr>
      </w:pPr>
    </w:p>
    <w:p>
      <w:pPr>
        <w:ind w:left="120" w:right="400" w:firstLine="440"/>
        <w:spacing w:after="0" w:line="308" w:lineRule="auto"/>
        <w:rPr>
          <w:sz w:val="20"/>
          <w:szCs w:val="20"/>
          <w:color w:val="auto"/>
        </w:rPr>
      </w:pPr>
      <w:r>
        <w:rPr>
          <w:rFonts w:ascii="Arial" w:cs="Arial" w:eastAsia="Arial" w:hAnsi="Arial"/>
          <w:sz w:val="17"/>
          <w:szCs w:val="17"/>
          <w:b w:val="1"/>
          <w:bCs w:val="1"/>
          <w:i w:val="1"/>
          <w:iCs w:val="1"/>
          <w:color w:val="auto"/>
        </w:rPr>
        <w:t>Net Loss from Discontinued Operations</w:t>
      </w:r>
      <w:r>
        <w:rPr>
          <w:rFonts w:ascii="Arial" w:cs="Arial" w:eastAsia="Arial" w:hAnsi="Arial"/>
          <w:sz w:val="17"/>
          <w:szCs w:val="17"/>
          <w:color w:val="auto"/>
        </w:rPr>
        <w:t>: Net loss from discontinued operations was $0 million for the year ended December 31, 2020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$4.1 million attributable to the net loss of Navios Containers, for the period from January 1, 2019 to August 30, 2019.</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 xml:space="preserve">Net Income Attributable to the Noncontrolling Interest: </w:t>
      </w:r>
      <w:r>
        <w:rPr>
          <w:rFonts w:ascii="Arial" w:cs="Arial" w:eastAsia="Arial" w:hAnsi="Arial"/>
          <w:sz w:val="16"/>
          <w:szCs w:val="16"/>
          <w:color w:val="auto"/>
        </w:rPr>
        <w:t>Net income attributable to the noncontrolling interest decreased by $3.3 million to</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$4.4 million for the year ended December 31, 2020, as compared to $7.7 million for the same period in 2019. This decrease was mainly attributable to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Logistics Business net income for the year ended December 31, 2020 compared to the same period in 2019, partially mitigated by Containers Business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net loss for the period ended August 30, 2019 (date of losing control).</w:t>
      </w:r>
    </w:p>
    <w:p>
      <w:pPr>
        <w:spacing w:after="0" w:line="14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0960"/>
          </w:cols>
          <w:pgMar w:left="320" w:top="459" w:right="61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 the year ended December 31, 2019 compared to the year ended December 31, 2018</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following table presents consolidated revenue and expense information for each of the years ended December 31, 2019 and 2018, respectively. This information was derived from the audited consolidated revenue and expense accounts of Navios Holdings for each of the years ended December 31, 2019 and 2018. Following the sale of Navios Containers’ general partnership interest effected on August 30, 2019, Navios Holdings deconsolidated Navios Containers from that date onwards. The results of operations of Navios Containers for the period consolidated under Navios Holdings have been reported as discontinued operations for the periods from January 1, 2019 to August 30, 2019 and from November 30, 2018 to December 31, 2018, presented herein.</w:t>
      </w:r>
    </w:p>
    <w:p>
      <w:pPr>
        <w:spacing w:after="0" w:line="199"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w w:val="96"/>
              </w:rPr>
              <w:t>Year Ended</w:t>
            </w:r>
          </w:p>
        </w:tc>
        <w:tc>
          <w:tcPr>
            <w:tcW w:w="940" w:type="dxa"/>
            <w:vAlign w:val="bottom"/>
            <w:gridSpan w:val="3"/>
          </w:tcPr>
          <w:p>
            <w:pPr>
              <w:jc w:val="right"/>
              <w:ind w:right="81"/>
              <w:spacing w:after="0"/>
              <w:rPr>
                <w:sz w:val="20"/>
                <w:szCs w:val="20"/>
                <w:color w:val="auto"/>
              </w:rPr>
            </w:pPr>
            <w:r>
              <w:rPr>
                <w:rFonts w:ascii="Arial" w:cs="Arial" w:eastAsia="Arial" w:hAnsi="Arial"/>
                <w:sz w:val="14"/>
                <w:szCs w:val="14"/>
                <w:b w:val="1"/>
                <w:bCs w:val="1"/>
                <w:color w:val="auto"/>
                <w:w w:val="98"/>
              </w:rPr>
              <w:t>Year Ended</w:t>
            </w:r>
          </w:p>
        </w:tc>
        <w:tc>
          <w:tcPr>
            <w:tcW w:w="0" w:type="dxa"/>
            <w:vAlign w:val="bottom"/>
          </w:tcPr>
          <w:p>
            <w:pPr>
              <w:spacing w:after="0"/>
              <w:rPr>
                <w:sz w:val="1"/>
                <w:szCs w:val="1"/>
                <w:color w:val="auto"/>
              </w:rPr>
            </w:pPr>
          </w:p>
        </w:tc>
      </w:tr>
      <w:tr>
        <w:trPr>
          <w:trHeight w:val="149"/>
        </w:trPr>
        <w:tc>
          <w:tcPr>
            <w:tcW w:w="61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of U.S. dollars)</w:t>
            </w:r>
          </w:p>
        </w:tc>
        <w:tc>
          <w:tcPr>
            <w:tcW w:w="20" w:type="dxa"/>
            <w:vAlign w:val="bottom"/>
          </w:tcPr>
          <w:p>
            <w:pPr>
              <w:spacing w:after="0"/>
              <w:rPr>
                <w:sz w:val="12"/>
                <w:szCs w:val="12"/>
                <w:color w:val="auto"/>
              </w:rPr>
            </w:pPr>
          </w:p>
        </w:tc>
        <w:tc>
          <w:tcPr>
            <w:tcW w:w="12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160" w:type="dxa"/>
            <w:vAlign w:val="bottom"/>
            <w:tcBorders>
              <w:bottom w:val="single" w:sz="8" w:color="CCEEFF"/>
            </w:tcBorders>
            <w:vMerge w:val="continue"/>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482,449</w:t>
            </w:r>
          </w:p>
        </w:tc>
        <w:tc>
          <w:tcPr>
            <w:tcW w:w="42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505,686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Administrative fee revenue from affiliate companies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420"/>
              <w:spacing w:after="0"/>
              <w:rPr>
                <w:sz w:val="20"/>
                <w:szCs w:val="20"/>
                <w:color w:val="auto"/>
              </w:rPr>
            </w:pPr>
            <w:r>
              <w:rPr>
                <w:rFonts w:ascii="Arial" w:cs="Arial" w:eastAsia="Arial" w:hAnsi="Arial"/>
                <w:sz w:val="18"/>
                <w:szCs w:val="18"/>
                <w:color w:val="auto"/>
              </w:rPr>
              <w:t>16,991</w:t>
            </w:r>
          </w:p>
        </w:tc>
        <w:tc>
          <w:tcPr>
            <w:tcW w:w="140" w:type="dxa"/>
            <w:vAlign w:val="bottom"/>
          </w:tcPr>
          <w:p>
            <w:pPr>
              <w:spacing w:after="0"/>
              <w:rPr>
                <w:sz w:val="18"/>
                <w:szCs w:val="18"/>
                <w:color w:val="auto"/>
              </w:rPr>
            </w:pPr>
          </w:p>
        </w:tc>
        <w:tc>
          <w:tcPr>
            <w:tcW w:w="800" w:type="dxa"/>
            <w:vAlign w:val="bottom"/>
            <w:gridSpan w:val="2"/>
          </w:tcPr>
          <w:p>
            <w:pPr>
              <w:jc w:val="right"/>
              <w:ind w:right="21"/>
              <w:spacing w:after="0"/>
              <w:rPr>
                <w:sz w:val="20"/>
                <w:szCs w:val="20"/>
                <w:color w:val="auto"/>
              </w:rPr>
            </w:pPr>
            <w:r>
              <w:rPr>
                <w:rFonts w:ascii="Arial" w:cs="Arial" w:eastAsia="Arial" w:hAnsi="Arial"/>
                <w:sz w:val="18"/>
                <w:szCs w:val="18"/>
                <w:color w:val="auto"/>
              </w:rPr>
              <w:t>28,393</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Time charter, voyage and logistics business expenses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95"/>
              </w:rPr>
              <w:t>(177,216)</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(205,787)</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Direct vessel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360"/>
              <w:spacing w:after="0"/>
              <w:rPr>
                <w:sz w:val="20"/>
                <w:szCs w:val="20"/>
                <w:color w:val="auto"/>
              </w:rPr>
            </w:pPr>
            <w:r>
              <w:rPr>
                <w:rFonts w:ascii="Arial" w:cs="Arial" w:eastAsia="Arial" w:hAnsi="Arial"/>
                <w:sz w:val="18"/>
                <w:szCs w:val="18"/>
                <w:color w:val="auto"/>
                <w:w w:val="95"/>
              </w:rPr>
              <w:t>(101,467)</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(96,261)</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w w:val="98"/>
              </w:rPr>
              <w:t>General and administrative expenses incurred on behalf of affiliate companies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(16,991)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(28,393)</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360"/>
              <w:spacing w:after="0"/>
              <w:rPr>
                <w:sz w:val="20"/>
                <w:szCs w:val="20"/>
                <w:color w:val="auto"/>
              </w:rPr>
            </w:pPr>
            <w:r>
              <w:rPr>
                <w:rFonts w:ascii="Arial" w:cs="Arial" w:eastAsia="Arial" w:hAnsi="Arial"/>
                <w:sz w:val="18"/>
                <w:szCs w:val="18"/>
                <w:color w:val="auto"/>
              </w:rPr>
              <w:t>(36,194)</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(26,640)</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(81,723)</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(99,779)</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Allowance for credit losses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360"/>
              <w:spacing w:after="0"/>
              <w:rPr>
                <w:sz w:val="20"/>
                <w:szCs w:val="20"/>
                <w:color w:val="auto"/>
              </w:rPr>
            </w:pPr>
            <w:r>
              <w:rPr>
                <w:rFonts w:ascii="Arial" w:cs="Arial" w:eastAsia="Arial" w:hAnsi="Arial"/>
                <w:sz w:val="18"/>
                <w:szCs w:val="18"/>
                <w:color w:val="auto"/>
              </w:rPr>
              <w:t>(999)</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10,662</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8,748</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Interest expense and finance cost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360"/>
              <w:spacing w:after="0"/>
              <w:rPr>
                <w:sz w:val="20"/>
                <w:szCs w:val="20"/>
                <w:color w:val="auto"/>
              </w:rPr>
            </w:pPr>
            <w:r>
              <w:rPr>
                <w:rFonts w:ascii="Arial" w:cs="Arial" w:eastAsia="Arial" w:hAnsi="Arial"/>
                <w:sz w:val="18"/>
                <w:szCs w:val="18"/>
                <w:color w:val="auto"/>
                <w:w w:val="95"/>
              </w:rPr>
              <w:t>(133,479)</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5"/>
              </w:rPr>
              <w:t>(137,916)</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Impairment loss/ loss on sale of vessels, net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95"/>
              </w:rPr>
              <w:t>(156,106)</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(200,657)</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Gain on bond and debt extinguishment, net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420"/>
              <w:spacing w:after="0"/>
              <w:rPr>
                <w:sz w:val="20"/>
                <w:szCs w:val="20"/>
                <w:color w:val="auto"/>
              </w:rPr>
            </w:pPr>
            <w:r>
              <w:rPr>
                <w:rFonts w:ascii="Arial" w:cs="Arial" w:eastAsia="Arial" w:hAnsi="Arial"/>
                <w:sz w:val="18"/>
                <w:szCs w:val="18"/>
                <w:color w:val="auto"/>
              </w:rPr>
              <w:t>47,430</w:t>
            </w:r>
          </w:p>
        </w:tc>
        <w:tc>
          <w:tcPr>
            <w:tcW w:w="140" w:type="dxa"/>
            <w:vAlign w:val="bottom"/>
          </w:tcPr>
          <w:p>
            <w:pPr>
              <w:spacing w:after="0"/>
              <w:rPr>
                <w:sz w:val="18"/>
                <w:szCs w:val="18"/>
                <w:color w:val="auto"/>
              </w:rPr>
            </w:pPr>
          </w:p>
        </w:tc>
        <w:tc>
          <w:tcPr>
            <w:tcW w:w="800" w:type="dxa"/>
            <w:vAlign w:val="bottom"/>
            <w:gridSpan w:val="2"/>
          </w:tcPr>
          <w:p>
            <w:pPr>
              <w:jc w:val="right"/>
              <w:ind w:right="21"/>
              <w:spacing w:after="0"/>
              <w:rPr>
                <w:sz w:val="20"/>
                <w:szCs w:val="20"/>
                <w:color w:val="auto"/>
              </w:rPr>
            </w:pPr>
            <w:r>
              <w:rPr>
                <w:rFonts w:ascii="Arial" w:cs="Arial" w:eastAsia="Arial" w:hAnsi="Arial"/>
                <w:sz w:val="18"/>
                <w:szCs w:val="18"/>
                <w:color w:val="auto"/>
              </w:rPr>
              <w:t>6,464</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Gain on sale of business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420"/>
              <w:spacing w:after="0"/>
              <w:rPr>
                <w:sz w:val="20"/>
                <w:szCs w:val="20"/>
                <w:color w:val="auto"/>
              </w:rPr>
            </w:pPr>
            <w:r>
              <w:rPr>
                <w:rFonts w:ascii="Arial" w:cs="Arial" w:eastAsia="Arial" w:hAnsi="Arial"/>
                <w:sz w:val="18"/>
                <w:szCs w:val="18"/>
                <w:color w:val="auto"/>
              </w:rPr>
              <w:t>9,802</w:t>
            </w:r>
          </w:p>
        </w:tc>
        <w:tc>
          <w:tcPr>
            <w:tcW w:w="140" w:type="dxa"/>
            <w:vAlign w:val="bottom"/>
          </w:tcPr>
          <w:p>
            <w:pPr>
              <w:spacing w:after="0"/>
              <w:rPr>
                <w:sz w:val="18"/>
                <w:szCs w:val="18"/>
                <w:color w:val="auto"/>
              </w:rPr>
            </w:pPr>
          </w:p>
        </w:tc>
        <w:tc>
          <w:tcPr>
            <w:tcW w:w="80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(Loss on loss of control)/Bargain gain upon obtaining control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(61,741)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58,313</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Other income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420"/>
              <w:spacing w:after="0"/>
              <w:rPr>
                <w:sz w:val="20"/>
                <w:szCs w:val="20"/>
                <w:color w:val="auto"/>
              </w:rPr>
            </w:pPr>
            <w:r>
              <w:rPr>
                <w:rFonts w:ascii="Arial" w:cs="Arial" w:eastAsia="Arial" w:hAnsi="Arial"/>
                <w:sz w:val="18"/>
                <w:szCs w:val="18"/>
                <w:color w:val="auto"/>
              </w:rPr>
              <w:t>44,750</w:t>
            </w:r>
          </w:p>
        </w:tc>
        <w:tc>
          <w:tcPr>
            <w:tcW w:w="140" w:type="dxa"/>
            <w:vAlign w:val="bottom"/>
          </w:tcPr>
          <w:p>
            <w:pPr>
              <w:spacing w:after="0"/>
              <w:rPr>
                <w:sz w:val="18"/>
                <w:szCs w:val="18"/>
                <w:color w:val="auto"/>
              </w:rPr>
            </w:pPr>
          </w:p>
        </w:tc>
        <w:tc>
          <w:tcPr>
            <w:tcW w:w="800" w:type="dxa"/>
            <w:vAlign w:val="bottom"/>
            <w:gridSpan w:val="2"/>
          </w:tcPr>
          <w:p>
            <w:pPr>
              <w:jc w:val="right"/>
              <w:ind w:right="21"/>
              <w:spacing w:after="0"/>
              <w:rPr>
                <w:sz w:val="20"/>
                <w:szCs w:val="20"/>
                <w:color w:val="auto"/>
              </w:rPr>
            </w:pPr>
            <w:r>
              <w:rPr>
                <w:rFonts w:ascii="Arial" w:cs="Arial" w:eastAsia="Arial" w:hAnsi="Arial"/>
                <w:sz w:val="18"/>
                <w:szCs w:val="18"/>
                <w:color w:val="auto"/>
              </w:rPr>
              <w:t>14,500</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(15,842)</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(13,290)</w:t>
            </w:r>
          </w:p>
        </w:tc>
        <w:tc>
          <w:tcPr>
            <w:tcW w:w="0" w:type="dxa"/>
            <w:vAlign w:val="bottom"/>
          </w:tcPr>
          <w:p>
            <w:pPr>
              <w:spacing w:after="0"/>
              <w:rPr>
                <w:sz w:val="1"/>
                <w:szCs w:val="1"/>
                <w:color w:val="auto"/>
              </w:rPr>
            </w:pPr>
          </w:p>
        </w:tc>
      </w:tr>
      <w:tr>
        <w:trPr>
          <w:trHeight w:val="230"/>
        </w:trPr>
        <w:tc>
          <w:tcPr>
            <w:tcW w:w="6160" w:type="dxa"/>
            <w:vAlign w:val="bottom"/>
          </w:tcPr>
          <w:p>
            <w:pPr>
              <w:spacing w:after="0"/>
              <w:rPr>
                <w:sz w:val="20"/>
                <w:szCs w:val="20"/>
                <w:color w:val="auto"/>
              </w:rPr>
            </w:pPr>
            <w:r>
              <w:rPr>
                <w:rFonts w:ascii="Arial" w:cs="Arial" w:eastAsia="Arial" w:hAnsi="Arial"/>
                <w:sz w:val="18"/>
                <w:szCs w:val="18"/>
                <w:b w:val="1"/>
                <w:bCs w:val="1"/>
                <w:color w:val="auto"/>
              </w:rPr>
              <w:t>Loss before equity in net losses of affiliate companies</w:t>
            </w: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(169,674</w:t>
            </w:r>
          </w:p>
        </w:tc>
        <w:tc>
          <w:tcPr>
            <w:tcW w:w="42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(187,166</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Equity in net losses of affiliate companies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(9,185)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(80,205)</w:t>
            </w:r>
          </w:p>
        </w:tc>
        <w:tc>
          <w:tcPr>
            <w:tcW w:w="0" w:type="dxa"/>
            <w:vAlign w:val="bottom"/>
          </w:tcPr>
          <w:p>
            <w:pPr>
              <w:spacing w:after="0"/>
              <w:rPr>
                <w:sz w:val="1"/>
                <w:szCs w:val="1"/>
                <w:color w:val="auto"/>
              </w:rPr>
            </w:pPr>
          </w:p>
        </w:tc>
      </w:tr>
      <w:tr>
        <w:trPr>
          <w:trHeight w:val="230"/>
        </w:trPr>
        <w:tc>
          <w:tcPr>
            <w:tcW w:w="6160" w:type="dxa"/>
            <w:vAlign w:val="bottom"/>
          </w:tcPr>
          <w:p>
            <w:pPr>
              <w:spacing w:after="0"/>
              <w:rPr>
                <w:sz w:val="20"/>
                <w:szCs w:val="20"/>
                <w:color w:val="auto"/>
              </w:rPr>
            </w:pPr>
            <w:r>
              <w:rPr>
                <w:rFonts w:ascii="Arial" w:cs="Arial" w:eastAsia="Arial" w:hAnsi="Arial"/>
                <w:sz w:val="18"/>
                <w:szCs w:val="18"/>
                <w:b w:val="1"/>
                <w:bCs w:val="1"/>
                <w:color w:val="auto"/>
              </w:rPr>
              <w:t>Loss before taxes</w:t>
            </w: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(178,859</w:t>
            </w:r>
          </w:p>
        </w:tc>
        <w:tc>
          <w:tcPr>
            <w:tcW w:w="42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(267,371</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(expense)/benefit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(1,475)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1,108</w:t>
            </w:r>
          </w:p>
        </w:tc>
        <w:tc>
          <w:tcPr>
            <w:tcW w:w="0" w:type="dxa"/>
            <w:vAlign w:val="bottom"/>
          </w:tcPr>
          <w:p>
            <w:pPr>
              <w:spacing w:after="0"/>
              <w:rPr>
                <w:sz w:val="1"/>
                <w:szCs w:val="1"/>
                <w:color w:val="auto"/>
              </w:rPr>
            </w:pPr>
          </w:p>
        </w:tc>
      </w:tr>
      <w:tr>
        <w:trPr>
          <w:trHeight w:val="230"/>
        </w:trPr>
        <w:tc>
          <w:tcPr>
            <w:tcW w:w="6160" w:type="dxa"/>
            <w:vAlign w:val="bottom"/>
          </w:tcPr>
          <w:p>
            <w:pPr>
              <w:spacing w:after="0"/>
              <w:rPr>
                <w:sz w:val="20"/>
                <w:szCs w:val="20"/>
                <w:color w:val="auto"/>
              </w:rPr>
            </w:pPr>
            <w:r>
              <w:rPr>
                <w:rFonts w:ascii="Arial" w:cs="Arial" w:eastAsia="Arial" w:hAnsi="Arial"/>
                <w:sz w:val="18"/>
                <w:szCs w:val="18"/>
                <w:b w:val="1"/>
                <w:bCs w:val="1"/>
                <w:color w:val="auto"/>
              </w:rPr>
              <w:t>Net loss from continuing operations</w:t>
            </w: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(180,334</w:t>
            </w:r>
          </w:p>
        </w:tc>
        <w:tc>
          <w:tcPr>
            <w:tcW w:w="42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(266,263</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Net (loss)/income from discontinued operations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(4,118)</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30"/>
        </w:trPr>
        <w:tc>
          <w:tcPr>
            <w:tcW w:w="616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(184,452</w:t>
            </w:r>
          </w:p>
        </w:tc>
        <w:tc>
          <w:tcPr>
            <w:tcW w:w="42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(265,511</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Less: Net income attributable to the noncontrolling interest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(7,658)</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(3,207)</w:t>
            </w:r>
          </w:p>
        </w:tc>
        <w:tc>
          <w:tcPr>
            <w:tcW w:w="0" w:type="dxa"/>
            <w:vAlign w:val="bottom"/>
          </w:tcPr>
          <w:p>
            <w:pPr>
              <w:spacing w:after="0"/>
              <w:rPr>
                <w:sz w:val="1"/>
                <w:szCs w:val="1"/>
                <w:color w:val="auto"/>
              </w:rPr>
            </w:pPr>
          </w:p>
        </w:tc>
      </w:tr>
      <w:tr>
        <w:trPr>
          <w:trHeight w:val="223"/>
        </w:trPr>
        <w:tc>
          <w:tcPr>
            <w:tcW w:w="6160" w:type="dxa"/>
            <w:vAlign w:val="bottom"/>
          </w:tcPr>
          <w:p>
            <w:pPr>
              <w:spacing w:after="0"/>
              <w:rPr>
                <w:sz w:val="20"/>
                <w:szCs w:val="20"/>
                <w:color w:val="auto"/>
              </w:rPr>
            </w:pPr>
            <w:r>
              <w:rPr>
                <w:rFonts w:ascii="Arial" w:cs="Arial" w:eastAsia="Arial" w:hAnsi="Arial"/>
                <w:sz w:val="18"/>
                <w:szCs w:val="18"/>
                <w:b w:val="1"/>
                <w:bCs w:val="1"/>
                <w:color w:val="auto"/>
              </w:rPr>
              <w:t>Net loss attributable to Navios Holdings common stockholders</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(192,110</w:t>
            </w:r>
          </w:p>
        </w:tc>
        <w:tc>
          <w:tcPr>
            <w:tcW w:w="42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(268,718</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40" w:firstLine="440"/>
        <w:spacing w:after="0" w:line="342" w:lineRule="auto"/>
        <w:rPr>
          <w:sz w:val="20"/>
          <w:szCs w:val="20"/>
          <w:color w:val="auto"/>
        </w:rPr>
      </w:pPr>
      <w:r>
        <w:rPr>
          <w:rFonts w:ascii="Arial" w:cs="Arial" w:eastAsia="Arial" w:hAnsi="Arial"/>
          <w:sz w:val="16"/>
          <w:szCs w:val="16"/>
          <w:color w:val="auto"/>
        </w:rPr>
        <w:t>Set forth below are selected historical and statistical data for the Dry Bulk Vessel Operations segment for each of the years ended December 31, 2019 and 2018 that the Company believes may be useful in better understanding the Company’s financial position and results of operations.</w:t>
      </w:r>
    </w:p>
    <w:p>
      <w:pPr>
        <w:spacing w:after="0" w:line="142"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Year Ended</w:t>
      </w:r>
    </w:p>
    <w:p>
      <w:pPr>
        <w:jc w:val="center"/>
        <w:ind w:left="618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6400" w:type="dxa"/>
            <w:vAlign w:val="bottom"/>
          </w:tcPr>
          <w:p>
            <w:pPr>
              <w:spacing w:after="0"/>
              <w:rPr>
                <w:sz w:val="12"/>
                <w:szCs w:val="12"/>
                <w:color w:val="auto"/>
              </w:rPr>
            </w:pPr>
          </w:p>
        </w:tc>
        <w:tc>
          <w:tcPr>
            <w:tcW w:w="600" w:type="dxa"/>
            <w:vAlign w:val="bottom"/>
            <w:tcBorders>
              <w:top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r>
      <w:tr>
        <w:trPr>
          <w:trHeight w:val="196"/>
        </w:trPr>
        <w:tc>
          <w:tcPr>
            <w:tcW w:w="6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FLEET DATA</w:t>
            </w:r>
          </w:p>
        </w:tc>
        <w:tc>
          <w:tcPr>
            <w:tcW w:w="6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Available days</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19,738</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22,938</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Operating days</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19,613</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22,855</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Fleet utilization</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99.4%</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99.6%</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Equivalent vessels</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54</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63</w:t>
            </w:r>
          </w:p>
        </w:tc>
      </w:tr>
      <w:tr>
        <w:trPr>
          <w:trHeight w:val="216"/>
        </w:trPr>
        <w:tc>
          <w:tcPr>
            <w:tcW w:w="6400" w:type="dxa"/>
            <w:vAlign w:val="bottom"/>
          </w:tcPr>
          <w:p>
            <w:pPr>
              <w:spacing w:after="0"/>
              <w:rPr>
                <w:sz w:val="20"/>
                <w:szCs w:val="20"/>
                <w:color w:val="auto"/>
              </w:rPr>
            </w:pPr>
            <w:r>
              <w:rPr>
                <w:rFonts w:ascii="Arial" w:cs="Arial" w:eastAsia="Arial" w:hAnsi="Arial"/>
                <w:sz w:val="18"/>
                <w:szCs w:val="18"/>
                <w:b w:val="1"/>
                <w:bCs w:val="1"/>
                <w:color w:val="auto"/>
              </w:rPr>
              <w:t>AVERAGE DAILY RESULTS</w:t>
            </w: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TCE</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$12,519</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$12,534</w:t>
            </w:r>
          </w:p>
        </w:tc>
      </w:tr>
    </w:tbl>
    <w:p>
      <w:pPr>
        <w:spacing w:after="0" w:line="202"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During the year ended December 31, 2019, there were 3,200 less available days as compared to 2018, mainly due to (i) a decrease in available days for owned and bareboat chartered-in vessels by 1,632 days following the sale of six and five vessels in 2019 and 2018, respectively; and (ii) a decrease in long-term charter-in fleet available days by 1,568 days.</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040"/>
          </w:cols>
          <w:pgMar w:left="320" w:top="459" w:right="5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average TCE rate for the year ended December 31, 2019 was $12,519 per day, $15 per day lower than the rate achieved in 2018.</w:t>
      </w:r>
    </w:p>
    <w:p>
      <w:pPr>
        <w:spacing w:after="0" w:line="23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Revenue from the Dry Bulk Vessel Operations for the year ended December 31, 2019 was $254.2 million as compared to $298.1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same period during 2018. The decrease in dry bulk revenue was mainly attributable to a decrease in available days by 14.0% due to the vessels sold and certain charter-in vessels that were redelivered. The TCE per day amounted to $12,519 per day in the year ended December 31, 2019, as compared to $12,534 per day in the same period in 2018.</w:t>
      </w:r>
    </w:p>
    <w:p>
      <w:pPr>
        <w:spacing w:after="0" w:line="187"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Revenue from the Logistics Business was $228.3 million for the year ended December 31, 2019 as compared to $207.6 million for the year ended December 31, 2018. The increase of $20.7 million was mainly attributable to (i) a $25.9 million increase in the port terminal business mainly due to higher volumes transshipped in the grain port terminal as well as higher revenue in the iron ore port terminal compared to the year ended December 31, 2018 as iron ore port terminal operations were partially interrupted from a fire incident in 2018; (ii) a $13.5 million increase in the barge business, mainly due to higher volumes of liquid and dry cargo transportation; and (iii) a $4.4 million increase in the cabotage business mainly due to more operating days. The overall increase was partially mitigated by a $23.1 million decrease in sales of products, mainly attributable to a decrease in the Paraguayan liquid port’s volumes of products sold.</w:t>
      </w:r>
    </w:p>
    <w:p>
      <w:pPr>
        <w:spacing w:after="0" w:line="177" w:lineRule="exact"/>
        <w:rPr>
          <w:sz w:val="20"/>
          <w:szCs w:val="20"/>
          <w:color w:val="auto"/>
        </w:rPr>
      </w:pPr>
    </w:p>
    <w:p>
      <w:pPr>
        <w:ind w:left="120" w:right="280" w:firstLine="440"/>
        <w:spacing w:after="0" w:line="311" w:lineRule="auto"/>
        <w:rPr>
          <w:sz w:val="20"/>
          <w:szCs w:val="20"/>
          <w:color w:val="auto"/>
        </w:rPr>
      </w:pPr>
      <w:r>
        <w:rPr>
          <w:rFonts w:ascii="Arial" w:cs="Arial" w:eastAsia="Arial" w:hAnsi="Arial"/>
          <w:sz w:val="16"/>
          <w:szCs w:val="16"/>
          <w:b w:val="1"/>
          <w:bCs w:val="1"/>
          <w:i w:val="1"/>
          <w:iCs w:val="1"/>
          <w:color w:val="auto"/>
        </w:rPr>
        <w:t xml:space="preserve">Administrative Fee Revenue from Affiliate Companies: </w:t>
      </w:r>
      <w:r>
        <w:rPr>
          <w:rFonts w:ascii="Arial" w:cs="Arial" w:eastAsia="Arial" w:hAnsi="Arial"/>
          <w:sz w:val="16"/>
          <w:szCs w:val="16"/>
          <w:color w:val="auto"/>
        </w:rPr>
        <w:t>Administrative fee revenue from affiliate companies decreased by $11.4 million,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40.1%, to $17.0 million for the year ended December 31, 2019, as compared to $28.4 million for the year ended December 31, 2018. See general and administrative expenses incurred on behalf of affiliate companies and general and administrative expenses discussion below.</w:t>
      </w:r>
    </w:p>
    <w:p>
      <w:pPr>
        <w:spacing w:after="0" w:line="149" w:lineRule="exact"/>
        <w:rPr>
          <w:sz w:val="20"/>
          <w:szCs w:val="20"/>
          <w:color w:val="auto"/>
        </w:rPr>
      </w:pPr>
    </w:p>
    <w:p>
      <w:pPr>
        <w:ind w:left="120" w:right="300" w:firstLine="440"/>
        <w:spacing w:after="0" w:line="342" w:lineRule="auto"/>
        <w:rPr>
          <w:sz w:val="20"/>
          <w:szCs w:val="20"/>
          <w:color w:val="auto"/>
        </w:rPr>
      </w:pPr>
      <w:r>
        <w:rPr>
          <w:rFonts w:ascii="Arial" w:cs="Arial" w:eastAsia="Arial" w:hAnsi="Arial"/>
          <w:sz w:val="16"/>
          <w:szCs w:val="16"/>
          <w:b w:val="1"/>
          <w:bCs w:val="1"/>
          <w:i w:val="1"/>
          <w:iCs w:val="1"/>
          <w:color w:val="auto"/>
        </w:rPr>
        <w:t xml:space="preserve">Time Charter, Voyage and Logistics Business Expenses: </w:t>
      </w:r>
      <w:r>
        <w:rPr>
          <w:rFonts w:ascii="Arial" w:cs="Arial" w:eastAsia="Arial" w:hAnsi="Arial"/>
          <w:sz w:val="16"/>
          <w:szCs w:val="16"/>
          <w:color w:val="auto"/>
        </w:rPr>
        <w:t>Time charter, voyage and Logistics Business expenses decreased by $28.6 million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13.9% to $177.2 million for the year ended December 31, 2019, as compared to $205.8 million for the year ended December 31, 2018.</w:t>
      </w:r>
    </w:p>
    <w:p>
      <w:pPr>
        <w:spacing w:after="0" w:line="124"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Time charter and voyage expenses from dry bulk operations decreased by $17.6 million, or 12.3%, to $125.0 million for the year ended December 31, 2019, as compared to $142.6 million for the year ended December 31, 2018. This was primarily due to (i) a $11.6 million decrease in charter-in expenses, mainly due to a decrease in charter-in available days in 2019, as compared to the same period in 2018; (ii) a $3.8 million decrease in port expenses; (iii) a $1.9 million decrease in off hire and fuel expenses; and (iv) a $0.3 million decrease in other voyage expenses.</w:t>
      </w:r>
    </w:p>
    <w:p>
      <w:pPr>
        <w:spacing w:after="0" w:line="17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Of the total expenses for the years ended December 31, 2019 and 2018, $52.2 million and $63.2 million, respectively, related to Navios Logistics. The decrease of $11.0 million in time charter, voyage and Logistics Business was mainly due to a $22.2 million decrease in cost of products sold, mainly attributable to a decrease in the Paraguayan liquid port’s volumes of products sold. The overall decrease was partially mitigated by (i) a $7.9 million increase in the barge business mainly due to higher volumes of liquid and dry cargo transshipped; (ii) a $2.8 million increase in the port terminal business mainly due to higher volumes transshipped in the grain and iron ore port terminals; and (iii) a $0.5 million increase in the cabotage business mainly due to more spot voyages performed.</w:t>
      </w:r>
    </w:p>
    <w:p>
      <w:pPr>
        <w:spacing w:after="0" w:line="192"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b w:val="1"/>
          <w:bCs w:val="1"/>
          <w:i w:val="1"/>
          <w:iCs w:val="1"/>
          <w:color w:val="auto"/>
        </w:rPr>
        <w:t xml:space="preserve">Direct Vessel Expenses: </w:t>
      </w:r>
      <w:r>
        <w:rPr>
          <w:rFonts w:ascii="Arial" w:cs="Arial" w:eastAsia="Arial" w:hAnsi="Arial"/>
          <w:sz w:val="18"/>
          <w:szCs w:val="18"/>
          <w:color w:val="auto"/>
        </w:rPr>
        <w:t>Direct vessel expenses increased by $5.2 million, or 5.4%, to $101.5 million for the year ended December 31, 2019,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$96.3 million for the year ended December 31, 2018. Direct vessel expenses include crew costs, provisions, deck and engine stores, lubricating oils, insurance premiums and costs for maintenance and repairs.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of August 30, 2019, following the sale of the management division, NSM provides management services to the Company at a fixed rate of</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$3,700 per day per vessel. Total management fees for vessel operating expenses for the period from August 30, 2019 to December 31, 2019 amounted to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$14.4 million.</w:t>
      </w:r>
    </w:p>
    <w:p>
      <w:pPr>
        <w:spacing w:after="0" w:line="211"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Direct vessel expenses from dry bulk operations increased by $7.5 million, or 18.7%, to $47.6 million for the year ended December 31, 2019, as compared to $40.1 million for the year ended December 31, 2018. This increase was mainly attributable to an increase in crew related costs and amortization of deferred drydock and special survey costs and the acquisition of one vessel. This overall increase was partially mitigated by the sale of six and five vessels of the Company’s vessels in 2019 and 2018, respectively.</w:t>
      </w:r>
    </w:p>
    <w:p>
      <w:pPr>
        <w:spacing w:after="0" w:line="18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Of the total amounts of direct vessel expenses for the years ended December 31, 2019 and 2018, $53.9 million and $56.2 million, respectively, related to the Logistics Business. The decrease of $2.3 million in direct vessel expenses was mainly due to (i) a $2.0 million decrease in amortization of deferred drydock and special survey costs of Navios Logistics’ fleet; and (ii) a $1.2 million decrease in direct vessel expenses of the barge business mainly attributable to decreased crew costs. This overall decrease was partially mitigated by a $0.9 million increase in the cabotage business mainly due to more operating days.</w:t>
      </w:r>
    </w:p>
    <w:p>
      <w:pPr>
        <w:spacing w:after="0" w:line="188"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b w:val="1"/>
          <w:bCs w:val="1"/>
          <w:i w:val="1"/>
          <w:iCs w:val="1"/>
          <w:color w:val="auto"/>
        </w:rPr>
        <w:t xml:space="preserve">General and Administrative Expenses Incurred on Behalf of Affiliate Companies: </w:t>
      </w:r>
      <w:r>
        <w:rPr>
          <w:rFonts w:ascii="Arial" w:cs="Arial" w:eastAsia="Arial" w:hAnsi="Arial"/>
          <w:sz w:val="18"/>
          <w:szCs w:val="18"/>
          <w:color w:val="auto"/>
        </w:rPr>
        <w:t>General and administrative expenses incurred on behalf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affiliate companies decreased by $11.4 million, or 40.1%, to $17.0 million for the year ended December 31, 2019, as compared to $28.4 million for the year ended December 31, 2018. See general and administrative expenses discussion below.</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40"/>
          </w:cols>
          <w:pgMar w:left="320" w:top="459" w:right="4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of Navios Holdings are composed of the following:</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gridSpan w:val="4"/>
          </w:tcPr>
          <w:p>
            <w:pPr>
              <w:ind w:left="20"/>
              <w:spacing w:after="0"/>
              <w:rPr>
                <w:sz w:val="20"/>
                <w:szCs w:val="20"/>
                <w:color w:val="auto"/>
              </w:rPr>
            </w:pPr>
            <w:r>
              <w:rPr>
                <w:rFonts w:ascii="Arial" w:cs="Arial" w:eastAsia="Arial" w:hAnsi="Arial"/>
                <w:sz w:val="14"/>
                <w:szCs w:val="14"/>
                <w:b w:val="1"/>
                <w:bCs w:val="1"/>
                <w:color w:val="auto"/>
              </w:rPr>
              <w:t>Year Ended</w:t>
            </w:r>
          </w:p>
        </w:tc>
        <w:tc>
          <w:tcPr>
            <w:tcW w:w="60" w:type="dxa"/>
            <w:vAlign w:val="bottom"/>
          </w:tcPr>
          <w:p>
            <w:pPr>
              <w:spacing w:after="0"/>
              <w:rPr>
                <w:sz w:val="14"/>
                <w:szCs w:val="14"/>
                <w:color w:val="auto"/>
              </w:rPr>
            </w:pPr>
          </w:p>
        </w:tc>
        <w:tc>
          <w:tcPr>
            <w:tcW w:w="880" w:type="dxa"/>
            <w:vAlign w:val="bottom"/>
            <w:gridSpan w:val="4"/>
          </w:tcPr>
          <w:p>
            <w:pPr>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60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of U.S. dollars)</w:t>
            </w:r>
          </w:p>
        </w:tc>
        <w:tc>
          <w:tcPr>
            <w:tcW w:w="140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94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020" w:type="dxa"/>
            <w:vAlign w:val="bottom"/>
            <w:tcBorders>
              <w:bottom w:val="single" w:sz="8" w:color="CCEEFF"/>
            </w:tcBorders>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Administrative fee revenue from affiliate companies</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(16,991)</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(28,393)</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020" w:type="dxa"/>
            <w:vAlign w:val="bottom"/>
          </w:tcPr>
          <w:p>
            <w:pPr>
              <w:spacing w:after="0" w:line="201" w:lineRule="exact"/>
              <w:rPr>
                <w:sz w:val="20"/>
                <w:szCs w:val="20"/>
                <w:color w:val="auto"/>
              </w:rPr>
            </w:pPr>
            <w:r>
              <w:rPr>
                <w:rFonts w:ascii="Arial" w:cs="Arial" w:eastAsia="Arial" w:hAnsi="Arial"/>
                <w:sz w:val="18"/>
                <w:szCs w:val="18"/>
                <w:color w:val="auto"/>
              </w:rPr>
              <w:t>General and administrative expenses incurred on behalf of affiliate</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180"/>
              <w:spacing w:after="0"/>
              <w:rPr>
                <w:sz w:val="20"/>
                <w:szCs w:val="20"/>
                <w:color w:val="auto"/>
              </w:rPr>
            </w:pPr>
            <w:r>
              <w:rPr>
                <w:rFonts w:ascii="Arial" w:cs="Arial" w:eastAsia="Arial" w:hAnsi="Arial"/>
                <w:sz w:val="18"/>
                <w:szCs w:val="18"/>
                <w:color w:val="auto"/>
              </w:rPr>
              <w:t>companies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16,991</w:t>
            </w: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28,393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36,194</w:t>
            </w: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26,640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9"/>
        </w:trPr>
        <w:tc>
          <w:tcPr>
            <w:tcW w:w="6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gridSpan w:val="4"/>
          </w:tcPr>
          <w:p>
            <w:pPr>
              <w:ind w:left="60"/>
              <w:spacing w:after="0"/>
              <w:rPr>
                <w:sz w:val="20"/>
                <w:szCs w:val="20"/>
                <w:color w:val="auto"/>
              </w:rPr>
            </w:pPr>
            <w:r>
              <w:rPr>
                <w:rFonts w:ascii="Arial" w:cs="Arial" w:eastAsia="Arial" w:hAnsi="Arial"/>
                <w:sz w:val="14"/>
                <w:szCs w:val="14"/>
                <w:b w:val="1"/>
                <w:bCs w:val="1"/>
                <w:color w:val="auto"/>
              </w:rPr>
              <w:t>Year Ended</w:t>
            </w:r>
          </w:p>
        </w:tc>
        <w:tc>
          <w:tcPr>
            <w:tcW w:w="60" w:type="dxa"/>
            <w:vAlign w:val="bottom"/>
          </w:tcPr>
          <w:p>
            <w:pPr>
              <w:spacing w:after="0"/>
              <w:rPr>
                <w:sz w:val="24"/>
                <w:szCs w:val="24"/>
                <w:color w:val="auto"/>
              </w:rPr>
            </w:pPr>
          </w:p>
        </w:tc>
        <w:tc>
          <w:tcPr>
            <w:tcW w:w="880" w:type="dxa"/>
            <w:vAlign w:val="bottom"/>
            <w:gridSpan w:val="4"/>
          </w:tcPr>
          <w:p>
            <w:pPr>
              <w:ind w:left="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60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of U.S. dollars)</w:t>
            </w:r>
          </w:p>
        </w:tc>
        <w:tc>
          <w:tcPr>
            <w:tcW w:w="40" w:type="dxa"/>
            <w:vAlign w:val="bottom"/>
          </w:tcPr>
          <w:p>
            <w:pPr>
              <w:spacing w:after="0"/>
              <w:rPr>
                <w:sz w:val="12"/>
                <w:szCs w:val="12"/>
                <w:color w:val="auto"/>
              </w:rPr>
            </w:pPr>
          </w:p>
        </w:tc>
        <w:tc>
          <w:tcPr>
            <w:tcW w:w="13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2"/>
                <w:szCs w:val="12"/>
                <w:color w:val="auto"/>
              </w:rPr>
            </w:pPr>
          </w:p>
        </w:tc>
        <w:tc>
          <w:tcPr>
            <w:tcW w:w="8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6020" w:type="dxa"/>
            <w:vAlign w:val="bottom"/>
            <w:tcBorders>
              <w:bottom w:val="single" w:sz="8" w:color="CCEEFF"/>
            </w:tcBorders>
            <w:vMerge w:val="continue"/>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Dry bulk Vessel Operations</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18,801</w:t>
            </w: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11,576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20" w:type="dxa"/>
            <w:vAlign w:val="bottom"/>
          </w:tcPr>
          <w:p>
            <w:pPr>
              <w:spacing w:after="0"/>
              <w:rPr>
                <w:sz w:val="20"/>
                <w:szCs w:val="20"/>
                <w:color w:val="auto"/>
              </w:rPr>
            </w:pPr>
            <w:r>
              <w:rPr>
                <w:rFonts w:ascii="Arial" w:cs="Arial" w:eastAsia="Arial" w:hAnsi="Arial"/>
                <w:sz w:val="18"/>
                <w:szCs w:val="18"/>
                <w:color w:val="auto"/>
              </w:rPr>
              <w:t>Logistics Business</w:t>
            </w:r>
          </w:p>
        </w:tc>
        <w:tc>
          <w:tcPr>
            <w:tcW w:w="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17,393</w:t>
            </w: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15,064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General and administrative expenses</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36,194</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26,640</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As of August 30, 2019, following the Transaction, NSM provides administrative services to the Company reimbursed at allocable cost. For the period from August 30, 2019 to December 31, 2019, general and administrative expenses, under the Administrative Services Agreement, amounted to $3.0 million.</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General and administrative expenses increased by $9.6 million to $36.2 million for the year ended December 31, 2019, as compared to</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$26.6 million for the year ended December 31, 2018. The increase was mainly attributable to an increase in payroll and related costs, an increase in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professional fees and expenses and a $2.3 million increase in general and administrative expenses of Logistics Business.</w:t>
      </w:r>
    </w:p>
    <w:p>
      <w:pPr>
        <w:spacing w:after="0" w:line="211" w:lineRule="exact"/>
        <w:rPr>
          <w:sz w:val="20"/>
          <w:szCs w:val="20"/>
          <w:color w:val="auto"/>
        </w:rPr>
      </w:pPr>
    </w:p>
    <w:p>
      <w:pPr>
        <w:ind w:left="120" w:right="960" w:firstLine="440"/>
        <w:spacing w:after="0" w:line="277"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For the year ended December 31, 2019, depreciation and amortization decreased by $18.1 million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$81.7 million, as compared to $99.8 million for the year ended December 31, 2018.</w:t>
      </w:r>
    </w:p>
    <w:p>
      <w:pPr>
        <w:spacing w:after="0" w:line="170"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Depreciation expenses related to the Dry Bulk Vessel Operations decreased by $18.2 million, or 29.6%, to $49.5 million for the year ended December 31, 2019, as compared to $67.7 million for the year ended December 31, 2018. This decrease was primarily due to (i) the sale of six and five of the Company’s vessels in 2019 and 2018, respectively; and (ii) the impairment loss recognized in the fourth quarter of 2018 for four of the Company’s vessels; partially mitigated by the acquisition of one and two vessels in 2019 and 2018, respectively. Amortization expenses related to dry bulk operations remained stable at $2.8 million for each of the years ended December 31, 2019 and 2018.</w:t>
      </w:r>
    </w:p>
    <w:p>
      <w:pPr>
        <w:spacing w:after="0" w:line="176"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Of the total amount of depreciation and amortization for the year ended December 31, 2019 and 2018, $29.4 million and $29.3 million, respectively, related to Navios Logistics. The increase in depreciation and amortization of the Logistics Business was mainly due to (i) a $0.6 million increase in the depreciation of cabotage business mainly due to the delivery of the river and estuary tanker; and (ii) a $0.1 million increase in the amortization of intangibles assets in the barge business. This overall increase was partially mitigated by (i) a $0.1 million decrease in the depreciation of port terminal business; and (ii) a $0.4 million decrease in the depreciation of barge business.</w:t>
      </w:r>
    </w:p>
    <w:p>
      <w:pPr>
        <w:spacing w:after="0" w:line="188" w:lineRule="exact"/>
        <w:rPr>
          <w:sz w:val="20"/>
          <w:szCs w:val="20"/>
          <w:color w:val="auto"/>
        </w:rPr>
      </w:pPr>
    </w:p>
    <w:p>
      <w:pPr>
        <w:ind w:left="120" w:right="200" w:firstLine="440"/>
        <w:spacing w:after="0" w:line="311" w:lineRule="auto"/>
        <w:rPr>
          <w:sz w:val="20"/>
          <w:szCs w:val="20"/>
          <w:color w:val="auto"/>
        </w:rPr>
      </w:pPr>
      <w:r>
        <w:rPr>
          <w:rFonts w:ascii="Arial" w:cs="Arial" w:eastAsia="Arial" w:hAnsi="Arial"/>
          <w:sz w:val="16"/>
          <w:szCs w:val="16"/>
          <w:b w:val="1"/>
          <w:bCs w:val="1"/>
          <w:i w:val="1"/>
          <w:iCs w:val="1"/>
          <w:color w:val="auto"/>
        </w:rPr>
        <w:t xml:space="preserve">Allowance for Credit Losses: </w:t>
      </w:r>
      <w:r>
        <w:rPr>
          <w:rFonts w:ascii="Arial" w:cs="Arial" w:eastAsia="Arial" w:hAnsi="Arial"/>
          <w:sz w:val="16"/>
          <w:szCs w:val="16"/>
          <w:color w:val="auto"/>
        </w:rPr>
        <w:t>For the year ended December 31, 2019, allowance for credit losses increased by $0.4 million to $1.0 million,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$0.6 million for the year ended December 31, 2018. The increase was mainly attributable to (i) a $0.2 million increase in recovery of bad debt provisions in the Dry Bulk Vessel Operations; and (ii) a $0.2 million increase in the allowance for credit losses in the Logistics Business.</w:t>
      </w:r>
    </w:p>
    <w:p>
      <w:pPr>
        <w:spacing w:after="0" w:line="14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b w:val="1"/>
          <w:bCs w:val="1"/>
          <w:i w:val="1"/>
          <w:iCs w:val="1"/>
          <w:color w:val="auto"/>
        </w:rPr>
        <w:t xml:space="preserve">Interest Income: </w:t>
      </w:r>
      <w:r>
        <w:rPr>
          <w:rFonts w:ascii="Arial" w:cs="Arial" w:eastAsia="Arial" w:hAnsi="Arial"/>
          <w:sz w:val="18"/>
          <w:szCs w:val="18"/>
          <w:color w:val="auto"/>
        </w:rPr>
        <w:t>Interest income increased by $2.0 million to $10.7 million for the year ended December 31, 2019, as compared to $8.7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same period in 2018, mainly due to (i) a $1.4 million increase in interest income of the Dry Bulk Vessel Operations, mainly due to higher interest income from loans provided to Navios Europe I and Navios Europe II and the amortization of the premium from the transfer of Navios Holdings’ participation in the Navios Revolving Loans I (as defined herein) to Navios Partners in March 2017; and (ii) a $0.6 million increase in interest income of Logistics Business.</w:t>
      </w:r>
    </w:p>
    <w:p>
      <w:pPr>
        <w:spacing w:after="0" w:line="188"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b w:val="1"/>
          <w:bCs w:val="1"/>
          <w:i w:val="1"/>
          <w:iCs w:val="1"/>
          <w:color w:val="auto"/>
        </w:rPr>
        <w:t xml:space="preserve">Interest Expense and Finance Cost: </w:t>
      </w:r>
      <w:r>
        <w:rPr>
          <w:rFonts w:ascii="Arial" w:cs="Arial" w:eastAsia="Arial" w:hAnsi="Arial"/>
          <w:sz w:val="16"/>
          <w:szCs w:val="16"/>
          <w:color w:val="auto"/>
        </w:rPr>
        <w:t>Interest expense and finance cost for the year ended December 31, 2019 decreased by $4.4 million, or 3.2%,</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$133.5 million, as compared to $137.9 million in the same period of 2018. This decrease was due to a $5.2 million decrease in interest expense and finance cost of the Dry Bulk Vessel Operations, mainly attributable to the full repayment of one of the Company’s secured credit facilities and the repurchase of 2022 Notes (as defined herein); partially mitigated by a $0.8 million increase in interest expense and finance cost of the Logistics Business mainly attributable to the reduced amount of capitalized interest, following the delivery of the three new pushboats in the first quarter of 2018.</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20"/>
          </w:cols>
          <w:pgMar w:left="320" w:top="459" w:right="4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b w:val="1"/>
          <w:bCs w:val="1"/>
          <w:i w:val="1"/>
          <w:iCs w:val="1"/>
          <w:color w:val="auto"/>
        </w:rPr>
        <w:t xml:space="preserve">Impairment Loss/Loss on Sale of Vessels, Net: </w:t>
      </w:r>
      <w:r>
        <w:rPr>
          <w:rFonts w:ascii="Arial" w:cs="Arial" w:eastAsia="Arial" w:hAnsi="Arial"/>
          <w:sz w:val="16"/>
          <w:szCs w:val="16"/>
          <w:color w:val="auto"/>
        </w:rPr>
        <w:t>For the year ended December 31, 2019, impairment losses recognized decreased by $44.6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$156.1 million, as compared to $200.7 million for the year ended December 31, 2018. During the year ended December 31, 2019, the Company recognized (i) an impairment loss of $84.6 million for two of the Company’s vessels; (ii) an impairment loss of $38.6 for certain of the Company’s charter-in vessels; and (iii) an impairment loss/loss on sale of vessels of $34.7 million relating to the sale of Navios Vector, Navios Mercator, Navios Arc, Navios Meridian, Navios Primavera and Navios Hios; partially mitigated by a gain of $1.8 million relating to the sale of Navios Equator Prosper. During the year ended December 31, 2018, the Company recognized (i) impairment losses of $179.2 million for four of the Company’s vessels; and (ii) impairment losses of $21.5 million relating to the sale of Navios Magellan, Navios Mars, Navios Sphera, Navios Achilles and Navios Herakles.</w:t>
      </w:r>
    </w:p>
    <w:p>
      <w:pPr>
        <w:spacing w:after="0" w:line="166" w:lineRule="exact"/>
        <w:rPr>
          <w:sz w:val="20"/>
          <w:szCs w:val="20"/>
          <w:color w:val="auto"/>
        </w:rPr>
      </w:pPr>
    </w:p>
    <w:p>
      <w:pPr>
        <w:ind w:left="120" w:right="400" w:firstLine="440"/>
        <w:spacing w:after="0" w:line="291" w:lineRule="auto"/>
        <w:rPr>
          <w:sz w:val="20"/>
          <w:szCs w:val="20"/>
          <w:color w:val="auto"/>
        </w:rPr>
      </w:pPr>
      <w:r>
        <w:rPr>
          <w:rFonts w:ascii="Arial" w:cs="Arial" w:eastAsia="Arial" w:hAnsi="Arial"/>
          <w:sz w:val="16"/>
          <w:szCs w:val="16"/>
          <w:b w:val="1"/>
          <w:bCs w:val="1"/>
          <w:i w:val="1"/>
          <w:iCs w:val="1"/>
          <w:color w:val="auto"/>
        </w:rPr>
        <w:t xml:space="preserve">Gain on Bond and Debt Extinguishment, net: </w:t>
      </w:r>
      <w:r>
        <w:rPr>
          <w:rFonts w:ascii="Arial" w:cs="Arial" w:eastAsia="Arial" w:hAnsi="Arial"/>
          <w:sz w:val="16"/>
          <w:szCs w:val="16"/>
          <w:color w:val="auto"/>
        </w:rPr>
        <w:t>During the year ended December 31, 2019, Navios Logistics repurchased $35.5 million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Notes from unaffiliated third parties in open market transactions for a cash consideration of $17.6 million and the Company repurchased</w:t>
      </w:r>
    </w:p>
    <w:p>
      <w:pPr>
        <w:ind w:left="120" w:right="320"/>
        <w:spacing w:after="0" w:line="277" w:lineRule="auto"/>
        <w:rPr>
          <w:sz w:val="20"/>
          <w:szCs w:val="20"/>
          <w:color w:val="auto"/>
        </w:rPr>
      </w:pPr>
      <w:r>
        <w:rPr>
          <w:rFonts w:ascii="Arial" w:cs="Arial" w:eastAsia="Arial" w:hAnsi="Arial"/>
          <w:sz w:val="17"/>
          <w:szCs w:val="17"/>
          <w:color w:val="auto"/>
        </w:rPr>
        <w:t>$81.2 million of its 2022 Notes for a cash consideration of $50.7 million resulting in a total gain on bond extinguishment of $47.4 million, net of deferred financing costs written-off. During the year ended December 31, 2018, the Company repurchased $35.7 million of its 2022 Notes for a cash consideration of $28.8 million resulting in a gain on bond extinguishment of $6.5 million, net of deferred financing costs written-off.</w:t>
      </w:r>
    </w:p>
    <w:p>
      <w:pPr>
        <w:spacing w:after="0" w:line="173"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b w:val="1"/>
          <w:bCs w:val="1"/>
          <w:i w:val="1"/>
          <w:iCs w:val="1"/>
          <w:color w:val="auto"/>
        </w:rPr>
        <w:t xml:space="preserve">Gain on Sale of Business: </w:t>
      </w:r>
      <w:r>
        <w:rPr>
          <w:rFonts w:ascii="Arial" w:cs="Arial" w:eastAsia="Arial" w:hAnsi="Arial"/>
          <w:sz w:val="18"/>
          <w:szCs w:val="18"/>
          <w:color w:val="auto"/>
        </w:rPr>
        <w:t>During the year ended December 31, 2019, the Company recognized a $9.8 million gain on sale of business as a result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Transaction (see also Note 3 included elsewhere in this Annual Report).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 xml:space="preserve">(Loss on loss of control)/Bargain gain upon obtaining control: </w:t>
      </w:r>
      <w:r>
        <w:rPr>
          <w:rFonts w:ascii="Arial" w:cs="Arial" w:eastAsia="Arial" w:hAnsi="Arial"/>
          <w:sz w:val="17"/>
          <w:szCs w:val="17"/>
          <w:color w:val="auto"/>
        </w:rPr>
        <w:t>During the year ended December 31, 2019, the Company recognized a</w:t>
      </w:r>
    </w:p>
    <w:p>
      <w:pPr>
        <w:spacing w:after="0" w:line="35" w:lineRule="exact"/>
        <w:rPr>
          <w:sz w:val="20"/>
          <w:szCs w:val="20"/>
          <w:color w:val="auto"/>
        </w:rPr>
      </w:pPr>
    </w:p>
    <w:p>
      <w:pPr>
        <w:ind w:left="120" w:right="100"/>
        <w:spacing w:after="0" w:line="290" w:lineRule="auto"/>
        <w:rPr>
          <w:sz w:val="20"/>
          <w:szCs w:val="20"/>
          <w:color w:val="auto"/>
        </w:rPr>
      </w:pPr>
      <w:r>
        <w:rPr>
          <w:rFonts w:ascii="Arial" w:cs="Arial" w:eastAsia="Arial" w:hAnsi="Arial"/>
          <w:sz w:val="17"/>
          <w:szCs w:val="17"/>
          <w:color w:val="auto"/>
        </w:rPr>
        <w:t>$61.7 million loss on loss of control of Navios Containers. During the year ended December 31, 2018, the Company recognized a $58.3 million bargain gain upon obtaining control over Navios Containers Please refer to Note 3 to the Consolidated Financial Statements included herein.</w:t>
      </w:r>
    </w:p>
    <w:p>
      <w:pPr>
        <w:spacing w:after="0" w:line="16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b w:val="1"/>
          <w:bCs w:val="1"/>
          <w:i w:val="1"/>
          <w:iCs w:val="1"/>
          <w:color w:val="auto"/>
        </w:rPr>
        <w:t xml:space="preserve">Other Income: </w:t>
      </w:r>
      <w:r>
        <w:rPr>
          <w:rFonts w:ascii="Arial" w:cs="Arial" w:eastAsia="Arial" w:hAnsi="Arial"/>
          <w:sz w:val="18"/>
          <w:szCs w:val="18"/>
          <w:color w:val="auto"/>
        </w:rPr>
        <w:t>Other income increased by $30.3 million to $44.8 million for the year ended December 31, 2019, as compared to $14.5 million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year ended December 31, 2018. The increase was due to a $37.8 million increase in other income of Dry Bulk Vessels Operations; partially mitigated by a $7.5 million decrease in other income of the Logistics Business.</w:t>
      </w:r>
    </w:p>
    <w:p>
      <w:pPr>
        <w:spacing w:after="0" w:line="184"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7"/>
          <w:szCs w:val="17"/>
          <w:color w:val="auto"/>
        </w:rPr>
        <w:t>The increase in other income of the Dry Bulk Vessels Operations is due to (i) a $32.2 million increase in miscellaneous other income mainly related to extraordinary fees and costs related to regulatory requirements under management agreements; and (ii) a $6.5 million non-cash compensation income; partially mitigated by a $0.9 million gain from sale of our investment in Acropolis on December 6, 2018.</w:t>
      </w:r>
    </w:p>
    <w:p>
      <w:pPr>
        <w:spacing w:after="0" w:line="165"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The decrease in other income of the Logistics Business is mainly due to (i) a $9.2 million decrease in other income mainly due to an insurance claim related to the fire incident at the iron ore port terminal recorded during the year ended December 31, 2018; and (ii) a $0.6 million increase in taxes other than income taxes; partially mitigated by a $2.3 million increase mainly due to income recorded from insurance claims.</w:t>
      </w:r>
    </w:p>
    <w:p>
      <w:pPr>
        <w:spacing w:after="0" w:line="165"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b w:val="1"/>
          <w:bCs w:val="1"/>
          <w:i w:val="1"/>
          <w:iCs w:val="1"/>
          <w:color w:val="auto"/>
        </w:rPr>
        <w:t xml:space="preserve">Other Expense: </w:t>
      </w:r>
      <w:r>
        <w:rPr>
          <w:rFonts w:ascii="Arial" w:cs="Arial" w:eastAsia="Arial" w:hAnsi="Arial"/>
          <w:sz w:val="18"/>
          <w:szCs w:val="18"/>
          <w:color w:val="auto"/>
        </w:rPr>
        <w:t>Other expense increased by $2.5 million to $15.8 million for the year ended December 31, 2019, as compared to $13.3 million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year ended December 31, 2018. This increase was due to (i) a $2.4 million increase in other expense of Dry Bulk Vessels Operations; and (ii) a $0.1 million increase in other expense of the Logistics Business.</w:t>
      </w:r>
    </w:p>
    <w:p>
      <w:pPr>
        <w:spacing w:after="0" w:line="184"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The increase in other expense of Dry Bulk Vessels Operations is mainly due to (i) a $2.4 million increase in other miscellaneous expenses; (ii) a $0.1 million increase in taxes other than income tax; and (iii) a $0.1 million increase in miscellaneous voyage expenses. This increase was partially mitigated by a $0.2 million decrease in loss from foreign exchange differences.</w:t>
      </w:r>
    </w:p>
    <w:p>
      <w:pPr>
        <w:spacing w:after="0" w:line="184" w:lineRule="exact"/>
        <w:rPr>
          <w:sz w:val="20"/>
          <w:szCs w:val="20"/>
          <w:color w:val="auto"/>
        </w:rPr>
      </w:pPr>
    </w:p>
    <w:p>
      <w:pPr>
        <w:jc w:val="both"/>
        <w:ind w:left="120" w:right="520" w:firstLine="440"/>
        <w:spacing w:after="0" w:line="263" w:lineRule="auto"/>
        <w:rPr>
          <w:sz w:val="20"/>
          <w:szCs w:val="20"/>
          <w:color w:val="auto"/>
        </w:rPr>
      </w:pPr>
      <w:r>
        <w:rPr>
          <w:rFonts w:ascii="Arial" w:cs="Arial" w:eastAsia="Arial" w:hAnsi="Arial"/>
          <w:sz w:val="18"/>
          <w:szCs w:val="18"/>
          <w:color w:val="auto"/>
        </w:rPr>
        <w:t>The increase in other expense of the Logistics Business is mainly due to (i) a $0.5 million increase in other expense; and (ii) a $0.2 million increase in loss from foreign exchange differences, partially mitigated by a $0.6 million decrease mainly due to compensation by shipyard for late delivery of a newbuilding vessel recorded during the year ended December 31, 2018.</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40"/>
          </w:cols>
          <w:pgMar w:left="320" w:top="459" w:right="4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b w:val="1"/>
          <w:bCs w:val="1"/>
          <w:i w:val="1"/>
          <w:iCs w:val="1"/>
          <w:color w:val="auto"/>
        </w:rPr>
        <w:t xml:space="preserve">Equity in Net Losses of Affiliate Companies: </w:t>
      </w:r>
      <w:r>
        <w:rPr>
          <w:rFonts w:ascii="Arial" w:cs="Arial" w:eastAsia="Arial" w:hAnsi="Arial"/>
          <w:sz w:val="17"/>
          <w:szCs w:val="17"/>
          <w:color w:val="auto"/>
        </w:rPr>
        <w:t>Equity in net losses of affiliate companies decreased by $71.0 million to $9.2 million loss for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year ended December 31, 2019, as compared to $80.2 million loss for the same period in 2018. This decrease was mainly due to (i) a $42.0 million decrease in OTTI loss recognized in the year ended December 31, 2019 as compared to the same period during 2018; and (ii) a $29.0 million increase in equity method income. The $29.0 million increase in equity method income was mainly due to a $32.3 million increase in equity method income from Navios Acquisition; partially mitigated by (i) a $2.6 million decrease in equity method income from Navios Partners; (ii) a $0.1 million decrease in equity method income from Acropolis; (iii) a $0.3 million decrease in equity method income from Navios Europe II; and (iv) a $0.3 million decrease in equity method income from Navios Containers from August 30, 2019 (date of losing control) to December 31, 2019.</w:t>
      </w:r>
    </w:p>
    <w:p>
      <w:pPr>
        <w:spacing w:after="0" w:line="177"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b w:val="1"/>
          <w:bCs w:val="1"/>
          <w:i w:val="1"/>
          <w:iCs w:val="1"/>
          <w:color w:val="auto"/>
        </w:rPr>
        <w:t xml:space="preserve">Income Tax (Expense)/Benefit: </w:t>
      </w:r>
      <w:r>
        <w:rPr>
          <w:rFonts w:ascii="Arial" w:cs="Arial" w:eastAsia="Arial" w:hAnsi="Arial"/>
          <w:sz w:val="16"/>
          <w:szCs w:val="16"/>
          <w:color w:val="auto"/>
        </w:rPr>
        <w:t>Income tax expense increased by $2.6 million to a $1.5 million for the year ended December 31, 2019,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a $1.1 million benefit for the year ended December 31, 2018. The change in income tax was mainly attributable to Navios Logistics due to (i) a $1.6 million decrease in tax benefit from the barge business; and (ii) a $1.0 million increase in income tax expense in cabotage business.</w:t>
      </w:r>
    </w:p>
    <w:p>
      <w:pPr>
        <w:spacing w:after="0" w:line="149"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b w:val="1"/>
          <w:bCs w:val="1"/>
          <w:i w:val="1"/>
          <w:iCs w:val="1"/>
          <w:color w:val="auto"/>
        </w:rPr>
        <w:t>Net (Loss)/Income from Discontinued Operations</w:t>
      </w:r>
      <w:r>
        <w:rPr>
          <w:rFonts w:ascii="Arial" w:cs="Arial" w:eastAsia="Arial" w:hAnsi="Arial"/>
          <w:sz w:val="18"/>
          <w:szCs w:val="18"/>
          <w:color w:val="auto"/>
        </w:rPr>
        <w:t>: Net loss from discontinued operations was $4.1 million attributable to the net loss of Navios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Containers, for the period from January 1, 2019 to August 30, 2019. Net income from discontinued operations was $0.8 million attributable to the net income of Navios Containers, for the period from November 30, 2018 to December 31, 2018.</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 xml:space="preserve">Net Income Attributable to the Noncontrolling Interest: </w:t>
      </w:r>
      <w:r>
        <w:rPr>
          <w:rFonts w:ascii="Arial" w:cs="Arial" w:eastAsia="Arial" w:hAnsi="Arial"/>
          <w:sz w:val="17"/>
          <w:szCs w:val="17"/>
          <w:color w:val="auto"/>
        </w:rPr>
        <w:t>Net income attributable to the noncontrolling interest increased by $4.5 million to</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$7.7 million for the year ended December 31, 2019, as compared to $3.2 million for the same period in 2018. This increase was mainly attributable to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Logistics Business net income for the year ended December 31, 2019 compared to the same period in 2018, partially mitigated by Containers Business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net loss for the period ended August 30, 2019 (date of losing control), as compared to net income for the period from November 30, 2018 (date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obtaining control) to December 31, 2018.</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Non-Guarantor Subsidiaries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Our non-guarantor subsidiaries accounted for $215.9 million, or 51.8%, of our revenue, $0.8 million net loss, of our $193.0 million net loss,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$82.1 million of our Adjusted EBITDA, $999.8 million, or 50.7%, of our total assets and $618.8 million, or 30.9%, of our total liabilities, in each case,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for the year ended and as of December 31, 2020. Our non-guarantor subsidiaries accounted for $318.2 million, or 55.6%, of our revenue (including</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$89.9 million revenue from discontinued operations), $37.7 million net loss, of our $192.1 million net loss, $68.1 million of our Adjusted EBITDA,</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$973.9 million, or 45.4%, of our total assets and $571.2 million, or 28.8%, of our total liabilities, in each case, for the year ended and as of</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December 31, 2019. Our non-guarantor subsidiaries accounted for $219.7 million, or 42.4%, of our revenue (including $12.1 million revenue from</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discontinued operations), $62.3 million net income of our total net loss, $140.8 million of our Adjusted EBITDA, $1,394.5 million, or 52.0%, of our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total assets and $799.4 million, or 37.0%, of our total liabilities, in each case, for the year ended and as of December 31, 2018.</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 Liquidity and Capital Resources</w:t>
      </w:r>
    </w:p>
    <w:p>
      <w:pPr>
        <w:spacing w:after="0" w:line="117"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Navios Holdings has historically financed its capital requirements with cash flows from operations, issuances of debt securities and borrowings under bank credit facilities. Main uses of funds have been refinancings of outstanding debt, capital expenditures for the acquisition of new vessels, new construction and upgrades at the port terminals and expenditures incurred in connection with ensuring that the owned vessels comply with international and regulatory standards. Navios Holdings may from time to time, subject to restrictions under its debt and equity instruments, including limitations on dividends and repurchases under its preferred stock, depending upon market conditions and financing needs, use available funds to refinance or repurchase its debt in privately negotiated or open market transactions, by tender offer or otherwise, in compliance with applicable laws, rules and regulations, at prices and on terms Navios Holdings deems appropriate (which may be below par) and subject to Navios Holdings cash requirements for other purposes, compliance with the covenants under Navios Holdings’ debt agreements, and other factors management deems relevant. In addition, we regularly review options for refinancing our outstanding indebtedness and opportunities for acquisition of businesses and additional vessels, development of new facilities and infrastructure, joint ventures and other corporate transactions that may be material to us. Generally, our sources of funds may be from cash flows from operations, long-term borrowings and other debt or equity financings, proceeds from asset sales and proceeds from sale of our stake in our investments. We cannot assure you that we will be able to secure adequate financing or obtain additional funds on favorable terms, to meet our liquidity needs.</w:t>
      </w:r>
    </w:p>
    <w:p>
      <w:pPr>
        <w:spacing w:after="0" w:line="186"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See “Item 4.B Business Overview — Exercise of Vessel Purchase Options”, “Working Capital Position” and “Long-Term Debt Obligations and Credit Arrangements” for further discussion of Navios Holdings’ working capital position.</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080"/>
          </w:cols>
          <w:pgMar w:left="320" w:top="459" w:right="49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flows for the year ended December 31, 2020 compared to the year ended December 31, 2019:</w:t>
      </w:r>
    </w:p>
    <w:p>
      <w:pPr>
        <w:spacing w:after="0" w:line="121"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The following table presents cash flow information for the years ended December 31, 2020 and 2019. This information was derived from the audited Consolidated Statements of Cash Flows of Navios Holdings for the respective periods.</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Year Ended</w:t>
            </w:r>
          </w:p>
        </w:tc>
        <w:tc>
          <w:tcPr>
            <w:tcW w:w="540" w:type="dxa"/>
            <w:vAlign w:val="bottom"/>
          </w:tcPr>
          <w:p>
            <w:pPr>
              <w:spacing w:after="0"/>
              <w:rPr>
                <w:sz w:val="14"/>
                <w:szCs w:val="14"/>
                <w:color w:val="auto"/>
              </w:rPr>
            </w:pPr>
          </w:p>
        </w:tc>
        <w:tc>
          <w:tcPr>
            <w:tcW w:w="11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8"/>
              </w:rPr>
              <w:t>Year Ended</w:t>
            </w:r>
          </w:p>
        </w:tc>
        <w:tc>
          <w:tcPr>
            <w:tcW w:w="220" w:type="dxa"/>
            <w:vAlign w:val="bottom"/>
          </w:tcPr>
          <w:p>
            <w:pPr>
              <w:spacing w:after="0"/>
              <w:rPr>
                <w:sz w:val="14"/>
                <w:szCs w:val="14"/>
                <w:color w:val="auto"/>
              </w:rPr>
            </w:pPr>
          </w:p>
        </w:tc>
        <w:tc>
          <w:tcPr>
            <w:tcW w:w="96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55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of U.S. dollars)</w:t>
            </w: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0"/>
              </w:rPr>
              <w:t>December 31,</w:t>
            </w:r>
          </w:p>
        </w:tc>
        <w:tc>
          <w:tcPr>
            <w:tcW w:w="1660" w:type="dxa"/>
            <w:vAlign w:val="bottom"/>
            <w:gridSpan w:val="4"/>
          </w:tcPr>
          <w:p>
            <w:pPr>
              <w:ind w:left="540"/>
              <w:spacing w:after="0" w:line="149" w:lineRule="exact"/>
              <w:rPr>
                <w:sz w:val="20"/>
                <w:szCs w:val="20"/>
                <w:color w:val="auto"/>
              </w:rPr>
            </w:pPr>
            <w:r>
              <w:rPr>
                <w:rFonts w:ascii="Arial" w:cs="Arial" w:eastAsia="Arial" w:hAnsi="Arial"/>
                <w:sz w:val="14"/>
                <w:szCs w:val="14"/>
                <w:b w:val="1"/>
                <w:bCs w:val="1"/>
                <w:color w:val="auto"/>
              </w:rPr>
              <w:t>December 31,</w:t>
            </w:r>
          </w:p>
        </w:tc>
        <w:tc>
          <w:tcPr>
            <w:tcW w:w="1180" w:type="dxa"/>
            <w:vAlign w:val="bottom"/>
            <w:gridSpan w:val="4"/>
          </w:tcPr>
          <w:p>
            <w:pPr>
              <w:ind w:left="220"/>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5580" w:type="dxa"/>
            <w:vAlign w:val="bottom"/>
            <w:tcBorders>
              <w:bottom w:val="single" w:sz="8" w:color="CCEEFF"/>
            </w:tcBorders>
            <w:vMerge w:val="continue"/>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25,211</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96,112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592</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(56,467)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27,863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6,654</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(111,692)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(66,916)</w:t>
            </w:r>
          </w:p>
        </w:tc>
        <w:tc>
          <w:tcPr>
            <w:tcW w:w="0" w:type="dxa"/>
            <w:vAlign w:val="bottom"/>
          </w:tcPr>
          <w:p>
            <w:pPr>
              <w:spacing w:after="0"/>
              <w:rPr>
                <w:sz w:val="1"/>
                <w:szCs w:val="1"/>
                <w:color w:val="auto"/>
              </w:rPr>
            </w:pPr>
          </w:p>
        </w:tc>
      </w:tr>
      <w:tr>
        <w:trPr>
          <w:trHeight w:val="205"/>
        </w:trPr>
        <w:tc>
          <w:tcPr>
            <w:tcW w:w="5580" w:type="dxa"/>
            <w:vAlign w:val="bottom"/>
          </w:tcPr>
          <w:p>
            <w:pPr>
              <w:spacing w:after="0" w:line="205" w:lineRule="exact"/>
              <w:rPr>
                <w:sz w:val="20"/>
                <w:szCs w:val="20"/>
                <w:color w:val="auto"/>
              </w:rPr>
            </w:pPr>
            <w:r>
              <w:rPr>
                <w:rFonts w:ascii="Arial" w:cs="Arial" w:eastAsia="Arial" w:hAnsi="Arial"/>
                <w:sz w:val="18"/>
                <w:szCs w:val="18"/>
                <w:b w:val="1"/>
                <w:bCs w:val="1"/>
                <w:color w:val="auto"/>
              </w:rPr>
              <w:t>Increase/ (Decrease) in cash and cash equivalents and restricted</w:t>
            </w:r>
          </w:p>
        </w:tc>
        <w:tc>
          <w:tcPr>
            <w:tcW w:w="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80" w:type="dxa"/>
            <w:vAlign w:val="bottom"/>
          </w:tcPr>
          <w:p>
            <w:pPr>
              <w:ind w:left="180"/>
              <w:spacing w:after="0"/>
              <w:rPr>
                <w:sz w:val="20"/>
                <w:szCs w:val="20"/>
                <w:color w:val="auto"/>
              </w:rPr>
            </w:pPr>
            <w:r>
              <w:rPr>
                <w:rFonts w:ascii="Arial" w:cs="Arial" w:eastAsia="Arial" w:hAnsi="Arial"/>
                <w:sz w:val="18"/>
                <w:szCs w:val="18"/>
                <w:b w:val="1"/>
                <w:bCs w:val="1"/>
                <w:color w:val="auto"/>
              </w:rPr>
              <w:t>cash</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32,457</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(72,047)</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16,584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and restricted cash, beginning of year</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78,727</w:t>
            </w:r>
          </w:p>
        </w:tc>
        <w:tc>
          <w:tcPr>
            <w:tcW w:w="5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150,774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134,190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b w:val="1"/>
                <w:bCs w:val="1"/>
                <w:color w:val="auto"/>
              </w:rPr>
              <w:t>Cash and cash equivalents and restricted cash, end of year</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111,184</w:t>
            </w:r>
          </w:p>
        </w:tc>
        <w:tc>
          <w:tcPr>
            <w:tcW w:w="54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78,727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150,774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provided by operating activities for the year ended December 31, 2020 as compared to the year ended December 31, 2019:</w:t>
      </w:r>
    </w:p>
    <w:p>
      <w:pPr>
        <w:spacing w:after="0" w:line="121"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Net cash provided by operating activities decreased by $70.9 million to $25.2 million for the year ended December 31, 2020, as compared to $96.1 million for the year ended December 31, 2019.</w:t>
      </w:r>
    </w:p>
    <w:p>
      <w:pPr>
        <w:spacing w:after="0" w:line="170"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Accounts receivable, net, increased by $2.4 million from $51.9 million at December 31, 2019 to $54.3 million at December 31, 2020. The movement of the year was primarily due to a $4.7 million increase in accounts receivable of Navios Logistics, mainly attributable to an increase in receivable days as of December 31, 2020, compared to December 31, 2019; which was mitigated by (i) a $2.2 million decrease in accounts receivable from charterers and other receivables in the Dry Bulk Vessel Operations; and (ii) a $0.1 million decrease in accrued voyage income in the Dry Bulk Vessel Operations.</w:t>
      </w:r>
    </w:p>
    <w:p>
      <w:pPr>
        <w:spacing w:after="0" w:line="188"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Amounts due from/(to) affiliate companies, including current and non-current portion, decreased by $43.0 million from $16.1 million receivable for the year ended December 31, 2019 to $26.9 million payable for the year ended December 31, 2020. This decrease was due to (i) a $26.1 million net increase in payable of management and administrative fees, drydocking and other expenses according to our management agreement with NSM; (ii) a $20.7 million decrease in receivable balances following Navios Europe II liquidation; (iii) a $1.2 million decrease in receivable balances from Navios Acquisition in connection to dividend declared; partially mitigated by a $5.0 million decrease in payable balances in connection to the Navios Partners Guarantee.</w:t>
      </w:r>
    </w:p>
    <w:p>
      <w:pPr>
        <w:spacing w:after="0" w:line="192"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Inventories increased by $3.6 million, from $10.5 million at December 31, 2019 to $14.1 million at December 31, 2020. The increase was primarily due to (i) a $3.1 million increase in inventories of Navios Logistics mainly attributable to the increase in inventory in the Liquid Port Terminal due to higher sales demand; and (ii) a $0.6 million increase in inventories on board of our dry bulk vessels.</w:t>
      </w:r>
    </w:p>
    <w:p>
      <w:pPr>
        <w:spacing w:after="0" w:line="184"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Prepaid expenses and other current assets increased by $2.7 million, from $12.1 million at December 31, 2019 to $15.0 million at December 31, 2020. The increase was primarily due to (i) a $1.4 million increase in accrued income; (ii) a $1.2 million increase in prepaid expenses and other current assets of Navios Logistics; (iii) a $0.5 million increase in prepaid voyage and operating costs; (iv) a $0.1 million increase in claims receivables; and (v) a $0.1 million increase in advances to agents and prepaid taxes; partially mitigated by a $0.5 million decrease in other assets.</w:t>
      </w:r>
    </w:p>
    <w:p>
      <w:pPr>
        <w:spacing w:after="0" w:line="15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Other long-term assets increased by $12.8 million, from $49.1 million at December 31, 2019 to $61.9 million at December 31, 2020. The increase was primarily due to (i) a $3.2 million increase in other long-term assets of Navios Logistics, mainly attributable to a settlement regarding a storage and transshipment contract in the grain terminal; (ii) a $7.7 million increase in deposits for vessels, port terminals and other fixed assets of Navios Logistics, mainly attributable to the construction of six liquid barges; and (iii) a $1.9 million increase in long-term assets from dry bulk operations mainly due to deposits for options to acquire vessels under bareboat contracts.</w:t>
      </w:r>
    </w:p>
    <w:p>
      <w:pPr>
        <w:spacing w:after="0" w:line="188"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Accounts payable increased by $7.5 million, from $21.7 million at December 31, 2019 to $29.2 million at December 31, 2020. The increase was primarily due to (i) a $4.1 million increase in accounts payable relating to brokers and other accounts payable; (ii) a $3.6 million increase in accounts payable of Navios Logistics; and (iii) a $0.8 million increase in accounts payable to headowners. The overall increase was partially mitigated by (i) a $0.5 million decrease in accounts payable relating to utilities and other service providers, legal and audit services; (ii) a $0.4 million decrease in accounts payable to bunkers, lubricants and other suppliers; and (iii) a $0.1 million decrease in port agents payable.</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080"/>
          </w:cols>
          <w:pgMar w:left="320" w:top="459" w:right="49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firstLine="440"/>
        <w:spacing w:after="0" w:line="301" w:lineRule="auto"/>
        <w:rPr>
          <w:sz w:val="20"/>
          <w:szCs w:val="20"/>
          <w:color w:val="auto"/>
        </w:rPr>
      </w:pPr>
      <w:r>
        <w:rPr>
          <w:rFonts w:ascii="Arial" w:cs="Arial" w:eastAsia="Arial" w:hAnsi="Arial"/>
          <w:sz w:val="16"/>
          <w:szCs w:val="16"/>
          <w:color w:val="auto"/>
        </w:rPr>
        <w:t>Accrued expenses and other liabilities increased by $21.4 million from $51.2 million at December 31, 2019 to $72.5 million at December 31, 2020. The increase was primarily due to (i) a $19.3 million increase in accrued expenses of Navios Logistics, mainly attributable to an increase in the accrued interest from the 2025 Logistics Senior Notes; (ii) a $1.5 million increase in accrued voyage expenses; (iii) a $1.4 million increase in other accrued expenses and other liabilities. The overall increase was partially mitigated by a $0.9 million decrease in accrued interest.</w:t>
      </w:r>
    </w:p>
    <w:p>
      <w:pPr>
        <w:spacing w:after="0" w:line="157"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Deferred income and cash received in advance decreased by $0.5 million from $8.9 million at December 31, 2019 to $8.3 million at December 31, 2020. Deferred income primarily reflects freight and charter-out amounts collected on voyages that have not been completed and the current portion of the deferred gain from the sale of various vessels to Navios Partners to be amortized over the next year. The decrease was primarily due to (i)</w:t>
      </w:r>
    </w:p>
    <w:p>
      <w:pPr>
        <w:spacing w:after="0" w:line="2" w:lineRule="exact"/>
        <w:rPr>
          <w:sz w:val="20"/>
          <w:szCs w:val="20"/>
          <w:color w:val="auto"/>
        </w:rPr>
      </w:pPr>
    </w:p>
    <w:p>
      <w:pPr>
        <w:ind w:left="120" w:right="520"/>
        <w:spacing w:after="0" w:line="290" w:lineRule="auto"/>
        <w:rPr>
          <w:sz w:val="20"/>
          <w:szCs w:val="20"/>
          <w:color w:val="auto"/>
        </w:rPr>
      </w:pPr>
      <w:r>
        <w:rPr>
          <w:rFonts w:ascii="Arial" w:cs="Arial" w:eastAsia="Arial" w:hAnsi="Arial"/>
          <w:sz w:val="17"/>
          <w:szCs w:val="17"/>
          <w:color w:val="auto"/>
        </w:rPr>
        <w:t>$1.2 million decrease in the current portion of deferred gain from the sale of assets to Navios Partners; and (ii) a $1.1 million decrease in deferred income of Navios Logistics. The overall decrease was partially mitigated by a $1.7 million decrease in deferred freight.</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Other long-term liabilities and deferred income decreased by $5.3 million from $6.0 million at December 31, 2019 to $0.7 million at</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December 31, 2020. The decrease was primarily due to (i) a $5.1 million decrease in the non-current portion of deferred gain from the sale of vessels to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Navios Partners; and (ii) a $0.2 million decrease in other long-term liabilities of Navios Logistics.</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Cash provided by investing activities for the year ended December 31, 2020 as compared to cash used in investing activities for the year ended</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December 31, 2019:</w:t>
      </w:r>
    </w:p>
    <w:p>
      <w:pPr>
        <w:spacing w:after="0" w:line="103"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Cash provided by investing activities was $0.6 million for the year ended December 31, 2020, as compared to $56.5 million cash used in for the same period of 2019.</w:t>
      </w:r>
    </w:p>
    <w:p>
      <w:pPr>
        <w:spacing w:after="0" w:line="170"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Cash provided by investing activities for the year ended December 31, 2020 was the result of: (i) $83.4 million proceeds from sale of Navios Hios, Navios Kypros, Navios Star, Navios Amitie, Navios Northern Star, Navios Gem and Navios Victory; (ii) $18.6 million settlement of receivables in connection with Navios Europe II liquidation; (iii) $5.8 million dividends received from Navios Acquisition; (iv) $0.2 million in collections of Navios Logistics’ Note receivable; (v) $97.0 million in payments made by the Company for the acquisition of Navios Canary, Navios Corali, Jupiter N and Rainbow N and for additions to vessels; (vi) $5.2 million in payments for the acquisition of three Navios Logistics’ pushboats and 18 liquid barges, for the construction of Navios Logistics’ six new liquid barges, two new tanks in Navios Logistics’ Liquid Port Terminal and a crane; (vii) $3.3 million in payments for the purchase of Navios Logistics’ other fixed assets; (viii) $2.1 million in payments as deposits for options to acquire vessels under bareboat contracts.</w:t>
      </w:r>
    </w:p>
    <w:p>
      <w:pPr>
        <w:spacing w:after="0" w:line="192" w:lineRule="exact"/>
        <w:rPr>
          <w:sz w:val="20"/>
          <w:szCs w:val="20"/>
          <w:color w:val="auto"/>
        </w:rPr>
      </w:pPr>
    </w:p>
    <w:p>
      <w:pPr>
        <w:ind w:left="120" w:right="80" w:firstLine="440"/>
        <w:spacing w:after="0" w:line="284" w:lineRule="auto"/>
        <w:rPr>
          <w:sz w:val="20"/>
          <w:szCs w:val="20"/>
          <w:color w:val="auto"/>
        </w:rPr>
      </w:pPr>
      <w:r>
        <w:rPr>
          <w:rFonts w:ascii="Arial" w:cs="Arial" w:eastAsia="Arial" w:hAnsi="Arial"/>
          <w:sz w:val="16"/>
          <w:szCs w:val="16"/>
          <w:color w:val="auto"/>
        </w:rPr>
        <w:t>Cash used in investing activities for the year ended December 31, 2019 was the result of: (i) $54.8 million in payments made from Navios Containers for the period from January 1, 2019 to August 30, 2019 (date of losing control) for the purchase of Navios Constellation and for additions to vessels; (ii) $19.5 million in payments made by the Company for the purchase of Navios Victory and for additions to vessels; (iii) $21.4 million impact to cash from deconsolidation/sale of business; (iv) $15.5 million in payments as deposits for options to acquire vessels under bareboat contracts; (v) $4.0 million in payments for the construction of Navios Logistics’ six new liquid barges; (vi) $4.0 million in payments for the purchase of Navios Logistics’ other fixed assets; (vii) $1.7 million in payments made by the Company for the purchase of other fixed assets; (viii) $48.8 million proceeds from sale of Navios Meridian, Navios Vector, Navios Equator Prosper, Navios Mercator, Navios Arc and Navios Primavera; (ix) a $8.0 million loan from affiliate company; (x) $4.4 million dividends received from Navios Acquisition; (xi) $3.0 million proceeds from sale of business; and (xii)</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$0.2 million in collections of Navios Logistics’ Note receivable.</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Cash provided by financing activities for the year ended December 31, 2020 as compared to cash used in financing activities for the year ended</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December 31, 2019:</w:t>
      </w:r>
    </w:p>
    <w:p>
      <w:pPr>
        <w:spacing w:after="0" w:line="103"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Cash provided by financing activities was $6.7 million for the year ended December 31, 2020, as compared to $111.7 million cash used in financing activities for the year ended December 31, 2019.</w:t>
      </w:r>
    </w:p>
    <w:p>
      <w:pPr>
        <w:spacing w:after="0" w:line="170"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Cash provided by financing activities for the year ended December 31, 2020 was the result of (i) $487.5 million net proceeds from the 2025 Logistics Senior Notes (net of deferred financing costs of $12.5 million); (ii) $66.9 million proceeds from the Sale and Leaseback Agreements (net of deferred financing costs of $1.1 million), (iii) $50.0 million proceeds from loan payable to affiliate companies; (iv) $13.6 million proceeds from Navios Logistics’ long term debt; (v) $375.0 million payments for the redemption of the 2022 Logistics Senior Notes (as defined below); (vi) $97.5 million prepayments of the Navios Logistics’ Term Loan B Facility; (vii) $50.0 million prepayments of loan payable to affiliate companies; (viii) $38.6 million prepayments of Navios Holdings’ indebtedness; (ix) $28.6 million scheduled repayments; (x) $12.3 million dividend paid to common shareholders; and (xi) $9.4 million payments for the repurchase of the 2022 Notes.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20"/>
          </w:cols>
          <w:pgMar w:left="320" w:top="459" w:right="4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Cash used in financing activities for the year ended December 31, 2019 was the result of (i) $123.2 million proceeds from Navios Containers’ long term debt (net of deferred financing costs of $1.9 million); (ii) $68.3 million of payments for the repurchase of the 2022 Notes; (iii) $59.2 million related to scheduled repayment installments; (iv) $53.1 million related to prepayment and refinance of indebtedness of Navios Containers for the period from January 1, 2019 to August 30, 2019 (date of losing control); (v) $31.2 million related to prepayment of indebtedness of Navios Holdings; (vi) $13.4 million related to repayment of loan payable to affiliate companies; (vii) $10.2 million payments relating to the redemption of preferred stock; (viii) $4.0 million proceeds from Navios Holdings’ long term debt; and (ix) $3.4 million related to prepayment of indebtedness of Navios Logistics.</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provided by operating activities for the year ended December 31, 2019 as compared to the year ended December 31, 2018:</w:t>
      </w:r>
    </w:p>
    <w:p>
      <w:pPr>
        <w:spacing w:after="0" w:line="121"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Net cash provided by operating activities increased by $40.5 million to $96.1 million for the year ended December 31, 2019, as compared to $55.6 million for the year ended December 31, 2018.</w:t>
      </w:r>
    </w:p>
    <w:p>
      <w:pPr>
        <w:spacing w:after="0" w:line="170"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Accounts receivable, net, decreased by $8.4 million from $60.3 million at December 31, 2018 to $51.9 million at December 31, 2019. The movement of the year was primarily due to (i) a $6.7 million decrease in accounts receivable from charterers and other receivables in the Dry Bulk Vessel Operations; (ii) a $1.0 million decrease in accrued voyage income in the Dry Bulk Vessel Operations; and (iii) a $2.6 million decrease in accounts receivable, net of Navios Containers. The overall decrease was mitigated by a $1.9 million increase in accounts receivable of Navios Logistics.</w:t>
      </w:r>
    </w:p>
    <w:p>
      <w:pPr>
        <w:spacing w:after="0" w:line="157"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Amounts due from/(to) affiliate companies, including current and non-current portion, decreased by $90.6 million from $74.5 million payable for the year ended December 31, 2018 to $16.1 million receivable for the year ended December 31, 2019. This decrease was due to (i) a $55.2 million net decrease in payable of management and administrative fees, drydocking and other expenses prepaid by the affiliates according to management agreements and our management agreement with NSM; and (ii) a $35.4 million decrease in balances following the transfer to Navios Partners, the Company’s rights to the Navios Revolving Loans I and Navios Term Loans I (as defined herein).</w:t>
      </w:r>
    </w:p>
    <w:p>
      <w:pPr>
        <w:spacing w:after="0" w:line="176" w:lineRule="exact"/>
        <w:rPr>
          <w:sz w:val="20"/>
          <w:szCs w:val="20"/>
          <w:color w:val="auto"/>
        </w:rPr>
      </w:pPr>
    </w:p>
    <w:p>
      <w:pPr>
        <w:ind w:left="120" w:right="320" w:firstLine="440"/>
        <w:spacing w:after="0" w:line="259" w:lineRule="auto"/>
        <w:rPr>
          <w:sz w:val="20"/>
          <w:szCs w:val="20"/>
          <w:color w:val="auto"/>
        </w:rPr>
      </w:pPr>
      <w:r>
        <w:rPr>
          <w:rFonts w:ascii="Arial" w:cs="Arial" w:eastAsia="Arial" w:hAnsi="Arial"/>
          <w:sz w:val="18"/>
          <w:szCs w:val="18"/>
          <w:color w:val="auto"/>
        </w:rPr>
        <w:t>Inventories decreased by $17.2 million, from $27.7 million at December 31, 2018 to $10.5 million at December 31, 2019. The decrease was primarily due to (i) a $18.8 million decrease in inventories on board of our dry bulk vessels; and (ii) a $0.6 million decrease in inventories of Navios Containers. This decrease was partially mitigated by a $2.2 million increase in inventories of Navios Logistics mainly attributable to an increase in inventories in the liquid port in Paraguay.</w:t>
      </w:r>
    </w:p>
    <w:p>
      <w:pPr>
        <w:spacing w:after="0" w:line="187" w:lineRule="exact"/>
        <w:rPr>
          <w:sz w:val="20"/>
          <w:szCs w:val="20"/>
          <w:color w:val="auto"/>
        </w:rPr>
      </w:pPr>
    </w:p>
    <w:p>
      <w:pPr>
        <w:jc w:val="both"/>
        <w:ind w:left="120" w:right="40" w:firstLine="440"/>
        <w:spacing w:after="0" w:line="257" w:lineRule="auto"/>
        <w:rPr>
          <w:sz w:val="20"/>
          <w:szCs w:val="20"/>
          <w:color w:val="auto"/>
        </w:rPr>
      </w:pPr>
      <w:r>
        <w:rPr>
          <w:rFonts w:ascii="Arial" w:cs="Arial" w:eastAsia="Arial" w:hAnsi="Arial"/>
          <w:sz w:val="18"/>
          <w:szCs w:val="18"/>
          <w:color w:val="auto"/>
        </w:rPr>
        <w:t>Prepaid expenses and other current assets decreased by $27.9 million, from $40.0 million at December 31, 2018 to $12.1 million at December 31, 2019. The decrease was primarily due to (i) a $12.0 million decrease in prepaid expenses and other current assets of Navios Logistics; (ii) a $4.2 million decrease in other assets; (iii) a $3.8 million decrease in claims receivables; (iv) a $3.5 million decrease in prepaid voyage and operating costs; (v) a $3.0 million decrease in prepaid expenses and other current assets of Navios Containers; and (vi) a $1.4 million decrease in advances to agents and prepaid taxes.</w:t>
      </w:r>
    </w:p>
    <w:p>
      <w:pPr>
        <w:spacing w:after="0" w:line="188"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Other long-term assets increased by $25.4 million, from $23.7 million at December 31, 2018 to $49.1 million at December 31, 2019. The increase was primarily due to (i) a $15.4 million increase in long-term assets from dry bulk operations mainly due to deposits for options to acquire vessels under bareboat contracts; (ii) a $6.6 million increase in other long-term assets of Navios Logistics; and (iii) a $4.5 million increase in deposits for vessels, port terminals and other fixed assets of Navios Logistics. This overall increase was partially mitigated by a $1.1 million decrease in long-term assets of Navios Containers.</w:t>
      </w:r>
    </w:p>
    <w:p>
      <w:pPr>
        <w:spacing w:after="0" w:line="188"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Accounts payable decreased by $57.2 million, from $78.9 million at December 31, 2018 to $21.7 million at December 31, 2019. The decrease was primarily due to (i) a $33.4 million decrease in accounts payable to bunkers, lubricants and other suppliers; (ii) a $12.6 million decrease in accounts payable relating to utilities and other service providers, legal and audit services; (iii) a $7.7 million decrease in accounts payable relating to brokers and other accounts payable; (iv) a $3.6 million decrease in accounts payable of Navios Containers; (v) a $3.4 million decrease in accounts payable of Navios Logistics; and (vi) a $0.2 million decrease in accounts payable to headowners. The overall decrease was partially mitigated by a $3.7 million increase in port agents payable.</w:t>
      </w:r>
    </w:p>
    <w:p>
      <w:pPr>
        <w:spacing w:after="0" w:line="192"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6"/>
          <w:szCs w:val="16"/>
          <w:color w:val="auto"/>
        </w:rPr>
        <w:t>Accrued expenses and other liabilities decreased by $72.5 million from $123.7 million at December 31, 2018 to $51.2 million at December 31, 2019. The decrease was primarily due to (i) a $41.8 million decrease in accrued direct vessel expenses and drydocking expenses; (ii) a $10.4 million decrease in accrued payroll and related expenses; (iii) a $4.1 million decrease in accrued interest; (iv) a $12.2 million decrease in other accrued expenses and other liabilities; (v) a $3.5 million decrease in accrued voyage expenses; (vi) a $2.3 million decrease in accrued expenses of Navios Containers; and</w:t>
      </w:r>
    </w:p>
    <w:p>
      <w:pPr>
        <w:spacing w:after="0" w:line="1" w:lineRule="exact"/>
        <w:rPr>
          <w:sz w:val="20"/>
          <w:szCs w:val="20"/>
          <w:color w:val="auto"/>
        </w:rPr>
      </w:pPr>
    </w:p>
    <w:p>
      <w:pPr>
        <w:ind w:left="120" w:right="600" w:hanging="4"/>
        <w:spacing w:after="0" w:line="260" w:lineRule="auto"/>
        <w:tabs>
          <w:tab w:leader="none" w:pos="475" w:val="left"/>
        </w:tabs>
        <w:numPr>
          <w:ilvl w:val="0"/>
          <w:numId w:val="93"/>
        </w:numPr>
        <w:rPr>
          <w:rFonts w:ascii="Arial" w:cs="Arial" w:eastAsia="Arial" w:hAnsi="Arial"/>
          <w:sz w:val="18"/>
          <w:szCs w:val="18"/>
          <w:color w:val="auto"/>
        </w:rPr>
      </w:pPr>
      <w:r>
        <w:rPr>
          <w:rFonts w:ascii="Arial" w:cs="Arial" w:eastAsia="Arial" w:hAnsi="Arial"/>
          <w:sz w:val="18"/>
          <w:szCs w:val="18"/>
          <w:color w:val="auto"/>
        </w:rPr>
        <w:t>a $1.6 million decrease in accrued estimated losses on uncompleted voyages. The overall decrease was partially mitigated by a $3.4 million increase in accrued expenses of Navios Logistics.</w:t>
      </w:r>
    </w:p>
    <w:p>
      <w:pPr>
        <w:spacing w:after="0" w:line="185"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Deferred income and cash received in advance decreased by $2.9 million from $11.8 million at December 31, 2018 to $8.9 million at December 31, 2019. Deferred income primarily reflects freight and charter-out amounts collected on voyages that have not been completed and the current portion of the deferred gain from the sale of various vessels to Navios Partners to be amortized over the next year. The decrease was primarily due to (i) a $2.1 million decrease in deferred income and cash received in advance of Navios Containers; (ii) a $0.8 million decrease in deferred freight and (iii) a $0.2 million decrease in the current portion of deferred gain from the sale of assets to Navios Partners. The overall decrease was partially mitigated by a $0.2 million increase in deferred income of Navios Logistics.</w:t>
      </w:r>
    </w:p>
    <w:p>
      <w:pPr>
        <w:sectPr>
          <w:pgSz w:w="11900" w:h="16838" w:orient="portrait"/>
          <w:cols w:equalWidth="0" w:num="1">
            <w:col w:w="11120"/>
          </w:cols>
          <w:pgMar w:left="320" w:top="459" w:right="459" w:bottom="1440" w:gutter="0" w:footer="0" w:header="0"/>
        </w:sectPr>
      </w:pP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109</w:t>
      </w:r>
    </w:p>
    <w:p>
      <w:pPr>
        <w:sectPr>
          <w:pgSz w:w="11900" w:h="16838" w:orient="portrait"/>
          <w:cols w:equalWidth="0" w:num="1">
            <w:col w:w="11120"/>
          </w:cols>
          <w:pgMar w:left="320" w:top="459" w:right="459" w:bottom="1440" w:gutter="0" w:footer="0" w:header="0"/>
          <w:type w:val="continuous"/>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Other long-term liabilities and deferred income decreased by $13.1 million from $19.1 million at December 31, 2018 to $6.0 million at December 31, 2019. The decrease was primarily due to (i) a $11.3 million decrease in other long-term payables; (ii) a $1.7 million decrease in the non-current portion of deferred gain from the sale of vessels to Navios Partners; and (iii) a $0.1 million decrease in other long-term liabilities of Navios Logistics.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Cash used in investing activities for the year ended December 31, 2019 as compared to cash provided by investing activities for the year ended</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December 31, 2018:</w:t>
      </w:r>
    </w:p>
    <w:p>
      <w:pPr>
        <w:spacing w:after="0" w:line="103"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Cash used in investing activities was $56.5 million for the year ended December 31, 2019, as compared to $27.9 million cash provided by for the same period of 2018.</w:t>
      </w:r>
    </w:p>
    <w:p>
      <w:pPr>
        <w:spacing w:after="0" w:line="170" w:lineRule="exact"/>
        <w:rPr>
          <w:sz w:val="20"/>
          <w:szCs w:val="20"/>
          <w:color w:val="auto"/>
        </w:rPr>
      </w:pPr>
    </w:p>
    <w:p>
      <w:pPr>
        <w:ind w:left="120" w:right="80" w:firstLine="440"/>
        <w:spacing w:after="0" w:line="284" w:lineRule="auto"/>
        <w:rPr>
          <w:sz w:val="20"/>
          <w:szCs w:val="20"/>
          <w:color w:val="auto"/>
        </w:rPr>
      </w:pPr>
      <w:r>
        <w:rPr>
          <w:rFonts w:ascii="Arial" w:cs="Arial" w:eastAsia="Arial" w:hAnsi="Arial"/>
          <w:sz w:val="16"/>
          <w:szCs w:val="16"/>
          <w:color w:val="auto"/>
        </w:rPr>
        <w:t>Cash used in investing activities for the year ended December 31, 2019 was the result of: (i) $54.8 million in payments made from Navios Containers for the period from January 1, 2019 to August 30, 2019 (date of losing control) for the purchase of Navios Constellation and for additions to vessels; (ii) $19.5 million in payments made by the Company for the purchase of Navios Victory and for additions to vessels; (iii) $21.4 million impact to cash from deconsolidation/sale of business; (iv) $15.5 million in payments as deposits for options to acquire vessels under bareboat contracts; (v) $4.0 million in payments for the construction of Navios Logistics’ six new liquid barges; (vi) $4.0 million in payments for the purchase of Navios Logistics’ other fixed assets; (vii) $1.7 million in payments made by the Company for the purchase of other fixed assets; (viii) $48.8 million proceeds from sale of Navios Meridian, Navios Vector, Navios Equator Prosper, Navios Mercator, Navios Arc and Navios Primavera; (ix) a $8.0 million loan from affiliate company; (x) $4.4 million dividends received from Navios Acquisition; (xi) $3.0 million proceeds from sale of business; and (xii)</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$0.2 million in collections of Navios Logistics’ Note receivable.</w:t>
      </w:r>
    </w:p>
    <w:p>
      <w:pPr>
        <w:spacing w:after="0" w:line="211" w:lineRule="exact"/>
        <w:rPr>
          <w:sz w:val="20"/>
          <w:szCs w:val="20"/>
          <w:color w:val="auto"/>
        </w:rPr>
      </w:pPr>
    </w:p>
    <w:p>
      <w:pPr>
        <w:ind w:left="120" w:right="20" w:firstLine="440"/>
        <w:spacing w:after="0" w:line="284" w:lineRule="auto"/>
        <w:rPr>
          <w:sz w:val="20"/>
          <w:szCs w:val="20"/>
          <w:color w:val="auto"/>
        </w:rPr>
      </w:pPr>
      <w:r>
        <w:rPr>
          <w:rFonts w:ascii="Arial" w:cs="Arial" w:eastAsia="Arial" w:hAnsi="Arial"/>
          <w:sz w:val="16"/>
          <w:szCs w:val="16"/>
          <w:color w:val="auto"/>
        </w:rPr>
        <w:t>Cash provided by investing activities for the year ended December 31, 2018 was the result of: (i) $24.8 million in payments made from Navios Containers for the period from November 30, 2018 (date of obtaining control) to December 31, 2018 for the purchase of Bahamas and Bermuda; (ii) $21.6 million in payments for the purchase of Navios Primavera and Navios Equator Prosper; (iii) $15.2 million in payments as deposits for options to acquire vessels under bareboat contracts; (iv) a $12.9 million loan to Navios Europe I and Navios Europe II; (v) $12.4 million in payments for the construction of Navios Logistics’ river and estuary tanker; (vi) $5.8 million in payments for the acquisition of common units and general partner units in Navios Partners; (vii) $4.1 million in payments made by the Company for the purchase of other fixed assets; (viii) $2.4 million in payments for the construction of Navios Logistics’ three new pushboats; (ix) $1.9 million in payments for the purchase of Navios Logistics’ other fixed assets; (x)</w:t>
      </w:r>
    </w:p>
    <w:p>
      <w:pPr>
        <w:spacing w:after="0" w:line="2" w:lineRule="exact"/>
        <w:rPr>
          <w:sz w:val="20"/>
          <w:szCs w:val="20"/>
          <w:color w:val="auto"/>
        </w:rPr>
      </w:pPr>
    </w:p>
    <w:p>
      <w:pPr>
        <w:ind w:left="120" w:right="200"/>
        <w:spacing w:after="0" w:line="252" w:lineRule="auto"/>
        <w:rPr>
          <w:sz w:val="20"/>
          <w:szCs w:val="20"/>
          <w:color w:val="auto"/>
        </w:rPr>
      </w:pPr>
      <w:r>
        <w:rPr>
          <w:rFonts w:ascii="Arial" w:cs="Arial" w:eastAsia="Arial" w:hAnsi="Arial"/>
          <w:sz w:val="18"/>
          <w:szCs w:val="18"/>
          <w:color w:val="auto"/>
        </w:rPr>
        <w:t>$1.5 million in payments for the expansion of Navios Logistics’ dry port terminal; (xi) $1.1 million in payments made by Navios Logistics for the acquisition of land; (xii) $0.5 million in payment for the investment in common shares in Navios Containers; (xiii) $0.5 million in payments made by Navios Logistics for the purchase of covers for dry barges; (xiv) $101.7 million proceeds from sale of Navios Magellan, Navios Mars, Navios Sphera, Navios Achilles, Navios Herakles; (xv) $24.4 million cash acquired through obtaining control in Navios Containers; (xvi) $5.8 million dividends received from Navios Acquisition; (xvii) $0.5 million proceeds from sale of the Company’s investment in Acropolis; and (xviii) $0.2 million in collections of Navios Logistics’ Note receivable.</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used in financing activities for the year ended December 31, 2019 as compared to the year ended December 31, 2018:</w:t>
      </w:r>
    </w:p>
    <w:p>
      <w:pPr>
        <w:spacing w:after="0" w:line="121"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Cash used in financing activities was $111.7 million for the year ended December 31, 2019, as compared to $66.9 million for the year ended December 31, 2018.</w:t>
      </w:r>
    </w:p>
    <w:p>
      <w:pPr>
        <w:spacing w:after="0" w:line="170"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Cash used in financing activities for the year ended December 31, 2019 was the result of (i) $123.2 million proceeds from Navios Containers’ long term debt (net of deferred financing costs of $1.9 million); (ii) $68.3 million in payments for the repurchase of the 2022 Notes; (iii) $59.2 million in scheduled repayment installments; (iv) $53.1 million in prepayment and refinance of indebtedness of Navios Containers for the period from January 1, 2019 to August 30, 2019 (date of losing control); (v) $31.2 million in prepayment of indebtedness of Navios Holdings; (vi) $13.4 million in repayment of loan payable to affiliate companies; (vii) $10.2 million in payments relating to the redemption of preferred stock; (viii) $4.0 million proceeds from Navios Holdings’ long term debt; and (ix) $3.4 million in prepayment of indebtedness of Navios Logistics .</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Cash used in financing activities for the year ended December 31, 2018 was the result of (i) $40.0 million in scheduled repayment installments;</w:t>
      </w:r>
    </w:p>
    <w:p>
      <w:pPr>
        <w:spacing w:after="0" w:line="46" w:lineRule="exact"/>
        <w:rPr>
          <w:sz w:val="20"/>
          <w:szCs w:val="20"/>
          <w:color w:val="auto"/>
        </w:rPr>
      </w:pPr>
    </w:p>
    <w:p>
      <w:pPr>
        <w:ind w:left="120" w:right="100" w:hanging="4"/>
        <w:spacing w:after="0" w:line="253" w:lineRule="auto"/>
        <w:tabs>
          <w:tab w:leader="none" w:pos="385" w:val="left"/>
        </w:tabs>
        <w:numPr>
          <w:ilvl w:val="0"/>
          <w:numId w:val="94"/>
        </w:numPr>
        <w:rPr>
          <w:rFonts w:ascii="Arial" w:cs="Arial" w:eastAsia="Arial" w:hAnsi="Arial"/>
          <w:sz w:val="18"/>
          <w:szCs w:val="18"/>
          <w:color w:val="auto"/>
        </w:rPr>
      </w:pPr>
      <w:r>
        <w:rPr>
          <w:rFonts w:ascii="Arial" w:cs="Arial" w:eastAsia="Arial" w:hAnsi="Arial"/>
          <w:sz w:val="18"/>
          <w:szCs w:val="18"/>
          <w:color w:val="auto"/>
        </w:rPr>
        <w:t>$31.8 million in prepayment of indebtedness; (iii) $28.8 million in payments for the repurchase of the 2022 Notes; (iv) $22.5 million in prepayment and refinance of indebtedness of Navios Containers for the period from November 30, 2018 (date of obtaining control) to December 31, 2018; (v) $49.4 million proceeds from Navios Containers’ long term debt (net of deferred financing costs of $0.6 million); and (vi) $6.9 million proceeds from Navios Logistics’ long term debt (net of deferred financing costs of $0.2 million).</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20"/>
          </w:cols>
          <w:pgMar w:left="320" w:top="459" w:right="4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b w:val="1"/>
          <w:bCs w:val="1"/>
          <w:i w:val="1"/>
          <w:iCs w:val="1"/>
          <w:color w:val="auto"/>
        </w:rPr>
        <w:t xml:space="preserve">Adjusted EBITDA: </w:t>
      </w:r>
      <w:r>
        <w:rPr>
          <w:rFonts w:ascii="Arial" w:cs="Arial" w:eastAsia="Arial" w:hAnsi="Arial"/>
          <w:sz w:val="16"/>
          <w:szCs w:val="16"/>
          <w:color w:val="auto"/>
        </w:rPr>
        <w:t>EBITDA represents net (loss)/income attributable to Navios Holdings’ common stockholders before interest and finance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costs, depreciation and amortization and income taxes. Adjusted EBITDA represents EBITDA before stock based compensation. We use Adjusted EBITDA as a liquidity measure and reconcile Adjusted EBITDA to net cash provided by operating activities, the most comparable U.S. GAAP liquidity measure. Adjusted EBITDA is calculated as follows: net cash provided by operating activities adding back, when applicable and as the case may be, the effect of (i) net increase/(decrease) in operating assets; (ii) net (increase)/decrease in operating liabilities; (iii) net interest cost; (iv) deferred financing costs and gains/(losses) on bond and debt extinguishment, net; (v) allowance for credit losses; (vi) earnings/(losses) in affiliate companies and joint ventures, net of dividends received; (vii) payments for drydock and special survey costs; (viii) noncontrolling interest; (ix) gain/ (loss) on sale of assets/ subsidiaries/businesses, on loss of control and bargain gain; (x) unrealized (loss)/gain on derivatives; (xi) loss on sale and reclassification to earnings of available-for-sale securities; and (xii) impairment losses. Navios Holdings believes that Adjusted EBITDA is a basis upon which liquidity can be assessed and represents useful information to investors regarding Navios Holdings’ ability to service and/or incur indebtedness, pay capital expenditures and meet working capital requirements. Navios Holdings also believes that Adjusted EBITDA is used (i) by prospective and current lessors as well as potential lenders to evaluate potential transactions; (ii) to evaluate and price potential acquisition candidates; and (iii) by securities analysts, investors and other interested parties in the evaluation of companies in our industry.</w:t>
      </w:r>
    </w:p>
    <w:p>
      <w:pPr>
        <w:spacing w:after="0" w:line="174"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Adjusted EBITDA has limitations as an analytical tool, and therefore, should not be considered in isolation or as a substitute for the analysis of Navios Holdings’ results as reported under U.S. GAAP. Some of these limitations are: (i) Adjusted EBITDA does not reflect changes in, or cash requirements for, working capital needs; (ii) Adjusted EBITDA does not reflect the amounts necessary to service interest or principal payments on our debt and other financing arrangements; and (iii) although depreciation and amortization are non-cash charges, the assets being depreciated and amortized may have to be replaced in the future. Adjusted EBITDA does not reflect any cash requirements for such capital expenditures. Because of these limitations, among others, Adjusted EBITDA should not be considered as a principal indicator of Navios Holdings’ performance. Furthermore, our calculation of Adjusted EBITDA may not be comparable to that reported by other companies due to differences in methods of calculation.</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For a reconciliation of cash flows from operating activities to Adjusted EBITDA refer to “Item 3. Key Information- A. Selected Financial Data.”</w:t>
      </w:r>
    </w:p>
    <w:p>
      <w:pPr>
        <w:spacing w:after="0" w:line="237"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Adjusted EBITDA for the years ended December 31, 2020 and 2019 was $27.9 million and $61.9 million, respectively. The $34.0 million decrease in Adjusted EBITDA was primarily due to (i) a $65.7 million decrease in revenue; (ii) a $40.4 million decrease in bond extinguishment gains;</w:t>
      </w:r>
    </w:p>
    <w:p>
      <w:pPr>
        <w:ind w:left="120" w:hanging="4"/>
        <w:spacing w:after="0" w:line="281" w:lineRule="auto"/>
        <w:tabs>
          <w:tab w:leader="none" w:pos="435" w:val="left"/>
        </w:tabs>
        <w:numPr>
          <w:ilvl w:val="0"/>
          <w:numId w:val="95"/>
        </w:numPr>
        <w:rPr>
          <w:rFonts w:ascii="Arial" w:cs="Arial" w:eastAsia="Arial" w:hAnsi="Arial"/>
          <w:sz w:val="16"/>
          <w:szCs w:val="16"/>
          <w:color w:val="auto"/>
        </w:rPr>
      </w:pPr>
      <w:r>
        <w:rPr>
          <w:rFonts w:ascii="Arial" w:cs="Arial" w:eastAsia="Arial" w:hAnsi="Arial"/>
          <w:sz w:val="16"/>
          <w:szCs w:val="16"/>
          <w:color w:val="auto"/>
        </w:rPr>
        <w:t>a $30.2 million decrease in other income; (iv) a $29.9 million in EBITDA in the period from January 1 to August 30, 2019 from consolidating Navios Containers; (v) a $9.8 million gain on sale of business recorded in the year ended December 31, 2019; (vi) a 6.1 million impairment loss of loan receivable from Navios Europe II recorded in the year ended December 31, 2020; and (vii) a $4.1 million decrease in direct vessel expenses (excluding the amortization of deferred drydock, special survey costs and other capitalized items). This overall increase of $186.1 million was partially mitigated by</w:t>
      </w:r>
    </w:p>
    <w:p>
      <w:pPr>
        <w:spacing w:after="0" w:line="2" w:lineRule="exact"/>
        <w:rPr>
          <w:rFonts w:ascii="Arial" w:cs="Arial" w:eastAsia="Arial" w:hAnsi="Arial"/>
          <w:sz w:val="16"/>
          <w:szCs w:val="16"/>
          <w:color w:val="auto"/>
        </w:rPr>
      </w:pPr>
    </w:p>
    <w:p>
      <w:pPr>
        <w:ind w:left="120" w:right="40" w:hanging="4"/>
        <w:spacing w:after="0" w:line="253" w:lineRule="auto"/>
        <w:tabs>
          <w:tab w:leader="none" w:pos="335"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$67.7 million decrease in impairment losses; (ii) a $61.7 million in loss on loss of control of Navios Containers recorded in the year ended December 31, 2019; (iii) a $10.6 million decrease in time charter, voyage and logistics business expenses; (iv) a $7.9 million increase in equity in net losses of affiliate companies; (v) a $3.3 million decrease in net loss attributable to the noncontrolling interest; and (vi) a $0.9 million decrease in general and administrative expenses (excluding stock-based compensation expenses).</w:t>
      </w:r>
    </w:p>
    <w:p>
      <w:pPr>
        <w:spacing w:after="0" w:line="193"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Adjusted EBITDA for the years ended December 31, 2019 and 2018 was $61.9 million and $(18.2) million, respectively. The $80.1 million</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increase in Adjusted EBITDA was primarily due to (i) a $77.8 million increase in revenue of Navios Containers for the period from January 1, 2019 to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August 30, 2019, as compared to the period from November 30, 2018 to December 31, 2018; (ii) a $71.0 million increase in equity in net earnings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affiliate companies; (iii) a $44.6 million decrease in impairment losses; (iv) a $40.9 million increase in bond extinguishment gains; (v) a $30.3 million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increase in other income from continuing operations; (vi) a $28.6 million decrease in time charter, voyage and logistics business expenses from</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continuing operations; and (vii) a $9.8 million gain on sale of business recorded in the year ended December 31, 2019. This overall increase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$303.0 million was partially mitigated by (i) $61.7 million loss on loss of control over Navios Containers on August 30, 2019, compared to a $58.3</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bargain gain upon obtaining control over Navios Containers on November 30, 2018; (ii) a $7.6 million increase in direct vessel expenses from</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continuing operations (excluding the amortization of deferred drydock and special survey costs) and a $38.2 million increase in direct vessel expenses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Navios Containers (excluding the amortization of deferred drydock and special survey costs) for the period from January 1, 2019 to August 30, 2019, as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compared to the period from November 30, 2018 to December 31, 2018; (iii) a $23.3 million decrease in revenue from continuing operations; (iv) a</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$11.3 million increase in general and administrative expenses (excluding stock-based compensation expenses) from continuing operations and a</w:t>
      </w:r>
    </w:p>
    <w:p>
      <w:pPr>
        <w:spacing w:after="0" w:line="21" w:lineRule="exact"/>
        <w:rPr>
          <w:sz w:val="20"/>
          <w:szCs w:val="20"/>
          <w:color w:val="auto"/>
        </w:rPr>
      </w:pPr>
    </w:p>
    <w:p>
      <w:pPr>
        <w:ind w:left="120" w:right="60"/>
        <w:spacing w:after="0" w:line="270" w:lineRule="auto"/>
        <w:rPr>
          <w:sz w:val="20"/>
          <w:szCs w:val="20"/>
          <w:color w:val="auto"/>
        </w:rPr>
      </w:pPr>
      <w:r>
        <w:rPr>
          <w:rFonts w:ascii="Arial" w:cs="Arial" w:eastAsia="Arial" w:hAnsi="Arial"/>
          <w:sz w:val="17"/>
          <w:szCs w:val="17"/>
          <w:color w:val="auto"/>
        </w:rPr>
        <w:t>$5.8 million increase in general and administrative expenses of Navios Containers for the period from January 1, 2019 to August 30, 2019, as compared to the period from November 30, 2018 to December 31, 2018; (v) a $5.6 million increase in other expense, net of Navios Containers for the period from January 1, 2019 to August 30, 2019, as compared to the period from November 30, 2018 to December 31, 2018; (vi) a $4.5 million increase in net income attributable to the noncontrolling interest; (vii) a $3.5 million increase in time charter and voyage expenses of Navios Containers for the period from January 1, 2019 to August 30, 2019, as compared to the period from November 30, 2018 to December 31, 2018; (viii) a $2.7 million increase in other expenses from continuing operations; and (ix) a $0.4 million increase in allowance for credit losses.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20"/>
          </w:cols>
          <w:pgMar w:left="320" w:top="459" w:right="4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Long-Term Debt Obligations and Credit Arrangements: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Navios Holdings Debt</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2022 Senior Secured Notes</w:t>
      </w:r>
    </w:p>
    <w:p>
      <w:pPr>
        <w:spacing w:after="0" w:line="121"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On November 21, 2017, the Company and its wholly owned subsidiary, Navios Maritime Finance II (US) Inc. (together with the Company, the “Co-Issuers”) issued $305.0 million of the 2022 Senior Secured Notes, at a price of 97%.</w:t>
      </w:r>
    </w:p>
    <w:p>
      <w:pPr>
        <w:spacing w:after="0" w:line="170"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The 2022 Senior Secured Notes are secured by a first priority lien on certain capital stock owned by certain of the subsidiary guarantors of Navios Holdings in each of Navios GP L.L.C., Navios Maritime Acquisition Corporation, Navios South American Logistics Inc. and Navios Partners (following the merger of Navios Containers with Navios Partners)., as well as by the vessel Navios Azimuth. The 2022 Senior Secured Notes are unregistered and guaranteed by all of the Company’s direct and indirect subsidiaries, except for certain subsidiaries designated as unrestricted subsidiaries, including Navios Logistics. The subsidiary guarantees are “full and unconditional”, except that the indenture provides for an individual subsidiary’s guarantee to be automatically released in certain customary circumstances, such as when a subsidiary is sold or all of the assets of the subsidiary are sold, the capital stock is sold, when the subsidiary is designated as an “unrestricted subsidiary” for purposes of the indenture, upon liquidation or dissolution of the subsidiary or upon legal or covenant defeasance or satisfaction and discharge of the 2022 Senior Secured Notes.</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Co-Issuers have the option to redeem the 2022 Senior Secured Notes in whole or in part, at any time at par.</w:t>
      </w:r>
    </w:p>
    <w:p>
      <w:pPr>
        <w:spacing w:after="0" w:line="225"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Upon occurrence of certain change of control events, the holders of the 2022 Senior Secured Notes may require the Co-Issuers to repurchase some or all of the 2022 Senior Secured Notes at 101% of their face amount. The 2022 Senior Secured Notes contain covenants which, among other things, limit the incurrence of additional indebtedness, issuance of certain preferred stock, the payment of dividends, redemption or repurchase of capital stock or making restricted payments and investments, creation of certain liens, transfer or sale of assets, entering in transactions with affiliate companies, merging or consolidating or selling all or substantially all of the Co-Issuers’ properties and assets and creation or designation of restricted subsidiaries. The indenture governing the 2022 Senior Secured Notes includes customary events of default. The Co-Issuers were in compliance with the covenants as of December 31, 2020.</w:t>
      </w:r>
    </w:p>
    <w:p>
      <w:pPr>
        <w:spacing w:after="0" w:line="195"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Under the terms of the 2022 Senior Secured Notes, Navios Holdings had an obligation to make a springing maturity offer in September 2021 to repurchase those notes at par unless certain conditions relating to the refinancing of our 2022 Notes are met.</w:t>
      </w:r>
    </w:p>
    <w:p>
      <w:pPr>
        <w:spacing w:after="0" w:line="170" w:lineRule="exact"/>
        <w:rPr>
          <w:sz w:val="20"/>
          <w:szCs w:val="20"/>
          <w:color w:val="auto"/>
        </w:rPr>
      </w:pPr>
    </w:p>
    <w:p>
      <w:pPr>
        <w:ind w:left="120" w:right="180" w:firstLine="440"/>
        <w:spacing w:after="0" w:line="271" w:lineRule="auto"/>
        <w:rPr>
          <w:sz w:val="20"/>
          <w:szCs w:val="20"/>
          <w:color w:val="auto"/>
        </w:rPr>
      </w:pPr>
      <w:r>
        <w:rPr>
          <w:rFonts w:ascii="Arial" w:cs="Arial" w:eastAsia="Arial" w:hAnsi="Arial"/>
          <w:sz w:val="17"/>
          <w:szCs w:val="17"/>
          <w:color w:val="auto"/>
        </w:rPr>
        <w:t>On October 1, 2020, Navios Holdings entered into (1) a supplemental indenture (the “Sixth Supplemental Indenture”) to amend the terms of the indenture and related pledge agreements governing the 2022 Senior Secured Notes following its receipt of consents from bondholders representing a majority in aggregate principal amount (the “Consenting Noteholders”) of the 2022 Senior Secured Notes and (2) a consent agreement with the Consenting Noteholders (“Consent Agreement”) whereby the Consenting Noteholders agreed, subject to the satisfaction of certain conditions in the Consent Agreement, to provide their consents, as part of a consent solicitation to be made by the Company on or before the earlier of (i) 60 days following the consummation of a Qualified IPO (as defined in the Sixth Supplemental Indenture) of Navios Logistics or (ii) September 5, 2021, to the amendments contained in the form of supplemental indenture (as defined herein) which amendments require consent from 66 2/3% of the outstanding 2022 Senior Secured Notes affected.</w:t>
      </w:r>
    </w:p>
    <w:p>
      <w:pPr>
        <w:spacing w:after="0" w:line="178"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The Sixth Supplemental Indenture, among other things, (i) clarifies that all past dividends paid in respect of equity pledged as collateral for the 2022 Senior Secured Notes and any future dividends paid in respect of equity pledged as collateral (other than equity of Navios Logistics) can be used by the Company for general corporate purposes, absent a Default or Event of Default, (ii) provides that future dividends paid in respect of equity of Navios Logistics pledged as collateral for the 2022 Senior Secured Notes may be used only to redeem or repurchase 2022 Senior Secured Notes (including, absent a Default or an Event of Default, at a discount to par), (iii) eliminates the Company’s obligation to make a springing maturity offer for the 2022 Senior Secured Notes; and (iv) states, for the avoidance of doubt, that the Company may agree to the cancellation of amounts it owes to Navios Logistics under that certain loan agreement dated as of April 25, 2019 (as amended) in lieu of the receipt of pro rata cash dividends from Navios Logistics. The Sixth Supplemental Indenture became effective upon its execution by the Company and the Trustee, but the amendments and waivers contained therein will become operative only upon the occurrence of a Qualified IPO of Navios Logistics.</w:t>
      </w:r>
    </w:p>
    <w:p>
      <w:pPr>
        <w:spacing w:after="0" w:line="166"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The Form of Supermajority Supplemental Indenture would further amend the Indenture to permit the Company to use the net proceeds it receives from any sale of Navios Logistics equity in connection with or following a Qualified IPO of Navios Logistics to repurchase 2022 Senior Secured Notes at a discount to par in certain circumstances.</w:t>
      </w:r>
    </w:p>
    <w:p>
      <w:pPr>
        <w:spacing w:after="0" w:line="184"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There can be no assurance that the Company will receive the additional consents necessary to cause the amendments contemplated by the Form of Supermajority Supplemental Indenture to become effective.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00"/>
          </w:cols>
          <w:pgMar w:left="320" w:top="459" w:right="47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2022 Notes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On November 29, 2013, the Co-Issuers completed the sale of $650.0 million of the 2022 Notes. During 2018, the Company repurchased</w:t>
      </w:r>
    </w:p>
    <w:p>
      <w:pPr>
        <w:spacing w:after="0" w:line="35"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$35.7 million in par value of the 2022 Notes for a cash consideration of $28.8 million resulting in a gain on bond extinguishment of $6.5 million, net of deferred financing costs written-off. During 2019, Navios Logistics repurchased $35.5 million in par value of the 2022 Notes in open market transactions for a cash consideration of $17.6 million. During 2019, the Company repurchased $81.2 million in par value of the 2022 Notes for a cash consideration of $50.7 million. These transactions resulted in a gain on bond extinguishment of $47.4 million, net of deferred financing costs written-off. (Refer to Note 16 included elsewhere in this Annual Report). During 2020, the Company repurchased $20.8 million in par value of the 2022 Notes for a cash consideration of $9.4 million resulting in a gain on bond extinguishment of $11.2 million, net of deferred financing costs written-off.</w:t>
      </w:r>
    </w:p>
    <w:p>
      <w:pPr>
        <w:spacing w:after="0" w:line="164"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The 2022 Notes are senior obligations of the Co-Issuers and were originally secured by first priority ship mortgages on 23 dry bulk vessels owned by certain subsidiary guarantors and certain other associated property and contract rights. In June 2017, Navios Ionian and Navios Horizon were released from the 2022 Notes and replaced by the Navios Galileo. In March 2018, Navios Herakles was released from the 2022 Notes and replaced by the Navios Equator Prosper. In July 2018, Navios Achilles was released from the 2022 Notes and replaced by the Navios Primavera. In December 2018 and in March 2019, Navios Magellan and Navios Meridian, respectively, were released from the 2022 Notes and the total proceeds of $14.0 million were restricted in an escrow account and considered as a cash collateral. In May 2019 and June 2019, Navios Equator Prosper, Navios Vector and the cash collaterals held in escrow accounts were released from the 2022 Notes and replaced by the N Bonanza and N Amalthia and the total proceeds of $7.4 million were restricted in an escrow account and considered as cash collateral. In July 2019 and August 2019, Navios Arc and Navios Mercator, respectively, were released from the 2022 Notes. In August 2019, the cash collateral held in escrow accounts were released from the 2022 Notes and replaced by Navios Victory. In September 2019, Navios Primavera was released from the 2022 Notes and the total proceeds of $10.1 million were restricted in escrow accounts and considered as cash collateral. In November 2019, Navios Victory and the cash collateral held in escrow accounts were released and replaced by Navios Northern Star, Navios Taurus and Navios Serenity. During the first half of 2020, Navios Hios, Navios Kypros and Navios Star were released from the 2022 Notes and were replaced by Navios Amitie, Jupiter N and $0.4 million of cash collateral retained as trust monies in an escrow account. In August 2020 and September 2020, Navios Northern Star and Navios Amitie were released from the 2022 Notes, respectively, and were replaced by $15.3 million of cash collateral retained as trust monies in an escrow account. In January 2021, Navios Asteriks and part of the cash collateral of $14.3 million held in escrow accounts were released and replaced by Navios Bonheur. In April 2021, Navios Serenity and the remaining cash collateral held in escrow accounts were released and replaced by Navios Asteriks. Currently, the 2022 Notes are secured by 17 drybulk vessels. The 2022 Notes are unregistered and fully and unconditionally guaranteed, jointly and severally by all of the Company’s direct and indirect subsidiaries, other than Navios Maritime Finance (US) Inc., Navios Logistics and its subsidiaries and Navios GP L.L.C.</w:t>
      </w:r>
    </w:p>
    <w:p>
      <w:pPr>
        <w:spacing w:after="0" w:line="169"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guarantees of the Company’s subsidiaries that own mortgaged vessels are senior secured guarantees and the guarantees of the Company’s subsidiaries that do not own mortgaged vessels are senior unsecured guarantees. In addition, the Co-Issuers have the option to redeem the 2022 Notes in whole or in part at par.</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Upon occurrence of certain change of control events, the holders of the 2022 Notes may require the Co-Issuers to repurchase some or all of the</w:t>
      </w:r>
    </w:p>
    <w:p>
      <w:pPr>
        <w:spacing w:after="0" w:line="46" w:lineRule="exact"/>
        <w:rPr>
          <w:sz w:val="20"/>
          <w:szCs w:val="20"/>
          <w:color w:val="auto"/>
        </w:rPr>
      </w:pPr>
    </w:p>
    <w:p>
      <w:pPr>
        <w:ind w:left="120"/>
        <w:spacing w:after="0" w:line="292" w:lineRule="auto"/>
        <w:rPr>
          <w:sz w:val="20"/>
          <w:szCs w:val="20"/>
          <w:color w:val="auto"/>
        </w:rPr>
      </w:pPr>
      <w:r>
        <w:rPr>
          <w:rFonts w:ascii="Arial" w:cs="Arial" w:eastAsia="Arial" w:hAnsi="Arial"/>
          <w:sz w:val="16"/>
          <w:szCs w:val="16"/>
          <w:color w:val="auto"/>
        </w:rPr>
        <w:t>2022 Notes at 101% of their face amount. The 2022 Notes contain covenants, which among other things, limit the incurrence of additional indebtedness, issuance of certain preferred stock, the payment of dividends, redemption or repurchase of capital stock or making restricted payments and investments, creation of certain liens, transfer or sale of assets, entering into certain transactions with affiliate companies, merging or consolidating or selling all or substantially all of the Co-Issuers’ properties and assets and creation or designation of restricted subsidiaries. The indenture governing the 2022 Notes includes customary events of default. The Co-Issuers were in compliance with the covenants as of December 31, 2020.</w:t>
      </w:r>
    </w:p>
    <w:p>
      <w:pPr>
        <w:spacing w:after="0" w:line="2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2024 Notes</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On March 21, 2019, Navios Holdings issued $4.7 million of 9.75% Senior Notes due 2024 (as defined herein) as an exchange for a total of 10,930 Series H shares which were validly tendered as of that date (Refer to Note 17 included elsewhere in this Annual Report).</w:t>
      </w:r>
    </w:p>
    <w:p>
      <w:pPr>
        <w:spacing w:after="0" w:line="170"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On April 21, 2019, Navios Holdings issued $3.9 million of the 2024 Notes as an exchange for a total of 8,841 Series G shares which were validly tendered as of that date. (Refer to Note 17 included elsewhere in this Annual Report).</w:t>
      </w:r>
    </w:p>
    <w:p>
      <w:pPr>
        <w:spacing w:after="0" w:line="170"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The 2024 Notes are Navios Holdings’ senior unsecured general obligations and rank senior in right of payment to any of Navios Holding’s existing and future debt that expressly provides that it is subordinated to the 2024 Notes, pari passu in right of payment with all of Navios Holding’s existing and future senior obligations, structurally subordinated in right of payment to the obligations of Navios Holding’s subsidiaries, and effectively subordinated in right of payment to any existing and future obligations of Navios Holdings that are secured by property or assets that do not secure the 2024 Notes, including the 2022 Senior Secured Notes and the 2022 Notes, to the extent of the value of any such property and assets securing such other obligations. The 2024 Notes are not guaranteed by any of Navios Holdings’ subsidiaries.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00"/>
          </w:cols>
          <w:pgMar w:left="320" w:top="459" w:right="47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The indenture governing the 2024 Notes does not contain restrictive covenants but does include customary events of default. Navios Holdings has the option to redeem the 2024 Notes, in whole or in part, at any time, at a redemption price equal to 100% of the principal amount of the 2024 Notes to be redeemed, plus accrued interest.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Secured Credit Facilities</w:t>
      </w:r>
    </w:p>
    <w:p>
      <w:pPr>
        <w:spacing w:after="0" w:line="121"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i w:val="1"/>
          <w:iCs w:val="1"/>
          <w:color w:val="auto"/>
        </w:rPr>
        <w:t xml:space="preserve">Credit Agricole (formerly Emporiki) Facilities: </w:t>
      </w:r>
      <w:r>
        <w:rPr>
          <w:rFonts w:ascii="Arial" w:cs="Arial" w:eastAsia="Arial" w:hAnsi="Arial"/>
          <w:sz w:val="18"/>
          <w:szCs w:val="18"/>
          <w:color w:val="auto"/>
        </w:rPr>
        <w:t>In December 2012, the Emporiki Bank of Greece’s facilities were transferred to Credit Agricole</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and Investment Bank.</w:t>
      </w:r>
    </w:p>
    <w:p>
      <w:pPr>
        <w:spacing w:after="0" w:line="170"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In September 2010, Navios Holdings entered into a facility agreement with Emporiki Bank of Greece for an amount of up to $40.0 million in order to partially finance the construction of one newbuilding Capesize vessel. In December 2017, the Company agreed to extend the last payment date to August 2021. The loan bore interest at a rate of LIBOR plus 275 basis points. The loan facility required compliance with certain financial covenants. As of December 31, 2018, the facility was refinanced and repaid in full and there was no outstanding amount.</w:t>
      </w:r>
    </w:p>
    <w:p>
      <w:pPr>
        <w:spacing w:after="0" w:line="17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August 2011, Navios Holdings entered into a facility agreement with Emporiki Bank of Greece for an amount of up to $23.0 million in order to partially finance the construction of one Panamax vessel. In May, 2019, the facility was refinanced. As of December 31, 2020, the facility is repayable in five semi-annual installments of $0.8 million, with a final balloon payment of $8.9 million on the last payment date. The loan bears interest at a rate of LIBOR plus 275 basis points. The loan facility requires compliance with certain covenants. As of December 31, 2020, the outstanding amount under this facility was $11.1 million and was repaid in full in the first quarter of 2021.</w:t>
      </w:r>
    </w:p>
    <w:p>
      <w:pPr>
        <w:spacing w:after="0" w:line="188"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In December 2011, Navios Holdings entered into a facility agreement with Emporiki Bank of Greece for an amount of up to $23.0 million in order to partially finance the construction of one newbuilding bulk carrier. In May, 2019, the facility was refinanced. As of December 31, 2020, the loan facility is repayable in three semi-annual equal installments of $0.8 million, with a final balloon payment of $9.2 million on the last payment date. The loan bears interest at a rate of LIBOR plus 325 basis points. The loan facility requires compliance with certain covenants. As of December 31, 2020, the outstanding amount under this facility was $11.4 million and was repaid in full in the first quarter of 2021.</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On December 20, 2013, Navios Holdings entered into a facility with Credit Agricole Corporate and Investment Bank for an amount of up to</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$22.5 million in two equal tranches, in order to finance the acquisition of two Panamax vessels. The two tranches bore interest at a rate of LIBOR plus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300 basis points. In December 2017, the Company agreed to extend the last payment date to August 2021. The loan facility required compliance with</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certain financial covenants. As of December 31, 2018, the facility was refinanced and repaid in full and there was no outstanding amount.</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On February 14, 2018, Navios Holdings entered into a facility with Credit Agricole Corporate and Investment Bank for an amount of up to</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$28.7 million in three advances to be drawn simultaneously for the purpose of a) to repay all amounts outstanding under the facility agreement dated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September 2010 and b) to repay all amounts outstanding under the facility agreement dated December 20, 2013. As of December 31, 2018, the first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tranche drawn amount was $15.2 million and was repayable in six semi-annual installments of $1.2 million with a final balloon payment of $6.8 million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on the last payment date, the second tranche drawn amount was $6.8 million and was repayable in six semi-annual installments of $0.6 million with a</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final balloon payment of $2.8 million on the last payment date and the third tranche drawn amount was $6.8 million and was repayable in six semi-</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annual installments of $0.6 million with a final balloon payment of $2.8 million on the last payment date. The loan bore interest at a rate of LIBOR plus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280 basis points. The loan facility required compliance with certain financial covenants. As of December 31, 2019 the facility was repaid in full and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was no outstanding amount.</w:t>
      </w:r>
    </w:p>
    <w:p>
      <w:pPr>
        <w:spacing w:after="0" w:line="211"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i w:val="1"/>
          <w:iCs w:val="1"/>
          <w:color w:val="auto"/>
        </w:rPr>
        <w:t xml:space="preserve">Hamburg Commercial Bank AG Facility: </w:t>
      </w:r>
      <w:r>
        <w:rPr>
          <w:rFonts w:ascii="Arial" w:cs="Arial" w:eastAsia="Arial" w:hAnsi="Arial"/>
          <w:sz w:val="17"/>
          <w:szCs w:val="17"/>
          <w:color w:val="auto"/>
        </w:rPr>
        <w:t>On May 23, 2017, Navios Holdings entered into a facility agreement with Hamburg Commercial Bank</w:t>
      </w:r>
      <w:r>
        <w:rPr>
          <w:rFonts w:ascii="Arial" w:cs="Arial" w:eastAsia="Arial" w:hAnsi="Arial"/>
          <w:sz w:val="17"/>
          <w:szCs w:val="17"/>
          <w:i w:val="1"/>
          <w:iCs w:val="1"/>
          <w:color w:val="auto"/>
        </w:rPr>
        <w:t xml:space="preserve"> </w:t>
      </w:r>
      <w:r>
        <w:rPr>
          <w:rFonts w:ascii="Arial" w:cs="Arial" w:eastAsia="Arial" w:hAnsi="Arial"/>
          <w:sz w:val="17"/>
          <w:szCs w:val="17"/>
          <w:color w:val="auto"/>
        </w:rPr>
        <w:t>AG for an amount of up to $15.3 million in order to partially refinance the fourth tranche of the Commerzbank facility. As of December 31, 2020, the facility is repayable in three quarterly equal installments of $0.4 million, with a final balloon payment of $8.8 million on the last payment date. The loan bears interest at a rate of LIBOR plus 300 basis points. The loan facility requires compliance with certain covenants. As of December 31, 2020, the outstanding amount under this facility was $9.9 million and was repaid in full in the first quarter of 2021.</w:t>
      </w:r>
    </w:p>
    <w:p>
      <w:pPr>
        <w:spacing w:after="0" w:line="176"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i w:val="1"/>
          <w:iCs w:val="1"/>
          <w:color w:val="auto"/>
        </w:rPr>
        <w:t xml:space="preserve">DVB Bank SE Facilities: </w:t>
      </w:r>
      <w:r>
        <w:rPr>
          <w:rFonts w:ascii="Arial" w:cs="Arial" w:eastAsia="Arial" w:hAnsi="Arial"/>
          <w:sz w:val="16"/>
          <w:szCs w:val="16"/>
          <w:color w:val="auto"/>
        </w:rPr>
        <w:t>On March 23, 2012, Navios Holdings entered into a facility agreement with a syndicate of banks led by DVB Bank SE</w:t>
      </w:r>
      <w:r>
        <w:rPr>
          <w:rFonts w:ascii="Arial" w:cs="Arial" w:eastAsia="Arial" w:hAnsi="Arial"/>
          <w:sz w:val="16"/>
          <w:szCs w:val="16"/>
          <w:i w:val="1"/>
          <w:iCs w:val="1"/>
          <w:color w:val="auto"/>
        </w:rPr>
        <w:t xml:space="preserve"> </w:t>
      </w:r>
      <w:r>
        <w:rPr>
          <w:rFonts w:ascii="Arial" w:cs="Arial" w:eastAsia="Arial" w:hAnsi="Arial"/>
          <w:sz w:val="16"/>
          <w:szCs w:val="16"/>
          <w:color w:val="auto"/>
        </w:rPr>
        <w:t>for an amount of up to $42.0 million in two tranches: (i) the first tranche is for an amount of up to $26.0 million in order to finance the acquisition of a Handysize vessel; and (ii) the second tranche is for an amount of up to $16.0 million to refinance the outstanding debt of an Ultra-Handymax vessel. On June 27, 2014, Navios Holdings refinanced the existing facility, adding a new tranche for an amount of $30.0 million in order to finance the acquisition of a Capesize vessel, which was delivered in June 2014. On November 12, 2019, Navios Holdings amended this facility agreement with DVB Bank SE in order to extend the maturity of the outstanding balance originally due in the first and second quarter of 2020 for one year, to June 2021 and released from collateral one Handysize vessel which was substituted by one Panamax vessel. The facility bears interest at a rate of LIBOR plus 293</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20"/>
          </w:cols>
          <w:pgMar w:left="320" w:top="459" w:right="4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57" w:lineRule="auto"/>
        <w:rPr>
          <w:sz w:val="20"/>
          <w:szCs w:val="20"/>
          <w:color w:val="auto"/>
        </w:rPr>
      </w:pPr>
      <w:r>
        <w:rPr>
          <w:rFonts w:ascii="Arial" w:cs="Arial" w:eastAsia="Arial" w:hAnsi="Arial"/>
          <w:sz w:val="18"/>
          <w:szCs w:val="18"/>
          <w:color w:val="auto"/>
        </w:rPr>
        <w:t>basis points. During September 2020, the Company completed the sale of the Panamax vessel and the Capesize vessel which were released from collaterals and prepaid the amount of $33.0 million for the satisfaction of the first and the third tranche of the facility. As of December 31, 2020, the second tranche is repayable in two quarterly installments of $0.3 million, with a final balloon payment of $4.0 million on the last repayment date. The loan facility requires compliance with certain financial covenants. As of December 31, 2020, the total outstanding amount was $4.5 million and was repaid in full in the first quarter of 2021.</w:t>
      </w:r>
    </w:p>
    <w:p>
      <w:pPr>
        <w:spacing w:after="0" w:line="188"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In September 2013, Navios Holdings entered into a facility agreement with DVB Bank SE for an amount of up to $40.0 million in order to finance the acquisition of four Panamax vessels, delivered in August and September 2013. The facility bore interest at a rate of LIBOR plus 325 basis points. In December 2017, Navios Holdings entered into a facility agreement with DVB Bank SE in order to extend the maturity of the outstanding balance originally due by September 2018 for three years, to September 2021. During 2019, Navios Holdings partially prepaid the indebtedness originally maturing in the third quarter of 2021 and released from collateral two Panamax vessels. In the first quarter of 2020, the outstanding amount of $5.6 million was repaid in full and there was no outstanding balance as of December 31, 2020.</w:t>
      </w:r>
    </w:p>
    <w:p>
      <w:pPr>
        <w:spacing w:after="0" w:line="178"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In January 2016, Navios Holdings entered into a facility agreement with DVB Bank SE for an amount of up to $41.0 million, to be drawn in two tranches, to finance the acquisition of one newbuilding Panamax vessel and one newbuilding Capesize vessel. The facility bore interest at a rate of LIBOR plus 255 basis points. The total amount drawn under the facility was $39.9 million. During August 2018, the Company completed the sale of the two vessels and repaid in full the two tranches of the facility, which had a total outstanding balance of $31.8 million.</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 xml:space="preserve">Alpha Bank A.E.: </w:t>
      </w:r>
      <w:r>
        <w:rPr>
          <w:rFonts w:ascii="Arial" w:cs="Arial" w:eastAsia="Arial" w:hAnsi="Arial"/>
          <w:sz w:val="17"/>
          <w:szCs w:val="17"/>
          <w:color w:val="auto"/>
        </w:rPr>
        <w:t>On November 6, 2014, Navios Holdings entered into a facility agreement with Alpha Bank A.E. for an amount of up to</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$31.0 million in order to finance part of the acquisition of a Capesize vessel. The loan bears interest at a rate of LIBOR plus 300 basis points. As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December 31, 2020, the facility is repayable in eight quarterly installments of $0.5 million, with a final balloon payment of $16.6 million on the last</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repayment date. The loan facility requires compliance with certain financial covenants. As of December 31, 2020, the outstanding amount was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$20.2 million. In March 2021, the Company entered into supplemental agreement with Alpha Bank A.E. according to which certain covenants and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repayment schedule has been amended. The maturity of the facility is due in June 2021.</w:t>
      </w:r>
    </w:p>
    <w:p>
      <w:pPr>
        <w:spacing w:after="0" w:line="211"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On November 3, 2016, Navios Holdings entered into a facility agreement with Alpha Bank A.E. for an amount of up to $16.1 million in order to refinance one Capesize vessel. The facility bears interest at a rate of LIBOR plus 300 basis points. As of December 31, 2020, the facility is repayable in eight quarterly installments of $0.3 million each, with a final balloon payment of $10.7 million payable on the last repayment date. The loan facility requires compliance with certain financial covenants. As of December 31, 2020, the outstanding amount was $12.9 million. In March 2021, the Company entered into supplemental agreement with Alpha Bank A.E. according to which certain covenants and the repayment schedule has been amended. The maturity of the facility is due in June 2021.</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facilities are secured by first priority mortgages on certain of Navios Holdings’ vessels and other collateral.</w:t>
      </w:r>
    </w:p>
    <w:p>
      <w:pPr>
        <w:spacing w:after="0" w:line="225" w:lineRule="exact"/>
        <w:rPr>
          <w:sz w:val="20"/>
          <w:szCs w:val="20"/>
          <w:color w:val="auto"/>
        </w:rPr>
      </w:pPr>
    </w:p>
    <w:p>
      <w:pPr>
        <w:ind w:left="120" w:right="80" w:firstLine="440"/>
        <w:spacing w:after="0" w:line="289" w:lineRule="auto"/>
        <w:rPr>
          <w:sz w:val="20"/>
          <w:szCs w:val="20"/>
          <w:color w:val="auto"/>
        </w:rPr>
      </w:pPr>
      <w:r>
        <w:rPr>
          <w:rFonts w:ascii="Arial" w:cs="Arial" w:eastAsia="Arial" w:hAnsi="Arial"/>
          <w:sz w:val="16"/>
          <w:szCs w:val="16"/>
          <w:color w:val="auto"/>
        </w:rPr>
        <w:t>The credit facilities contain a number of restrictive covenants that limit Navios Holdings and/or certain of its subsidiaries from, among other things: incurring or guaranteeing indebtedness; entering into affiliate transactions; charging, pledging or encumbering the vessels securing such facilities; changing the flag, class, management or ownership of certain Navios Holdings’ vessels; changing the commercial and technical management of certain Navios Holdings’ vessels; selling or changing the ownership of certain Navios Holdings’ vessels; and subordinating the obligations under the credit facilities to any general and administrative costs relating to the vessels. The credit facilities also require the vessels to comply with the ISM Code and ISPS Code and to maintain valid safety management certificates and documents of compliance at all times. Additionally, the credit facilities require compliance with the covenants contained in the indentures governing the 2022 Senior Secured Notes, the 2022 Notes and the 2024 Notes (as defined herein). Among other events, it will be an event of default under the credit facilities if the financial covenants are not complied with or if Angeliki Frangou and her affiliate companies, together, own less than 20% of the outstanding share capital of Navios Holdings.</w:t>
      </w:r>
    </w:p>
    <w:p>
      <w:pPr>
        <w:spacing w:after="0" w:line="166"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The Company’s secured credit facilities require compliance with maintenance covenants, including (i) value-to-loan ratio covenants, based on charter-free valuations, ranging from over 120% to 135%, (ii) minimum liquidity up to a maximum of $30.0 million, and (iii) net total debt divided by total assets, as defined in each secured credit facility, ranging from a maximum of 75% to 80%. Certain covenants in our secured credit facilities have been amended for a specific period to increase the covenant levels for the applicable net total debt divided by total assets maintenance covenants, as defined in each secured credit facility, to a maximum of 90%.</w:t>
      </w:r>
    </w:p>
    <w:p>
      <w:pPr>
        <w:spacing w:after="0" w:line="188" w:lineRule="exact"/>
        <w:rPr>
          <w:sz w:val="20"/>
          <w:szCs w:val="20"/>
          <w:color w:val="auto"/>
        </w:rPr>
      </w:pPr>
    </w:p>
    <w:p>
      <w:pPr>
        <w:ind w:left="120" w:right="760" w:firstLine="440"/>
        <w:spacing w:after="0" w:line="277" w:lineRule="auto"/>
        <w:rPr>
          <w:sz w:val="20"/>
          <w:szCs w:val="20"/>
          <w:color w:val="auto"/>
        </w:rPr>
      </w:pPr>
      <w:r>
        <w:rPr>
          <w:rFonts w:ascii="Arial" w:cs="Arial" w:eastAsia="Arial" w:hAnsi="Arial"/>
          <w:sz w:val="18"/>
          <w:szCs w:val="18"/>
          <w:color w:val="auto"/>
        </w:rPr>
        <w:t>The Company has either repaid the credit facilities or received waivers of the covenants under each of the credit facilities, which remain outstanding as of the date of this filing.</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NSM Loan</w:t>
      </w:r>
    </w:p>
    <w:p>
      <w:pPr>
        <w:spacing w:after="0" w:line="121"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On August 29, 2019, Navios Holdings entered into a secured loan agreement of $141.8 million (including post-closing adjustments) with Navios Shipmanagement Holdings Corporation. During 2019, Navios Holdings repaid the amount of $13.4 million under the terms of this facility. During 2020, Navios Holdings repaid the amount of $50.0 million under the terms of this facility. As of December 31, 2020, the total outstanding balance of this facility amounted to $78.9 million, including $0.5 million of accrued interest. Please see also Note 16 included elsewhere in this Annual Report.</w:t>
      </w:r>
    </w:p>
    <w:p>
      <w:pPr>
        <w:sectPr>
          <w:pgSz w:w="11900" w:h="16838" w:orient="portrait"/>
          <w:cols w:equalWidth="0" w:num="1">
            <w:col w:w="11120"/>
          </w:cols>
          <w:pgMar w:left="320" w:top="459" w:right="459" w:bottom="1440" w:gutter="0" w:footer="0" w:header="0"/>
        </w:sectPr>
      </w:pP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uto"/>
        </w:rPr>
        <w:t>115</w:t>
      </w:r>
    </w:p>
    <w:p>
      <w:pPr>
        <w:sectPr>
          <w:pgSz w:w="11900" w:h="16838" w:orient="portrait"/>
          <w:cols w:equalWidth="0" w:num="1">
            <w:col w:w="11120"/>
          </w:cols>
          <w:pgMar w:left="320" w:top="459" w:right="459" w:bottom="1440" w:gutter="0" w:footer="0" w:header="0"/>
          <w:type w:val="continuous"/>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$50.0 million NSM Loan</w:t>
      </w:r>
    </w:p>
    <w:p>
      <w:pPr>
        <w:spacing w:after="0" w:line="121"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color w:val="auto"/>
        </w:rPr>
        <w:t>In June 2020, Navios Holdings entered into a secured loan agreement with Navios Shipmanagement Holdings Corporation (“$50.0 million NSM Loan”) for a loan of up to $50.0 million to be used for general corporate purposes. As of December 31, 2020, the total outstanding balance of this facility amounted to $50.3 million, including $0.3 million of accrued interest. Please see also Note 16 included elsewhere in this Annual Report.</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 and Leaseback Agreements</w:t>
      </w:r>
    </w:p>
    <w:p>
      <w:pPr>
        <w:spacing w:after="0" w:line="121"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In the first quarter of 2020, the Company entered into two sale and leaseback agreements of $68.0 million in total, with unrelated third parties for two Capesize vessels (the “Sale and Leaseback Agreements”). Navios Holdings has no purchase obligation to acquire the vessels at the end of the lease term, however, it is reasonably certain that respective purchase options will be exercised and under ASC 842-40, the transfer of the vessels was determined to be a failed sale. In accordance with ASC 842-40, the Company did not derecognize the respective vessels from its balance sheet and accounted for the amounts received under the Sale and Leaseback Agreements as a financial liability.</w:t>
      </w:r>
    </w:p>
    <w:p>
      <w:pPr>
        <w:spacing w:after="0" w:line="176"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Sale and Leaseback Agreements are repayable by 144 consecutive monthly payments of approximately $0.2 million each, commencing as of January 2020 and March 2020, respectively. As of December 31, 2020, the outstanding balance under the Sale and Leaseback Agreements of the two Capesize vessels was $62.9 million in total. The agreements mature in the fourth quarter of 2031 and first quarter of 2032, respectively, with a balloon payment of $0.8 million per vessel on the last repayment date.</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Sale and Leaseback Agreements have no financial covenants.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Navios Logistics Debt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2022 Logistics Senior Notes</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On April 22, 2014, Navios Logistics and its wholly-owned subsidiary Navios Logistics Finance (US) Inc. (“Logistics Finance” and, together with Navios Logistics (the “Logistics Co-Issuers”) issued $375.0 million in aggregate principal amount of its Senior Notes due on May 1, 2022 (the “2022 Logistics Senior Notes”), at a fixed rate of 7.25%. The 2022 Logistics Senior Notes were unregistered were fully and unconditionally guaranteed, jointly and severally, by all of Navios Logistics’ direct and indirect subsidiaries except for Horamar do Brasil Navegaçăo Ltda (“Horamar do Brasil”), Naviera Alto Parana S.A. (“Naviera Alto Parana”) and Terra Norte Group S.A. (“Terra Norte”), which were deemed to be immaterial, and Logistics Finance, which was the co-issuer of the 2022 Logistics Senior Notes. The subsidiary guarantees were “full and unconditional” except that the indenture provides for an individual subsidiary’s guarantee to be automatically released in certain customary circumstances, such as in connection with a sale or other disposition of all or substantially all of the assets of the subsidiary, in connection with the sale of a majority of the capital stock of the subsidiary, if the subsidiary was designated as an “unrestricted subsidiary” in accordance with the indenture, upon liquidation or dissolution of the subsidiary or upon legal or covenant defeasance or satisfaction and discharge of the 2022 Logistics Senior Notes. The 2022 Logistics Senior Notes were redeemed in full on July 16, 2020 at 100% of their face amount, plus accrued and unpaid interest to the redemption date with the proceeds of the Logistics Co-Issuer’s $500.0 million of the 2025 Logistics Senior Notes. Following this transaction, Navios Logistics recognized a loss of $2.7 million relating to the accelerated amortization of the unamortized deferred financing costs and is included in the consolidated statements of comprehensive (loss)/income within the caption “Gain on bond and debt extinguishment, net”.</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2025 Logistics Senior Notes</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On July 8, 2020, Navios Logistics and its wholly-owned subsidiary Logistics Finance issued $500.0 million in aggregate principal amount of senior secured Notes due on July 1, 2025, at a fixed rate of 10.75%. The net proceeds from the offering of the 2025 Logistics Senior Notes, amounting to $487.5 million, were used to satisfy and discharge the indenture governing the 2022 Logistics Senior Notes, amounting to $375.0 million, to repay all amounts outstanding under the Navios Logistics’ Term Loan B Facility, amounting to $97.5 million and to pay certain fees and expenses related to the offering, with the balance to be used for general corporate purposes.</w:t>
      </w:r>
    </w:p>
    <w:p>
      <w:pPr>
        <w:spacing w:after="0" w:line="188"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On or after August 1, 2022, the Logistics Co-Issuers may redeem some or all of the 2025 Logistics Senior Notes at the redemption prices set forth in the indenture governing the 2025 Logistics Senior Notes. In addition, before August 1, 2022, the Logistics Co-Issuers may redeem up to 35% of the aggregate principal amount of the 2025 Logistics Senior Notes at a price equal to 110.750% of the principal amount of the 2025 Logistics Senior Notes to be redeemed plus accrued and unpaid interest, if any, to the redemption date with an amount equal to the net cash proceeds of one or more equity offerings so long as at least 50% of the originally issued aggregate principal amount of the 2025 Logistics Senior Notes remains outstanding. Prior to August 1, 2022, the Logistics Co-Issuers may also redeem all or a part of the 2025 Logistics Senior Notes at a redemption price equal to the sum of: (a) 100% of the principal amount of the 2025 Logistics Senior Notes to be redeemed; plus (b) the applicable “make-whole” premium</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20"/>
          </w:cols>
          <w:pgMar w:left="320" w:top="459" w:right="4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described in the Indenture governing the 2025 Logistics Senior Notes, plus (c) accrued and unpaid interest, if any, on the 2025 Logistics Senior Notes to be redeemed, to (but excluding) the applicable redemption date, subject to the right of holders of notes on the relevant record date to receive interest due on all the relevant interest payment date. The Logistics Co-Issuers may also redeem all, but not less than all, of the 2025 Logistics Senior Notes at a price equal to 100% of the principal amount plus accrued and unpaid interest, if any, upon certain changes in law that would trigger the payment of withholding taxes. Furthermore, upon the occurrence of certain change of control events, the Logistics Co-Issuers may be required to offer to purchase 2025 Logistics Senior Notes from holders at a price equal to 100% of the principal amount plus accrued and unpaid interest, if any.</w:t>
      </w:r>
    </w:p>
    <w:p>
      <w:pPr>
        <w:spacing w:after="0" w:line="164"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The 2025 Logistics Senior Notes are senior secured obligations of the Logistics Co-Issuers and rank equal in right of payment to all of their existing and future senior indebtedness and senior in right of payment to all of their future subordinated indebtedness. The 2025 Logistics Senior Notes are fully and unconditionally guaranteed, jointly and severally, by all of the Navios Logistics’ direct and indirect subsidiaries, other than the Logistics Co-Issuer and Grimaud Ventures S.A.. The 2025 Logistics Senior Notes are secured by (i) first priority ship mortgages on four tanker vessels servicing the Navios Logistics’ cabotage business (the (1) Elena H, (2) Makenita H, (3) Sara H and (4) He Man H) owned by certain subsidiary guarantors (such guarantors, the “Mortgaged Vessel Guarantors”) and related assignments of earnings and insurance together with a first priority lien on the capital stock of each Mortgaged Vessel Guarantor; and (ii) an assignment by way of security of the Vale port contract (collectively, the “Collateral”). The 2025 Logistics Senior Notes will be effectively senior to all existing and future obligations of the subsidiary guarantors that own Collateral to the extent of the value of the Collateral but effectively junior to any existing and future secured obligations of the Logistics Co-Issuers and the subsidiary guarantors that are secured by assets other than the Collateral to the extent of the value of any assets securing such other obligations. The indenture governing the 2025 Logistics Senior Notes contains restrictive covenants that limit, among other things, the ability of the Logistics Co-Issuers and their subsidiaries to incur additional indebtedness, pay dividends and make distributions on common and preferred stock, make other restricted payments, make investments, incur liens, consolidate, merge, sell or otherwise dispose of all or substantially all of their assets and enter into certain transactions with affiliates, in each case, subject to exclusions, and other customary covenants. The indenture governing the 2025 Logistics Senior Notes also contains customary events of default.</w:t>
      </w:r>
    </w:p>
    <w:p>
      <w:pPr>
        <w:spacing w:after="0" w:line="18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Logistics Co-Issuers were in compliance with the covenants as of December 31, 2020.</w:t>
      </w:r>
    </w:p>
    <w:p>
      <w:pPr>
        <w:spacing w:after="0" w:line="225"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As of December 31, 2020, deferred financing costs associated with the 2025 Logistics Senior Notes amounted to $19.4 million. Interest expense associated with the 2025 Logistics Senior Notes amounted to $26.0 million for the year ended December 31, 2020.</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Navios Logistics Notes Payable</w:t>
      </w:r>
    </w:p>
    <w:p>
      <w:pPr>
        <w:spacing w:after="0" w:line="117" w:lineRule="exact"/>
        <w:rPr>
          <w:sz w:val="20"/>
          <w:szCs w:val="20"/>
          <w:color w:val="auto"/>
        </w:rPr>
      </w:pPr>
    </w:p>
    <w:p>
      <w:pPr>
        <w:ind w:left="120" w:right="180" w:firstLine="440"/>
        <w:spacing w:after="0" w:line="272" w:lineRule="auto"/>
        <w:rPr>
          <w:sz w:val="20"/>
          <w:szCs w:val="20"/>
          <w:color w:val="auto"/>
        </w:rPr>
      </w:pPr>
      <w:r>
        <w:rPr>
          <w:rFonts w:ascii="Arial" w:cs="Arial" w:eastAsia="Arial" w:hAnsi="Arial"/>
          <w:sz w:val="17"/>
          <w:szCs w:val="17"/>
          <w:color w:val="auto"/>
        </w:rPr>
        <w:t>In connection with the purchase of mechanical equipment for the expansion of its dry port terminal, CNSA entered into an unsecured export financing line of credit for a total amount of $42.0 million, including all related fixed financing costs of $5.9 million, available in multiple drawings upon the completion of certain milestones (“Drawdown Events”). CNSA incurs the obligation for the respective amount drawn by signing promissory notes (“Navios Logistics Notes Payable”). Each drawdown is repayable in 16 consecutive semi-annual installments, starting six months after the completion of each Drawdown Event. Together with each Navios Logistics Notes Payable, CNSA shall pay interest equal to six-month LIBOR. The unsecured export financing line is fully and unconditionally guaranteed by Ponte Rio S.A. As of December 31, 2020, Navios Logistics had drawn the total available amount and the outstanding balance of Navios Logistics Notes Payable was $17.8 million.</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Navios Logistics BBVA Loan Facility and Navios Logistics New BBVA Loan Facility</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On December 15, 2016, Navios Logistics entered into a $25.0 million facility with Banco Bilbao Vizcaya Argentaria Uruguay S.A. (“BBVA”), for general corporate purposes (the “Navios Logistics BBVA Loan Facility”). The loan bore interest at a rate of LIBOR (180 days) plus 325 basis points. The loan was repayable in 20 quarterly installments, the first payment of which was due on June 19, 2017, and secured by assignments of certain receivables. On July 8, 2020, this loan was repaid in full in connection with drawing the Navios Logistics New BBVA Loan Facility. On February 28, 2020, Navios Logistics entered into a $25.0 million loan facility (the “Navios Logistics New BBVA Loan Facility”) with BBVA, which was drawn on July 8, 2020. The Navios Logistics New BBVA Loan Facility was used to repay the Navios Logistics BBVA Loan Facility, and for general corporate purposes. The Navios Logistics New BBVA Loan Facility bears interest at a rate of LIBOR (180 days) plus 325 basis points, is repayable in quarterly installments with final maturity on March 31, 2022 and is secured by assignments of certain receivables. As at December 31, 2020 the outstanding amount of the Navios Logistics New BBVA Loan Facility was $22.0 million.</w:t>
      </w:r>
    </w:p>
    <w:p>
      <w:pPr>
        <w:spacing w:after="0" w:line="181" w:lineRule="exact"/>
        <w:rPr>
          <w:sz w:val="20"/>
          <w:szCs w:val="20"/>
          <w:color w:val="auto"/>
        </w:rPr>
      </w:pPr>
    </w:p>
    <w:p>
      <w:pPr>
        <w:jc w:val="center"/>
        <w:ind w:left="480" w:right="400"/>
        <w:spacing w:after="0" w:line="449" w:lineRule="auto"/>
        <w:rPr>
          <w:sz w:val="20"/>
          <w:szCs w:val="20"/>
          <w:color w:val="auto"/>
        </w:rPr>
      </w:pPr>
      <w:r>
        <w:rPr>
          <w:rFonts w:ascii="Arial" w:cs="Arial" w:eastAsia="Arial" w:hAnsi="Arial"/>
          <w:sz w:val="18"/>
          <w:szCs w:val="18"/>
          <w:color w:val="auto"/>
        </w:rPr>
        <w:t>Navios Logistics was in compliance with the covenants set forth in the Navios Logistics New BBVA Loan Facility as of December 31, 2020. 117</w:t>
      </w:r>
    </w:p>
    <w:p>
      <w:pPr>
        <w:sectPr>
          <w:pgSz w:w="11900" w:h="16838" w:orient="portrait"/>
          <w:cols w:equalWidth="0" w:num="1">
            <w:col w:w="11100"/>
          </w:cols>
          <w:pgMar w:left="320" w:top="459" w:right="4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Navios Logistics Alpha Bank Loan</w:t>
      </w:r>
    </w:p>
    <w:p>
      <w:pPr>
        <w:spacing w:after="0" w:line="11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On May 18, 2017, Navios Logistics entered into a $14.0 million term loan facility in order to finance the acquisition of two product tankers (“Navios Logistics Alpha Bank Loan”). The Navios Logistics Alpha Bank Loan bears interest at a rate of LIBOR (90 days) plus 315 basis points and is repayable in 20 quarterly installments with a final balloon payment of $7.0 million on the last repayment date. As of December 31, 2020, the outstanding amount of the loan was $9.1 million.</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Navios Logistics was in compliance with the covenants set forth in the Navios Logistics Alpha Bank Loan as of December 31, 2020.</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Navios Logistics Credit Agreement</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On August 17, 2018, Navios Logistics entered into a $7.6 million (€6.2 million) credit agreement in order to finance the 50% of the purchase price of a river and estuary tanker. The credit agreement bore interest at a fixed rate of 675 basis points and was repayable in 24 monthly installments with the final repayment in August 17, 2020. On August 26, 2019, Navios Logistics prepaid the total outstanding balance of the credit agreement, which was $3.8 million (€3.1 million).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Navios Logistics Term Loan B Facility</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On November 3, 2017, Navios Logistics and Logistics Finance, as co-borrowers, completed the issuance of a $100.0 million Term Loan B Facility (the “Navios Logistics Term Loan B Facility”). The Navios Logistics Term Loan B Facility bore an interest rate of LIBOR plus 475 basis points and has a four-year term with 1.0% amortization per annum. The Navios Logistics Term Loan B Facility was repaid in full on July 8, 2020 at par plus accrued and unpaid interest to the repayment date with the proceeds of the 2025 Logistics Senior Notes. Following this transaction, Navios Logistics recognized a loss of $1.5 million relating to the accelerated amortization of the unamortized deferred financing costs and is included in the consolidated statements of comprehensive (loss)/income within the caption “Gain on bond and debt extinguishment, net”.</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Seller’s Credit Agreement for the construction of six liquid barges</w:t>
      </w:r>
    </w:p>
    <w:p>
      <w:pPr>
        <w:spacing w:after="0" w:line="117"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7"/>
          <w:szCs w:val="17"/>
          <w:color w:val="auto"/>
        </w:rPr>
        <w:t>In December 2020, Navios Logistics entered into a $13.5 million seller’s credit agreement for the construction of six liquid barges to be made available by way of credit in six equal tranches. Each drawdown is repayable in 20 quarterly installments starting from the delivery of each barge. The seller’s credit for the construction of the six liquid barges bears interest at a fixed rate of 8.5%. As of December 31, 2020, Navios Logistics had drawn $11.2 million and the outstanding balance was $11.0 million. Interest expense associated with the seller’s credit agreement for the construction of six liquid barges amounted to $0.2 million for the year ended December 31, 2020.</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Navios Logistics Other long-term loans</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In connection with the acquisition of Hidronave S.A. on October 29, 2009, Navios Logistics assumed a $0.8 million loan facility that was entered into by Hidronave S.A. in 2001, in order to finance the construction of the pushboat Nazira. The loan facility bears interest at a fixed rate of 600 basis points. The loan is repayable in monthly installments and the final repayment must occur prior to August 10, 2021. As of December 31, 2020, the outstanding loan balance was less than $0.1 million.</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Navios Logistics was in compliance with all the covenants set forth in this facility as of December 31, 2020.</w:t>
      </w:r>
    </w:p>
    <w:p>
      <w:pPr>
        <w:spacing w:after="0" w:line="225"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During the year ended December 31, 2020, the Company in relation to its secured credit facilities paid $28.6 million related to scheduled repayment installments, $38.6 million related to the prepayment of two of Navios Holdings’ credit facilities and $97.5 million related to the prepayment of Navios Logistics’ Term Loan B Facility. During the year ended December 31, 2020, the proceeds from the Sale and Leaseback Agreements for Navios Holdings were $66.9 million, net of deferred financing costs, the proceeds from the New BBVA Facility were $13.6 million and the proceeds from Seller’s Credit Agreement for the construction of six liquid barges were $11.2 million.</w:t>
      </w:r>
    </w:p>
    <w:p>
      <w:pPr>
        <w:spacing w:after="0" w:line="176"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annual weighted average interest rates of the Company’s total borrowings were 7.89%, 7.70% and 7.78% for the years ended December 31, 2020, 2019 and 2018, respectively.</w:t>
      </w:r>
    </w:p>
    <w:p>
      <w:pPr>
        <w:spacing w:after="0" w:line="170"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The maturity table below reflects the principal payments for the next five years and thereafter of all borrowings of Navios Holdings (including Navios Logistics) outstanding as of December 31, 2020, based on the repayment schedules of the respective loan facilities and the outstanding amount due under the debt securities.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20"/>
          </w:cols>
          <w:pgMar w:left="320" w:top="459" w:right="4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 in</w:t>
            </w:r>
          </w:p>
        </w:tc>
        <w:tc>
          <w:tcPr>
            <w:tcW w:w="0" w:type="dxa"/>
            <w:vAlign w:val="bottom"/>
          </w:tcPr>
          <w:p>
            <w:pPr>
              <w:spacing w:after="0"/>
              <w:rPr>
                <w:sz w:val="1"/>
                <w:szCs w:val="1"/>
                <w:color w:val="auto"/>
              </w:rPr>
            </w:pPr>
          </w:p>
        </w:tc>
      </w:tr>
      <w:tr>
        <w:trPr>
          <w:trHeight w:val="148"/>
        </w:trPr>
        <w:tc>
          <w:tcPr>
            <w:tcW w:w="6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Year</w:t>
            </w:r>
          </w:p>
        </w:tc>
        <w:tc>
          <w:tcPr>
            <w:tcW w:w="7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w w:val="99"/>
              </w:rPr>
              <w:t>millions of</w:t>
            </w:r>
          </w:p>
        </w:tc>
        <w:tc>
          <w:tcPr>
            <w:tcW w:w="0" w:type="dxa"/>
            <w:vAlign w:val="bottom"/>
          </w:tcPr>
          <w:p>
            <w:pPr>
              <w:spacing w:after="0"/>
              <w:rPr>
                <w:sz w:val="1"/>
                <w:szCs w:val="1"/>
                <w:color w:val="auto"/>
              </w:rPr>
            </w:pPr>
          </w:p>
        </w:tc>
      </w:tr>
      <w:tr>
        <w:trPr>
          <w:trHeight w:val="158"/>
        </w:trPr>
        <w:tc>
          <w:tcPr>
            <w:tcW w:w="6720" w:type="dxa"/>
            <w:vAlign w:val="bottom"/>
            <w:gridSpan w:val="3"/>
            <w:vMerge w:val="continue"/>
          </w:tcPr>
          <w:p>
            <w:pPr>
              <w:spacing w:after="0"/>
              <w:rPr>
                <w:sz w:val="13"/>
                <w:szCs w:val="13"/>
                <w:color w:val="auto"/>
              </w:rPr>
            </w:pPr>
          </w:p>
        </w:tc>
        <w:tc>
          <w:tcPr>
            <w:tcW w:w="76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w w:val="96"/>
              </w:rPr>
              <w:t>U.S. dollars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Borders>
              <w:bottom w:val="single" w:sz="8" w:color="CCEEFF"/>
            </w:tcBorders>
            <w:shd w:val="clear" w:color="auto" w:fill="000000"/>
          </w:tcPr>
          <w:p>
            <w:pPr>
              <w:spacing w:after="0" w:line="20" w:lineRule="exact"/>
              <w:rPr>
                <w:sz w:val="1"/>
                <w:szCs w:val="1"/>
                <w:color w:val="auto"/>
              </w:rPr>
            </w:pPr>
          </w:p>
        </w:tc>
        <w:tc>
          <w:tcPr>
            <w:tcW w:w="6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67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2021(including total accrued interest of $0.9 million of NSM Loan &amp; $50.0 million</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NSM Loan)</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592.2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2026 and thereafter</w:t>
            </w:r>
          </w:p>
        </w:tc>
        <w:tc>
          <w:tcPr>
            <w:tcW w:w="1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6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3"/>
              </w:rPr>
              <w:t>1,612.7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Working Capital Position and bond maturities:</w:t>
      </w:r>
    </w:p>
    <w:p>
      <w:pPr>
        <w:spacing w:after="0" w:line="121"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As of December 31, 2020, Navios Holdings’ current assets totaled $194.9 million, while current liabilities excluding operating lease liabilities, current portion totaled $511.4 million, resulting in a negative working capital position of $316.5 million, primarily related to the classification as current of our $305.0 million of the 2022 Senior Secured Notes and balloon payments. Under the terms of the 2022 Senior Secured Notes, Navios Holdings has an obligation to make a springing maturity offer in September 2021 to repurchase those notes at par unless certain conditions relating to the refinancing of the 2022 Notes are met. In October 2020, Navios Holdings entered into the Sixth Supplemental Indenture which, among other things, eliminates Navios Holdings’ obligation to make a springing maturity offer subject to the occurrence of a Qualified IPO (as defined in the Sixth Supplemental Indenture) of Navios Logistics. There can be no assurance that a Qualified IPO will occur prior to the springing maturity date, or at all. Furthermore, we had $476.8 million of 2022 Notes outstanding as of December 31, 2020 maturing in January 2022.</w:t>
      </w:r>
    </w:p>
    <w:p>
      <w:pPr>
        <w:spacing w:after="0" w:line="165"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Although Navios Holdings is currently attempting to address these upcoming maturities and create additional liquidity to fund working capital requirements through a Qualified IPO of Navios Logistics, the sale of assets and refinancing plans, there can be no assurance it will be successful in such attempts or that any such attempts will be consummated on terms satisfactory to us, or at all. Therefore, there is substantial doubt about the Company’s ability to continue as a going concern for the 12 month period from the date of issuance of these consolidated financial statements. In the meantime, Navios Holdings’ internal forecasts and projections indicate that the Company will generate sufficient cash to make the required principal and interest payments on its borrowings (excluding the above upcoming maturities) and provide for the normal working capital requirements of the business for a period of at least 12 months from the date of issuance of these consolidated financial statements. The consolidated financial statements do not include any adjustments that might result from the outcome of these uncertainties.</w:t>
      </w:r>
    </w:p>
    <w:p>
      <w:pPr>
        <w:spacing w:after="0" w:line="174" w:lineRule="exact"/>
        <w:rPr>
          <w:sz w:val="20"/>
          <w:szCs w:val="20"/>
          <w:color w:val="auto"/>
        </w:rPr>
      </w:pPr>
    </w:p>
    <w:p>
      <w:pPr>
        <w:ind w:left="120" w:firstLine="440"/>
        <w:spacing w:after="0" w:line="258" w:lineRule="auto"/>
        <w:rPr>
          <w:sz w:val="20"/>
          <w:szCs w:val="20"/>
          <w:color w:val="auto"/>
        </w:rPr>
      </w:pPr>
      <w:r>
        <w:rPr>
          <w:rFonts w:ascii="Arial" w:cs="Arial" w:eastAsia="Arial" w:hAnsi="Arial"/>
          <w:sz w:val="18"/>
          <w:szCs w:val="18"/>
          <w:b w:val="1"/>
          <w:bCs w:val="1"/>
          <w:color w:val="auto"/>
        </w:rPr>
        <w:t xml:space="preserve">Capital Expenditures: </w:t>
      </w:r>
      <w:r>
        <w:rPr>
          <w:rFonts w:ascii="Arial" w:cs="Arial" w:eastAsia="Arial" w:hAnsi="Arial"/>
          <w:sz w:val="18"/>
          <w:szCs w:val="18"/>
          <w:color w:val="auto"/>
        </w:rPr>
        <w:t>In December 2017, Navios Holdings agreed to charter-in, under a ten year bareboat contract, from an unrelated third party</w:t>
      </w:r>
      <w:r>
        <w:rPr>
          <w:rFonts w:ascii="Arial" w:cs="Arial" w:eastAsia="Arial" w:hAnsi="Arial"/>
          <w:sz w:val="18"/>
          <w:szCs w:val="18"/>
          <w:b w:val="1"/>
          <w:bCs w:val="1"/>
          <w:color w:val="auto"/>
        </w:rPr>
        <w:t xml:space="preserve"> </w:t>
      </w:r>
      <w:r>
        <w:rPr>
          <w:rFonts w:ascii="Arial" w:cs="Arial" w:eastAsia="Arial" w:hAnsi="Arial"/>
          <w:sz w:val="18"/>
          <w:szCs w:val="18"/>
          <w:color w:val="auto"/>
        </w:rPr>
        <w:t>the Navios Galaxy II, a newbuilding bulk carrier vessel of 81,789 dwt. On March 30, 2020, Navios Holdings took delivery of the Navios Galaxy II. The Company has agreed to pay in total $5.4 million representing a deposit for the option to acquire the vessel, of which $2.7 million was paid during the year ended December 31, 2019. As of December 31, 2020, the total amount of $6.7 million, including expenses and interest, is presented within the caption “Other long-term assets”.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January 2018, Navios Holdings agreed to charter-in, under two ten-year bareboat contracts, from an unrelated third party the Navios Herakles I</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and the Navios Uranus, two newbuilding bulk carriers of 82,036 dwt and 81,516 dwt, respectively. On August 28, 2019 Navios Holdings took delivery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of the Navios Herakles I. On November 28, 2019 Navios Holdings took delivery of the Navios Uranus. Navios Holdings has agreed to pay in total</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$11.1 million, representing a deposit for the option to acquire these vessels, of which $8.3 million was paid during the year ended December 31, 2018</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and the remaining $2.8 million was paid during the year ended December 31, 2019. As of December 31, 2020, the total amount of $14.1 million,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including expenses and interest, is presented within the caption “Other long-term assets”.</w:t>
      </w:r>
    </w:p>
    <w:p>
      <w:pPr>
        <w:spacing w:after="0" w:line="21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April 2018, Navios Holdings agreed to charter-in, under one ten-year bareboat contract, from an unrelated third party the Navios Felicity I, a newbuilding bulk carrier of 81,946 dwt. On January 17, 2020 Navios Holdings took delivery of the Navios Felicity I. Navios Holdings has agreed to pay in total $5.6 million, representing a deposit for the option to acquire this vessel, of which $2.3 million was paid during the year ended December 31, 2018 and the remaining $2.8 million was paid during the year ended December 31, 2019. As of December 31, 2020, the total amount of $7.2 million, expenses and interest, is presented within the caption “Other long-term assets”.</w:t>
      </w:r>
    </w:p>
    <w:p>
      <w:pPr>
        <w:spacing w:after="0" w:line="188"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In October 2018, Navios Holdings agreed to charter-in, under one ten-year bareboat contract, from an unrelated third party the Navios Magellan II, a newbuilding bulk carrier of 82,037 dwt. On May 15, 2020, Navios Holdings took delivery of the Navios Magellan II. Navios Holdings has agreed to pay in total $5.8 million, representing a deposit for the option to acquire this vessel, of which $2.9 million was paid during the year ended December 31, 2018 and the remaining $2.9 million was paid during the year ended December 31, 2019. As of December 31, 2020, the total amount of $7.5 million, including expenses and interest, is presented within the caption “Other long-term assets”.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00"/>
          </w:cols>
          <w:pgMar w:left="320" w:top="459" w:right="47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Navios Logistics</w:t>
      </w:r>
    </w:p>
    <w:p>
      <w:pPr>
        <w:spacing w:after="0" w:line="117"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Since 2018, Navios Logistics acquired approximately 6.6 hectares of undeveloped land located in the Port Murtinho region Brazil, and on March 24, 2021 acquired 2.3 additional hectares. Navios Logistics plans to develop this land for its port operations. As of December 31, 2020, Navios Logistics had paid $2.1 million for the land acquisition and capitalized expenses for the development of its port operations and its planned investment for this project is approximately $35 million (Navios Logistics currently has no material commitments for this project).</w:t>
      </w:r>
    </w:p>
    <w:p>
      <w:pPr>
        <w:spacing w:after="0" w:line="17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On November 21, 2019, Navios Logistics entered into a shipbuilding contract, for the construction of six liquid barges for a total consideration of $17.8 million. Pursuant to this contract, Navios Logistics has secured the availability of credit for up to 75% of the purchase price, and up to a five-year repayment period starting from the delivery of each vessel. Five barges were delivered in the fourth quarter of 2020 and the remaining barge was delivered during the first quarter of 2021. As of December 31, 2020, Navios Logistics had paid $16.7 million for the construction of these barges, which are included within “Other long-term assets”. Capitalized interest included within “Other long-term assets” amounted to $0.6 million as of December 31, 2020.</w:t>
      </w:r>
    </w:p>
    <w:p>
      <w:pPr>
        <w:spacing w:after="0" w:line="192"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As of December 31, 2020 and December 31, 2019, Navios Logistics had paid $0.6 million and $0.5 million, respectively, for capitalized expenses for the development of its port operations in Port Murtinho region, Brazil. As of December 31, 2020, Navios Logistics had paid $1.3 million for the construction of two new tanks in its liquid port terminal.</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2020, Navios Logistics had paid $1.6 million for the acquisition of three pushboats and 18 liquid barges.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2020, Navios Logistics had paid $0.7 million for the construction of a crane in its grain port terminal.</w:t>
      </w:r>
    </w:p>
    <w:p>
      <w:pPr>
        <w:spacing w:after="0" w:line="225" w:lineRule="exact"/>
        <w:rPr>
          <w:sz w:val="20"/>
          <w:szCs w:val="20"/>
          <w:color w:val="auto"/>
        </w:rPr>
      </w:pPr>
    </w:p>
    <w:p>
      <w:pPr>
        <w:ind w:left="120" w:right="160" w:firstLine="440"/>
        <w:spacing w:after="0" w:line="296" w:lineRule="auto"/>
        <w:rPr>
          <w:sz w:val="20"/>
          <w:szCs w:val="20"/>
          <w:color w:val="auto"/>
        </w:rPr>
      </w:pPr>
      <w:r>
        <w:rPr>
          <w:rFonts w:ascii="Arial" w:cs="Arial" w:eastAsia="Arial" w:hAnsi="Arial"/>
          <w:sz w:val="16"/>
          <w:szCs w:val="16"/>
          <w:color w:val="auto"/>
        </w:rPr>
        <w:t>In the third quarter of 2020, Navios Logistics signed a binding letter of intent to acquire three pushboats and 18 tank barges (the “Navios Logistics’ 2020 Fleet”), operating in the Hidrovia Waterway, for a purchase price of $30 million. Included as a component of the acquisition of the Navios Logistics’ 2020 Fleet is a firm customer contract, in the form of a contract of affreightment for the transportation of a minimum of 1,250,000 cubic meters of fuel during a period of up to five years (“the 2020 Fleet COA”). The acquisition will be funded with $15 million from existing cash to be paid at closing and sellers’ financing of $15 million, bearing interest at a fixed rate of 5% per annum, payable in three equal annual installments.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Navios Containers</w:t>
      </w:r>
    </w:p>
    <w:p>
      <w:pPr>
        <w:spacing w:after="0" w:line="117" w:lineRule="exact"/>
        <w:rPr>
          <w:sz w:val="20"/>
          <w:szCs w:val="20"/>
          <w:color w:val="auto"/>
        </w:rPr>
      </w:pPr>
    </w:p>
    <w:p>
      <w:pPr>
        <w:ind w:left="120" w:right="280" w:firstLine="440"/>
        <w:spacing w:after="0" w:line="308" w:lineRule="auto"/>
        <w:rPr>
          <w:sz w:val="20"/>
          <w:szCs w:val="20"/>
          <w:color w:val="auto"/>
        </w:rPr>
      </w:pPr>
      <w:r>
        <w:rPr>
          <w:rFonts w:ascii="Arial" w:cs="Arial" w:eastAsia="Arial" w:hAnsi="Arial"/>
          <w:sz w:val="17"/>
          <w:szCs w:val="17"/>
          <w:color w:val="auto"/>
        </w:rPr>
        <w:t>During the period from November 30, 2018 (date of obtaining control) to December 31, 2018, expansion capital expenditures of $24.8 million related to the acquisition of two containerships which Navios Containers took delivery of during the above mentioned period.</w:t>
      </w:r>
    </w:p>
    <w:p>
      <w:pPr>
        <w:spacing w:after="0" w:line="146"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During the period from January 1, 2019 to August 30, 2019 (date of loss of control), expansion capital expenditures of $53.1 million related to the acquisition of one containership which Navios Containers took delivery of during the above mentioned period.</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Refer also to “Item 5F. Contractual Obligations as at December 31, 2020”.</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080"/>
          </w:cols>
          <w:pgMar w:left="320" w:top="459" w:right="49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 Policy</w:t>
      </w:r>
    </w:p>
    <w:p>
      <w:pPr>
        <w:spacing w:after="0" w:line="11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In November 2015, Navios Holdings announced that the Board of Directors decided to suspend the quarterly dividend to its common stockholders in order to conserve cash and improve its liquidity. In February 2016, in furtherance of its efforts to reduce its cash requirements, Navios Holdings announced the suspension of payment of quarterly dividends on its preferred stock, including the Series G and Series H, until market conditions improve. The Board of Directors and Navios Holdings’ management believe such a decision is in the best long-term interests of the Company and its stakeholders. The Board of Directors will reassess the Company’s distribution policy as the environment changes. The reinstatement, declaration and payment of any further dividend remains subject to the discretion of the Board of Directors and will depend on, among other things, market conditions, Navios Holdings’ cash requirements after taking into account market opportunities, restrictions under its equity instruments, credit agreements, indentures and other debt obligations and such other factors as the Board of Directors may deem advisable.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Concentration of Credit Risk: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Accounts receivable</w:t>
      </w:r>
    </w:p>
    <w:p>
      <w:pPr>
        <w:spacing w:after="0" w:line="117"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Concentration of credit risk with respect to accounts receivables is limited due to Navios Holdings’ large number of customers, who are internationally dispersed and have a variety of end markets in which they sell. Due to these factors, management believes that no additional credit risk beyond amounts provided for collection losses is inherent in Navios Holdings’ trade receivables. For the year ended December 31, 2020, two customers accounted for 16.4% and 11.2%, respectively, of the Company’s revenue. For the year ended December 31, 2019, two customers accounted for 17.1% and 14.4%, respectively, of the Company’s revenue from continuing operations and were the same customers who accounted for 13.1% and 11.6%, respectively, of the Company’s revenue from continuing operations for the year ended December 31, 2018.</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Cash deposits with financial institutions</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Cash deposits in excess of amounts covered by government-provided insurance are exposed to loss in the event of non-performance by financial institutions. Navios Holdings does maintain cash deposits in excess of government-provided insurance limits. Navios Holdings also reduces exposure to credit risk by dealing with a diversified group of major financial institutions.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Effects of Inflation:</w:t>
      </w:r>
    </w:p>
    <w:p>
      <w:pPr>
        <w:spacing w:after="0" w:line="12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Navios Holdings does not consider inflation to be a significant risk to the cost of doing business in the foreseeable future. In addition, the Company considered various factors in assessing the impact of Argentina’s highly inflationary economy on Navios Logistics, among which, the sales, the financing arrangements, the working capital, the employee salaries and taxes. The Company does not consider inflation to be a significant risk factor to the cost of doing business in the foreseeable future as the functional currency of the Company’s Argentinian subsidiary is the U.S. dollar. In addition, the day-to-day operations of the Company’s Argentinian subsidiary are dependent on the economic environment of the Company’s U.S. dollar currency. As a result, the Company concluded that the determination that the Argentine economy is highly inflationary did not have a material impact on Navios Logistics’ financial statements and as such, did not result in the remeasurement of its financial statements.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 Research and development, patents and licenses, etc.</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 Trend information</w:t>
      </w:r>
    </w:p>
    <w:p>
      <w:pPr>
        <w:spacing w:after="0" w:line="117" w:lineRule="exact"/>
        <w:rPr>
          <w:sz w:val="20"/>
          <w:szCs w:val="20"/>
          <w:color w:val="auto"/>
        </w:rPr>
      </w:pPr>
    </w:p>
    <w:p>
      <w:pPr>
        <w:jc w:val="both"/>
        <w:ind w:left="120" w:right="260" w:firstLine="440"/>
        <w:spacing w:after="0" w:line="263" w:lineRule="auto"/>
        <w:rPr>
          <w:sz w:val="20"/>
          <w:szCs w:val="20"/>
          <w:color w:val="auto"/>
        </w:rPr>
      </w:pPr>
      <w:r>
        <w:rPr>
          <w:rFonts w:ascii="Arial" w:cs="Arial" w:eastAsia="Arial" w:hAnsi="Arial"/>
          <w:sz w:val="18"/>
          <w:szCs w:val="18"/>
          <w:color w:val="auto"/>
        </w:rPr>
        <w:t>Our results of operations depend primarily on the charter hire rates that we are able to realize for our vessels, which depend on the demand and supply dynamics characterizing the dry bulk market at any given time. For other trends affecting our business, please see other discussions in Item 5. “Operating and Financial Review and Prospects”.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 Off-Balance Sheet Arrangements</w:t>
      </w:r>
    </w:p>
    <w:p>
      <w:pPr>
        <w:spacing w:after="0" w:line="117"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As of December 31, 2020, Navios Holdings was contingently liable for letters of guarantee and letters of credit amounting to $10,000 issued by various banks in favor of various organizations and the total amount was collateralized by cash deposits, which were included as a component of restricted cash.</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00"/>
          </w:cols>
          <w:pgMar w:left="320" w:top="459" w:right="47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In November 2012 (as amended in March 2014), the Company entered into an agreement with Navios Partners (the “Navios Partners Guarantee”) to provide Navios Partners with guarantees against counterparty default on certain existing charters, which had previously been covered by the charter insurance for the same vessels, same periods and same amounts. As of December 31, 2019, the outstanding balance of the claim was $10.0 million. In October 2020, the Company paid an amount of $5.0 million to Navios Partners. As of December 31, 2020 the outstanding balance of the claim was $5.0 million. In April 2021, the Company paid the amount of $5.0 million to Navios Partners as the final settlement of the outstanding balance of the claim.</w:t>
      </w:r>
    </w:p>
    <w:p>
      <w:pPr>
        <w:spacing w:after="0" w:line="192"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The Company is involved in various disputes and arbitration proceedings arising in the ordinary course of business. Provisions have been recognized in the financial statements for all such proceedings where the Company believes that a liability may be probable, and for which the amounts can be reasonably estimated, based upon facts known on the date the financial statements were prepared. Although the Company cannot predict with certainty the ultimate resolutions of these matters, in the opinion of management, the ultimate disposition of these matters is not expected to have a material adverse effect on the Company’s financial position, results of operations or liquidity.</w:t>
      </w:r>
    </w:p>
    <w:p>
      <w:pPr>
        <w:spacing w:after="0" w:line="176" w:lineRule="exact"/>
        <w:rPr>
          <w:sz w:val="20"/>
          <w:szCs w:val="20"/>
          <w:color w:val="auto"/>
        </w:rPr>
      </w:pPr>
    </w:p>
    <w:p>
      <w:pPr>
        <w:ind w:left="120" w:right="500" w:firstLine="440"/>
        <w:spacing w:after="0" w:line="308" w:lineRule="auto"/>
        <w:rPr>
          <w:sz w:val="20"/>
          <w:szCs w:val="20"/>
          <w:color w:val="auto"/>
        </w:rPr>
      </w:pPr>
      <w:r>
        <w:rPr>
          <w:rFonts w:ascii="Arial" w:cs="Arial" w:eastAsia="Arial" w:hAnsi="Arial"/>
          <w:sz w:val="17"/>
          <w:szCs w:val="17"/>
          <w:color w:val="auto"/>
        </w:rPr>
        <w:t>Navios Logistics has issued a guarantee and indemnity letter that guarantees the performance by Petrolera San Antonio S.A. (a consolidated subsidiary of Navios Logistics) of all its obligations to Vitol S.A. up to $12.0 million. This guarantee expires on March 1, 2022.</w:t>
      </w:r>
    </w:p>
    <w:p>
      <w:pPr>
        <w:spacing w:after="0" w:line="146"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On July 22, 2016, Navios Logistics guaranteed the compliance of certain obligations related to Edolmix S.A. and Energías Renovables del Sur S.A. (entities wholly owned by Navios Logistics) under their respective direct user agreements with the Free Zone of Nueva Palmira, for the amounts of $0.8 million and $0.5 million, respectively.</w:t>
      </w:r>
    </w:p>
    <w:p>
      <w:pPr>
        <w:spacing w:after="0" w:line="184" w:lineRule="exact"/>
        <w:rPr>
          <w:sz w:val="20"/>
          <w:szCs w:val="20"/>
          <w:color w:val="auto"/>
        </w:rPr>
      </w:pPr>
    </w:p>
    <w:p>
      <w:pPr>
        <w:jc w:val="both"/>
        <w:ind w:left="120" w:right="440" w:firstLine="440"/>
        <w:spacing w:after="0" w:line="263" w:lineRule="auto"/>
        <w:rPr>
          <w:sz w:val="20"/>
          <w:szCs w:val="20"/>
          <w:color w:val="auto"/>
        </w:rPr>
      </w:pPr>
      <w:r>
        <w:rPr>
          <w:rFonts w:ascii="Arial" w:cs="Arial" w:eastAsia="Arial" w:hAnsi="Arial"/>
          <w:sz w:val="18"/>
          <w:szCs w:val="18"/>
          <w:color w:val="auto"/>
        </w:rPr>
        <w:t>On August 16, 2018, there was a fire incident at the iron ore port terminal in Nueva Palmira, Uruguay, for which Navios Logistics maintains property and loss of earnings insurance coverage for such types of events (subject to applicable deductibles and other customary limitations). As of September 12, 2019, the full amount has been collected in relation to this insurance claim.</w:t>
      </w:r>
    </w:p>
    <w:p>
      <w:pPr>
        <w:spacing w:after="0" w:line="184" w:lineRule="exact"/>
        <w:rPr>
          <w:sz w:val="20"/>
          <w:szCs w:val="20"/>
          <w:color w:val="auto"/>
        </w:rPr>
      </w:pPr>
    </w:p>
    <w:p>
      <w:pPr>
        <w:ind w:left="120" w:right="300" w:firstLine="440"/>
        <w:spacing w:after="0" w:line="259" w:lineRule="auto"/>
        <w:rPr>
          <w:sz w:val="20"/>
          <w:szCs w:val="20"/>
          <w:color w:val="auto"/>
        </w:rPr>
      </w:pPr>
      <w:r>
        <w:rPr>
          <w:rFonts w:ascii="Arial" w:cs="Arial" w:eastAsia="Arial" w:hAnsi="Arial"/>
          <w:sz w:val="18"/>
          <w:szCs w:val="18"/>
          <w:color w:val="auto"/>
        </w:rPr>
        <w:t>In September 2020, Navios Logistics agreed to a settlement regarding a storage and transshipment contract in the grain port terminal for a total amount of $4.1 million, which will be collected in three equal installments of $1.4 million on June 1, 2021, 2022 and 2023. For the year ended December 31, 2020, a gain of $4.1 million was included within the caption “Other income” in the consolidated statements of comprehensive (loss)/income.</w:t>
      </w:r>
    </w:p>
    <w:p>
      <w:pPr>
        <w:spacing w:after="0" w:line="187"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The Company is involved in various disputes and arbitration proceedings arising in the ordinary course of business. Provisions have been recognized in the financial statements for all such proceedings where the Company believes that a liability may be probable, and for which the amounts can be reasonably estimated, based upon facts known on the date the financial statements were prepared. Although the Company cannot predict with certainty the ultimate resolutions of these matters, in the opinion of management, the ultimate disposition of these matters is not expected to have a material adverse effect on the Company’s financial position, results of operations or liquidity.</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Refer also to Item 5F. “Contractual Obligation as at December 31, 2020” below.</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 Contractual Obligations as at December 31, 2020:</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Payment due by period ($ in millions) (unaudited)</w:t>
      </w:r>
    </w:p>
    <w:p>
      <w:pPr>
        <w:spacing w:after="0" w:line="11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500" w:type="dxa"/>
            <w:vAlign w:val="bottom"/>
            <w:vMerge w:val="restart"/>
          </w:tcPr>
          <w:p>
            <w:pPr>
              <w:spacing w:after="0"/>
              <w:rPr>
                <w:sz w:val="20"/>
                <w:szCs w:val="20"/>
                <w:color w:val="auto"/>
              </w:rPr>
            </w:pPr>
            <w:r>
              <w:rPr>
                <w:rFonts w:ascii="Arial" w:cs="Arial" w:eastAsia="Arial" w:hAnsi="Arial"/>
                <w:sz w:val="14"/>
                <w:szCs w:val="14"/>
                <w:b w:val="1"/>
                <w:bCs w:val="1"/>
                <w:color w:val="auto"/>
                <w:w w:val="93"/>
              </w:rPr>
              <w:t>Contractual Obligations</w:t>
            </w:r>
          </w:p>
        </w:tc>
        <w:tc>
          <w:tcPr>
            <w:tcW w:w="5400" w:type="dxa"/>
            <w:vAlign w:val="bottom"/>
            <w:vMerge w:val="restart"/>
          </w:tcPr>
          <w:p>
            <w:pPr>
              <w:spacing w:after="0"/>
              <w:rPr>
                <w:sz w:val="14"/>
                <w:szCs w:val="14"/>
                <w:color w:val="auto"/>
              </w:rPr>
            </w:pPr>
          </w:p>
        </w:tc>
        <w:tc>
          <w:tcPr>
            <w:tcW w:w="9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Less than</w:t>
            </w:r>
          </w:p>
        </w:tc>
        <w:tc>
          <w:tcPr>
            <w:tcW w:w="120" w:type="dxa"/>
            <w:vAlign w:val="bottom"/>
          </w:tcPr>
          <w:p>
            <w:pPr>
              <w:spacing w:after="0"/>
              <w:rPr>
                <w:sz w:val="14"/>
                <w:szCs w:val="14"/>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1-3 years</w:t>
            </w: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88"/>
              </w:rPr>
              <w:t>3-5 years</w:t>
            </w:r>
          </w:p>
        </w:tc>
        <w:tc>
          <w:tcPr>
            <w:tcW w:w="14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78"/>
        </w:trPr>
        <w:tc>
          <w:tcPr>
            <w:tcW w:w="1500" w:type="dxa"/>
            <w:vAlign w:val="bottom"/>
            <w:tcBorders>
              <w:bottom w:val="single" w:sz="8" w:color="auto"/>
            </w:tcBorders>
            <w:vMerge w:val="continue"/>
          </w:tcPr>
          <w:p>
            <w:pPr>
              <w:spacing w:after="0"/>
              <w:rPr>
                <w:sz w:val="15"/>
                <w:szCs w:val="15"/>
                <w:color w:val="auto"/>
              </w:rPr>
            </w:pPr>
          </w:p>
        </w:tc>
        <w:tc>
          <w:tcPr>
            <w:tcW w:w="5400" w:type="dxa"/>
            <w:vAlign w:val="bottom"/>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1 year</w:t>
            </w:r>
          </w:p>
        </w:tc>
        <w:tc>
          <w:tcPr>
            <w:tcW w:w="1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03"/>
        </w:trPr>
        <w:tc>
          <w:tcPr>
            <w:tcW w:w="69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Long-term debt</w:t>
            </w:r>
            <w:r>
              <w:rPr>
                <w:rFonts w:ascii="Arial" w:cs="Arial" w:eastAsia="Arial" w:hAnsi="Arial"/>
                <w:sz w:val="15"/>
                <w:szCs w:val="15"/>
                <w:color w:val="auto"/>
              </w:rPr>
              <w:t>(1)</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$1,612.7</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380.3</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$ 642.5</w:t>
            </w:r>
          </w:p>
        </w:tc>
        <w:tc>
          <w:tcPr>
            <w:tcW w:w="2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$ 554.7</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35.2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Operating Lease Obligations (Time Charters) for vessels in operation</w:t>
            </w:r>
            <w:r>
              <w:rPr>
                <w:rFonts w:ascii="Arial" w:cs="Arial" w:eastAsia="Arial" w:hAnsi="Arial"/>
                <w:sz w:val="15"/>
                <w:szCs w:val="15"/>
                <w:color w:val="auto"/>
              </w:rPr>
              <w:t>(3)</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323.6</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100.7</w:t>
            </w:r>
          </w:p>
        </w:tc>
        <w:tc>
          <w:tcPr>
            <w:tcW w:w="960" w:type="dxa"/>
            <w:vAlign w:val="bottom"/>
            <w:gridSpan w:val="3"/>
          </w:tcPr>
          <w:p>
            <w:pPr>
              <w:jc w:val="right"/>
              <w:ind w:right="260"/>
              <w:spacing w:after="0"/>
              <w:rPr>
                <w:sz w:val="20"/>
                <w:szCs w:val="20"/>
                <w:color w:val="auto"/>
              </w:rPr>
            </w:pPr>
            <w:r>
              <w:rPr>
                <w:rFonts w:ascii="Arial" w:cs="Arial" w:eastAsia="Arial" w:hAnsi="Arial"/>
                <w:sz w:val="18"/>
                <w:szCs w:val="18"/>
                <w:color w:val="auto"/>
              </w:rPr>
              <w:t>118.1</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58.9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Acquisition of six liquid barges </w:t>
            </w:r>
            <w:r>
              <w:rPr>
                <w:rFonts w:ascii="Arial" w:cs="Arial" w:eastAsia="Arial" w:hAnsi="Arial"/>
                <w:sz w:val="15"/>
                <w:szCs w:val="15"/>
                <w:color w:val="auto"/>
              </w:rPr>
              <w:t>(4)</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w:t>
            </w: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0.9</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Construction of two new tanks</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8"/>
                <w:szCs w:val="18"/>
                <w:color w:val="auto"/>
              </w:rPr>
            </w:pP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Rent Obligations</w:t>
            </w:r>
            <w:r>
              <w:rPr>
                <w:rFonts w:ascii="Arial" w:cs="Arial" w:eastAsia="Arial" w:hAnsi="Arial"/>
                <w:sz w:val="15"/>
                <w:szCs w:val="15"/>
                <w:color w:val="auto"/>
              </w:rPr>
              <w:t>(2)</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w:t>
            </w: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0.2</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 xml:space="preserve">Land lease agreements </w:t>
            </w:r>
            <w:r>
              <w:rPr>
                <w:rFonts w:ascii="Arial" w:cs="Arial" w:eastAsia="Arial" w:hAnsi="Arial"/>
                <w:sz w:val="15"/>
                <w:szCs w:val="15"/>
                <w:color w:val="auto"/>
              </w:rPr>
              <w:t>(2)</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0.6</w:t>
            </w:r>
          </w:p>
        </w:tc>
        <w:tc>
          <w:tcPr>
            <w:tcW w:w="960" w:type="dxa"/>
            <w:vAlign w:val="bottom"/>
            <w:gridSpan w:val="3"/>
          </w:tcPr>
          <w:p>
            <w:pPr>
              <w:jc w:val="right"/>
              <w:ind w:right="260"/>
              <w:spacing w:after="0"/>
              <w:rPr>
                <w:sz w:val="20"/>
                <w:szCs w:val="20"/>
                <w:color w:val="auto"/>
              </w:rPr>
            </w:pPr>
            <w:r>
              <w:rPr>
                <w:rFonts w:ascii="Arial" w:cs="Arial" w:eastAsia="Arial" w:hAnsi="Arial"/>
                <w:sz w:val="18"/>
                <w:szCs w:val="18"/>
                <w:color w:val="auto"/>
              </w:rPr>
              <w:t>1.1</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5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1,964.8</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482.8</w:t>
            </w: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$ 762.8</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9"/>
              </w:rPr>
              <w:t>$ 615.7</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w w:val="79"/>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103.5</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280" w:hanging="424"/>
        <w:spacing w:after="0" w:line="275" w:lineRule="auto"/>
        <w:tabs>
          <w:tab w:leader="none" w:pos="540"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amount identified does not include interest costs associated with the outstanding credit facilities, which are based on LIBOR rates, plus the costs of complying with any applicable regulatory requirements and a margin ranging from 2.75% to 3.25% per annum. The expected interest payments are: $146.9 million (less than 1 year), $145.3 million (1-3 years), $85.0 million (3-5 years) and $5.8 million (more than 5 years). Expected interest payments are based on outstanding principal amounts, currently applicable effective interest rates and margins as of December 31, 2020, timing of scheduled payments and the term of the debt obligations.</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40"/>
          </w:cols>
          <w:pgMar w:left="320" w:top="459" w:right="4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60" w:hanging="424"/>
        <w:spacing w:after="0" w:line="255" w:lineRule="auto"/>
        <w:tabs>
          <w:tab w:leader="none" w:pos="5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Navios Logistics has several lease agreements with respect to its operating port terminals and various offices. Following the sale of the management division effected on August 30, 2019 Navios Holdings has no office lease obligations (see also Note 16 included elsewhere in this Annual Report). See also Item 4.B. “Business Overview — Facilities.”</w:t>
      </w:r>
    </w:p>
    <w:p>
      <w:pPr>
        <w:spacing w:after="0" w:line="2" w:lineRule="exact"/>
        <w:rPr>
          <w:rFonts w:ascii="Arial" w:cs="Arial" w:eastAsia="Arial" w:hAnsi="Arial"/>
          <w:sz w:val="18"/>
          <w:szCs w:val="18"/>
          <w:color w:val="auto"/>
        </w:rPr>
      </w:pPr>
    </w:p>
    <w:p>
      <w:pPr>
        <w:ind w:left="540" w:hanging="424"/>
        <w:spacing w:after="0"/>
        <w:tabs>
          <w:tab w:leader="none" w:pos="5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Represent total amount of lease payments on an undiscounted basis.</w:t>
      </w:r>
    </w:p>
    <w:p>
      <w:pPr>
        <w:spacing w:after="0" w:line="9" w:lineRule="exact"/>
        <w:rPr>
          <w:rFonts w:ascii="Arial" w:cs="Arial" w:eastAsia="Arial" w:hAnsi="Arial"/>
          <w:sz w:val="18"/>
          <w:szCs w:val="18"/>
          <w:color w:val="auto"/>
        </w:rPr>
      </w:pPr>
    </w:p>
    <w:p>
      <w:pPr>
        <w:ind w:left="540" w:hanging="424"/>
        <w:spacing w:after="0" w:line="302" w:lineRule="auto"/>
        <w:tabs>
          <w:tab w:leader="none" w:pos="540" w:val="left"/>
        </w:tabs>
        <w:numPr>
          <w:ilvl w:val="0"/>
          <w:numId w:val="98"/>
        </w:numPr>
        <w:rPr>
          <w:rFonts w:ascii="Arial" w:cs="Arial" w:eastAsia="Arial" w:hAnsi="Arial"/>
          <w:sz w:val="16"/>
          <w:szCs w:val="16"/>
          <w:color w:val="auto"/>
        </w:rPr>
      </w:pPr>
      <w:r>
        <w:rPr>
          <w:rFonts w:ascii="Arial" w:cs="Arial" w:eastAsia="Arial" w:hAnsi="Arial"/>
          <w:sz w:val="16"/>
          <w:szCs w:val="16"/>
          <w:color w:val="auto"/>
        </w:rPr>
        <w:t>Represents principal payments of the future remaining obligation for the acquisition of six liquid barges, which bear interest at fixed rate. The amounts in the table exclude expected interest payments of $0.2 million (less than 1 year), $0.2 million (1-3 years), $0.1 million (3-5 years) and nil million (more than 5 years). Expected interest payments are based on the terms of the shipbuilding contract for the construction of these barges.</w:t>
      </w:r>
    </w:p>
    <w:p>
      <w:pPr>
        <w:spacing w:after="0" w:line="155" w:lineRule="exact"/>
        <w:rPr>
          <w:rFonts w:ascii="Arial" w:cs="Arial" w:eastAsia="Arial" w:hAnsi="Arial"/>
          <w:sz w:val="16"/>
          <w:szCs w:val="16"/>
          <w:color w:val="auto"/>
        </w:rPr>
      </w:pPr>
    </w:p>
    <w:p>
      <w:pPr>
        <w:ind w:left="560"/>
        <w:spacing w:after="0"/>
        <w:rPr>
          <w:rFonts w:ascii="Arial" w:cs="Arial" w:eastAsia="Arial" w:hAnsi="Arial"/>
          <w:sz w:val="16"/>
          <w:szCs w:val="16"/>
          <w:color w:val="auto"/>
        </w:rPr>
      </w:pPr>
      <w:r>
        <w:rPr>
          <w:rFonts w:ascii="Arial" w:cs="Arial" w:eastAsia="Arial" w:hAnsi="Arial"/>
          <w:sz w:val="18"/>
          <w:szCs w:val="18"/>
          <w:color w:val="auto"/>
        </w:rPr>
        <w:t>Refer to “Item 7.B. Related Party Transactions” for Navios Partners Guarantee (as defined herein), not reflected in the table above.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Navios Holdings’ consolidated financial statements have been prepared in accordance with U.S. GAAP. The preparation of these financial statements requires Navios Holdings to make estimates in the application of its accounting policies based on the best assumptions, judgments and opinions of management. Following is a discussion of the accounting policies that involve a higher degree of judgment and the methods of their application that affect the reported amount of assets and liabilities, revenues and expenses and related disclosure of contingent assets and liabilities at the date of its financial statements. Actual results may differ from these estimates under different assumptions or conditions.</w:t>
      </w:r>
    </w:p>
    <w:p>
      <w:pPr>
        <w:spacing w:after="0" w:line="176" w:lineRule="exact"/>
        <w:rPr>
          <w:sz w:val="20"/>
          <w:szCs w:val="20"/>
          <w:color w:val="auto"/>
        </w:rPr>
      </w:pPr>
    </w:p>
    <w:p>
      <w:pPr>
        <w:jc w:val="both"/>
        <w:ind w:left="120" w:right="120" w:firstLine="440"/>
        <w:spacing w:after="0" w:line="259" w:lineRule="auto"/>
        <w:rPr>
          <w:sz w:val="20"/>
          <w:szCs w:val="20"/>
          <w:color w:val="auto"/>
        </w:rPr>
      </w:pPr>
      <w:r>
        <w:rPr>
          <w:rFonts w:ascii="Arial" w:cs="Arial" w:eastAsia="Arial" w:hAnsi="Arial"/>
          <w:sz w:val="18"/>
          <w:szCs w:val="18"/>
          <w:color w:val="auto"/>
        </w:rPr>
        <w:t>Critical accounting policies are those that reflect significant judgments or uncertainties, and potentially result in materially different results under different assumptions and conditions. Navios Holdings has described below what it believes are its most critical accounting policies that involve a high degree of judgment and the methods of their application. For a description of all of Navios Holdings’ significant accounting policies, see Note 2 to the Consolidated Financial Statements, included herein.</w:t>
      </w:r>
    </w:p>
    <w:p>
      <w:pPr>
        <w:spacing w:after="0" w:line="187"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b w:val="1"/>
          <w:bCs w:val="1"/>
          <w:i w:val="1"/>
          <w:iCs w:val="1"/>
          <w:color w:val="auto"/>
        </w:rPr>
        <w:t xml:space="preserve">Use of Estimates: </w:t>
      </w:r>
      <w:r>
        <w:rPr>
          <w:rFonts w:ascii="Arial" w:cs="Arial" w:eastAsia="Arial" w:hAnsi="Arial"/>
          <w:sz w:val="16"/>
          <w:szCs w:val="16"/>
          <w:color w:val="auto"/>
        </w:rPr>
        <w:t>The preparation of consolidated financial statements in conformity with U.S. GAAP requires management to make estimates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assumptions that affect the reported amounts of assets and liabilities and disclosure of contingent assets and liabilities as of the dates of the financial statements and the reported amounts of revenues and expenses during the reporting periods. On an on-going basis, management evaluates the estimates and judgments, including those related to uncompleted voyages, future drydock dates, the assessment of other-than-temporary impairment related to the carrying value of investments in affiliate companies, the selection of useful lives for tangible and intangible assets, expected future cash flows from long-lived assets and operating lease assets to support impairment tests, impairment test for goodwill, allowance for credit losses necessary for accounts receivables and demurrages, provisions for legal disputes, pension benefits, contingencies and guarantees. Management bases its estimates and judgments on historical experience and on various other factors that are believed to be reasonable under the circumstances, the results of which form the basis for making judgments about the carrying values of assets and liabilities that are not readily apparent from other sources. The spread of the COVID-19 pandemic, which has been declared a pandemic by the World Health Organization, in 2020, has caused substantial disruptions in the global economy and the shipping industry, as well as significant volatility in the financial markets, the severity and duration of which remains uncertain.</w:t>
      </w:r>
    </w:p>
    <w:p>
      <w:pPr>
        <w:spacing w:after="0" w:line="172"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The impact of the COVID-19 pandemic continues to unfold and may continue to have negative effect on our business, financial performance and the results of our operations, including due to decreased demand for global seaborne dry bulk trade and charter rates, the extent of which will depend largely on future developments. As a result, many of our estimates and assumptions required increased judgment and carry a higher degree of variability and volatility. As events continue to evolve and additional information becomes available, our estimates may change in future periods. Actual results could differ from those estimates under different assumptions and/or conditions.</w:t>
      </w:r>
    </w:p>
    <w:p>
      <w:pPr>
        <w:spacing w:after="0" w:line="176"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b w:val="1"/>
          <w:bCs w:val="1"/>
          <w:i w:val="1"/>
          <w:iCs w:val="1"/>
          <w:color w:val="auto"/>
        </w:rPr>
        <w:t xml:space="preserve">Stock-Based Compensation: </w:t>
      </w:r>
      <w:r>
        <w:rPr>
          <w:rFonts w:ascii="Arial" w:cs="Arial" w:eastAsia="Arial" w:hAnsi="Arial"/>
          <w:sz w:val="18"/>
          <w:szCs w:val="18"/>
          <w:color w:val="auto"/>
        </w:rPr>
        <w:t>In December 2020, February and December 2019, the Company authorized the grant of restricted common stock.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2017, the Company authorized the grant of restricted common stock and restricted stock units. These awards of restricted share units, share appreciation rights, restricted common stock, restricted stock units and stock options are based on service conditions only and vest over three and four years.</w:t>
      </w:r>
    </w:p>
    <w:p>
      <w:pPr>
        <w:spacing w:after="0" w:line="187" w:lineRule="exact"/>
        <w:rPr>
          <w:sz w:val="20"/>
          <w:szCs w:val="20"/>
          <w:color w:val="auto"/>
        </w:rPr>
      </w:pPr>
    </w:p>
    <w:p>
      <w:pPr>
        <w:ind w:left="120" w:right="160" w:firstLine="440"/>
        <w:spacing w:after="0" w:line="275" w:lineRule="auto"/>
        <w:rPr>
          <w:sz w:val="20"/>
          <w:szCs w:val="20"/>
          <w:color w:val="auto"/>
        </w:rPr>
      </w:pPr>
      <w:r>
        <w:rPr>
          <w:rFonts w:ascii="Arial" w:cs="Arial" w:eastAsia="Arial" w:hAnsi="Arial"/>
          <w:sz w:val="17"/>
          <w:szCs w:val="17"/>
          <w:color w:val="auto"/>
        </w:rPr>
        <w:t>The fair value of share appreciation rights and stock option grants is determined with reference to option pricing model and principally adjusted Black-Scholes models. The fair value of restricted share units, restricted stock and restricted stock units is determined by reference to the quoted stock price on the date of grant. Compensation expense, net of estimated forfeitures, is recognized based on a graded expense model over the vesting period. Compensation expense for the awards that vest upon achievement of the performance criteria is recognized when it is probable that the performance criteria will be met and are being accounted for as equity.</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20"/>
          </w:cols>
          <w:pgMar w:left="320" w:top="459" w:right="4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b w:val="1"/>
          <w:bCs w:val="1"/>
          <w:i w:val="1"/>
          <w:iCs w:val="1"/>
          <w:color w:val="auto"/>
        </w:rPr>
        <w:t xml:space="preserve">Impairment of Long Lived Assets: </w:t>
      </w:r>
      <w:r>
        <w:rPr>
          <w:rFonts w:ascii="Arial" w:cs="Arial" w:eastAsia="Arial" w:hAnsi="Arial"/>
          <w:sz w:val="16"/>
          <w:szCs w:val="16"/>
          <w:color w:val="auto"/>
        </w:rPr>
        <w:t>Vessels, other fixed assets and other long-lived assets held and used by Navios Holdings are reviewed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periodically for potential impairment whenever events or changes in circumstances indicate that the carrying amount of a particular asset may not be fully recoverable. Navios Holdings’ management evaluates the carrying amounts and periods over which long-lived assets are depreciated to determine if events or changes in circumstances have occurred that would require modification to their carrying values or useful lives. Measurement of the impairment loss is determined as the difference between the carrying value and the fair value. Navios Holdings determines the fair value of its assets on the basis of management estimates and assumptions by making use of available market data and taking into consideration third party valuations performed on an individual vessel basis. In evaluating useful lives and carrying values of long-lived assets, certain indicators of potential impairment are reviewed, such as undiscounted projected operating cash flows, vessel sales and purchases, business plans and overall market conditions.</w:t>
      </w:r>
    </w:p>
    <w:p>
      <w:pPr>
        <w:spacing w:after="0" w:line="165" w:lineRule="exact"/>
        <w:rPr>
          <w:sz w:val="20"/>
          <w:szCs w:val="20"/>
          <w:color w:val="auto"/>
        </w:rPr>
      </w:pPr>
    </w:p>
    <w:p>
      <w:pPr>
        <w:ind w:left="120" w:right="540" w:firstLine="440"/>
        <w:spacing w:after="0" w:line="301" w:lineRule="auto"/>
        <w:rPr>
          <w:sz w:val="20"/>
          <w:szCs w:val="20"/>
          <w:color w:val="auto"/>
        </w:rPr>
      </w:pPr>
      <w:r>
        <w:rPr>
          <w:rFonts w:ascii="Arial" w:cs="Arial" w:eastAsia="Arial" w:hAnsi="Arial"/>
          <w:sz w:val="16"/>
          <w:szCs w:val="16"/>
          <w:color w:val="auto"/>
        </w:rPr>
        <w:t>Undiscounted projected net operating cash flows are determined for each asset group and compared to the carrying value of the vessel, the unamortized portion of deferred drydock and special survey costs, the unamortized portion of ballast water treatment system and the unamortized portion of other capitalized items, if any related to the vessel or the carrying value of deposits for newbuildings. The loss recognized either on impairment (or on disposition) will reflect the excess of carrying value over fair value (selling price) for the vessel asset group.</w:t>
      </w:r>
    </w:p>
    <w:p>
      <w:pPr>
        <w:spacing w:after="0" w:line="15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During the fourth quarter of fiscal year 2020, management concluded that events occurred and circumstances had changed, which indicated that potential impairment of Navios Holdings’ long-lived assets might exist. These indicators included continued volatility in the spot market, and the related impact of the current dry bulk sector has on management’s expectation for future revenues. As a result, an impairment assessment of long-lived assets (step one) was performed.</w:t>
      </w:r>
    </w:p>
    <w:p>
      <w:pPr>
        <w:spacing w:after="0" w:line="187"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The Company determined undiscounted projected net operating cash flows for each vessel and compared it to the vessel’s carrying value together with the carrying value of deferred drydock and special survey costs, ballast water treatment system costs and other capitalized items, if any, related to the vessel. The significant factors and assumptions used in the undiscounted projected net operating cash flow analysis included: determining the projected net operating cash flows by considering the charter revenues from existing time charters for the fixed fleet days (the Company’s remaining charter agreement rates) and an estimated daily time charter equivalent for the unfixed days (based on a combination of one-year average historical time charter rates and 10-year average historical one-year time charter rates) over the remaining economic life of each vessel, net of brokerage and address commissions excluding days of scheduled off-hires, management fees for vessel operating expenses fixed until 2021 and thereafter assuming an annual increase of 3.0% every second year and a utilization rate of 99.3% based on the fleet’s historical performance.</w:t>
      </w:r>
    </w:p>
    <w:p>
      <w:pPr>
        <w:spacing w:after="0" w:line="165"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Where the undiscounted projected net operating cash flows for each asset group do not exceed the carrying value of the operating lease asset and the carrying value of deposits for the option to acquire a vessel including expenses and interest, management proceeds to perform step two of the impairment assessment. In step two of the impairment assessment, the Company determined the fair value of its vessels through a combination of a discounted cash flow analysis utilizing market participant assumptions from available market data and third-party valuations performed on an individual vessel basis. The significant factors and assumptions used by management in determining fair value of vessels includes those in developing the projected net operating cash flows over the remaining economic life of each vessel and the discount rate.</w:t>
      </w:r>
    </w:p>
    <w:p>
      <w:pPr>
        <w:spacing w:after="0" w:line="178"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In connection with its impairment testing on its vessels as of December 31, 2020, the Company performed a sensitivity analysis on the most sensitive and/or subjective assumptions that had the potential to affect the outcome of the test, principally the projected charter rate used to forecast future cash flows for unfixed days. In that regard, there would continue to be no impairment required to be recognized on any of the Company’s vessels when assuming a decline in the 10-year average (of the one-year charter rate for similar vessels), which is the rate that the Company uses to forecast future cash flows for unfixed days, ranging from 6.9% to 42.7% (depending on the vessel).</w:t>
      </w:r>
    </w:p>
    <w:p>
      <w:pPr>
        <w:spacing w:after="0" w:line="176"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We have evaluated the impact of current economic situation due to COVID-19 pandemic on the recoverability of the carrying amount of our vessels. As of December 31, 2020, our assessment concluded that step two of the impairment analysis was required for two of our dry bulk vessels held and used, as the undiscounted projected net operating cash flows did not exceed the carrying value. As a result, the Company recorded an impairment loss of $52.8 million for these vessels, being the difference between the fair value and the vessel’s carrying value together with the carrying value of deferred drydock and special survey costs, ballast water treatment system costs and other capitalized items, if any, related to these vessels, presented within the caption “Impairment loss/ loss on sale of vessels, net” in the consolidated statements of comprehensive (loss)/income.</w:t>
      </w:r>
    </w:p>
    <w:p>
      <w:pPr>
        <w:spacing w:after="0" w:line="16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As of December 31, 2019, the Company recorded an impairment loss of $84.6 million for two dry bulk vessels, being the difference between the fair value and the vessel’s carrying value together with the carrying value of deferred drydock and special survey costs and ballast water treatment system costs, if any, related to these vessels, presented within the caption “Impairment loss/ loss on sale of vessels, net” in the consolidated statements of comprehensive (loss)/income.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20"/>
          </w:cols>
          <w:pgMar w:left="320" w:top="459" w:right="4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As of December 31, 2018, the Company recorded an impairment loss of $179.2 million for four dry bulk vessels, being the difference between the fair value and the vessel’s carrying value together with the carrying value of deferred drydock and special survey costs related to these vessels, presented within the caption “Impairment loss/ loss on sale of vessels, net” in the consolidated statements of comprehensive (loss)/income.</w:t>
      </w:r>
    </w:p>
    <w:p>
      <w:pPr>
        <w:spacing w:after="0" w:line="149"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As of December 31, 2017, the Company recorded an impairment loss of $32.9 million for one dry bulk vessel, being the difference between the fair value and the vessel’s carrying value together with the carrying value of deferred drydock and special survey costs, ballast water treatment system costs and other capitalized items, if any, related to this vessel, presented within the caption “Impairment loss/ loss on sale of vessels, net” in the consolidated statements of comprehensive (loss)/income.</w:t>
      </w:r>
    </w:p>
    <w:p>
      <w:pPr>
        <w:spacing w:after="0" w:line="187"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As of December 31, 2020, the 10-year historical average rates for the Company’s vessels (which naturally varies by type of vessel) used in determining future cash flows for purposes of its impairment analysis were 17.6% higher than the daily time charter equivalent rate of the owned fleet achieved in the fiscal year 2020 of $10.5 million per day.</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20"/>
          </w:cols>
          <w:pgMar w:left="320" w:top="459" w:right="4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addition, the Company compared the 10-year historical average (of the one-year charter rate for similar vessels) with the five-year, three-year and one-year historical averages (of the one-year charter rate for similar vessels). A comparison of the 10-year historical average (of the one-year charter rate) and the five-year, three-year and one-year historical averages (of the one-year charter rate for similar vessels) is as follows (as of December 31, 2020):</w:t>
      </w:r>
    </w:p>
    <w:p>
      <w:pPr>
        <w:spacing w:after="0" w:line="205" w:lineRule="exact"/>
        <w:rPr>
          <w:sz w:val="20"/>
          <w:szCs w:val="20"/>
          <w:color w:val="auto"/>
        </w:rPr>
      </w:pPr>
    </w:p>
    <w:p>
      <w:pPr>
        <w:jc w:val="center"/>
        <w:ind w:left="4100"/>
        <w:spacing w:after="0"/>
        <w:rPr>
          <w:sz w:val="20"/>
          <w:szCs w:val="20"/>
          <w:color w:val="auto"/>
        </w:rPr>
      </w:pPr>
      <w:r>
        <w:rPr>
          <w:rFonts w:ascii="Arial" w:cs="Arial" w:eastAsia="Arial" w:hAnsi="Arial"/>
          <w:sz w:val="14"/>
          <w:szCs w:val="14"/>
          <w:b w:val="1"/>
          <w:bCs w:val="1"/>
          <w:color w:val="auto"/>
        </w:rPr>
        <w:t>Historical Average of One-year Charter Rates</w:t>
      </w:r>
    </w:p>
    <w:p>
      <w:pPr>
        <w:jc w:val="center"/>
        <w:ind w:left="4100"/>
        <w:spacing w:after="0" w:line="226" w:lineRule="auto"/>
        <w:rPr>
          <w:sz w:val="20"/>
          <w:szCs w:val="20"/>
          <w:color w:val="auto"/>
        </w:rPr>
      </w:pPr>
      <w:r>
        <w:rPr>
          <w:rFonts w:ascii="Arial" w:cs="Arial" w:eastAsia="Arial" w:hAnsi="Arial"/>
          <w:sz w:val="14"/>
          <w:szCs w:val="14"/>
          <w:b w:val="1"/>
          <w:bCs w:val="1"/>
          <w:color w:val="auto"/>
        </w:rPr>
        <w:t>(over Various Periods) vs. the 10-year Historical Average</w:t>
      </w:r>
    </w:p>
    <w:p>
      <w:pPr>
        <w:jc w:val="center"/>
        <w:ind w:left="4100"/>
        <w:spacing w:after="0" w:line="232" w:lineRule="auto"/>
        <w:rPr>
          <w:sz w:val="20"/>
          <w:szCs w:val="20"/>
          <w:color w:val="auto"/>
        </w:rPr>
      </w:pPr>
      <w:r>
        <w:rPr>
          <w:rFonts w:ascii="Arial" w:cs="Arial" w:eastAsia="Arial" w:hAnsi="Arial"/>
          <w:sz w:val="14"/>
          <w:szCs w:val="14"/>
          <w:b w:val="1"/>
          <w:bCs w:val="1"/>
          <w:color w:val="auto"/>
        </w:rPr>
        <w:t>(of the One-Year Charter Rate)</w:t>
      </w:r>
    </w:p>
    <w:tbl>
      <w:tblPr>
        <w:tblLayout w:type="fixed"/>
        <w:tblInd w:w="1000" w:type="dxa"/>
        <w:tblCellMar>
          <w:top w:w="0" w:type="dxa"/>
          <w:left w:w="0" w:type="dxa"/>
          <w:bottom w:w="0" w:type="dxa"/>
          <w:right w:w="0" w:type="dxa"/>
        </w:tblCellMar>
      </w:tblPr>
      <w:tr>
        <w:trPr>
          <w:trHeight w:val="142"/>
        </w:trPr>
        <w:tc>
          <w:tcPr>
            <w:tcW w:w="4360" w:type="dxa"/>
            <w:vAlign w:val="bottom"/>
          </w:tcPr>
          <w:p>
            <w:pPr>
              <w:spacing w:after="0"/>
              <w:rPr>
                <w:sz w:val="12"/>
                <w:szCs w:val="12"/>
                <w:color w:val="auto"/>
              </w:rPr>
            </w:pPr>
          </w:p>
        </w:tc>
        <w:tc>
          <w:tcPr>
            <w:tcW w:w="126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w w:val="90"/>
              </w:rPr>
              <w:t>5-Year Average</w:t>
            </w:r>
          </w:p>
        </w:tc>
        <w:tc>
          <w:tcPr>
            <w:tcW w:w="2220" w:type="dxa"/>
            <w:vAlign w:val="bottom"/>
            <w:tcBorders>
              <w:top w:val="single" w:sz="8" w:color="auto"/>
              <w:bottom w:val="single" w:sz="8" w:color="auto"/>
            </w:tcBorders>
          </w:tcPr>
          <w:p>
            <w:pPr>
              <w:jc w:val="right"/>
              <w:ind w:right="616"/>
              <w:spacing w:after="0" w:line="142" w:lineRule="exact"/>
              <w:rPr>
                <w:sz w:val="20"/>
                <w:szCs w:val="20"/>
                <w:color w:val="auto"/>
              </w:rPr>
            </w:pPr>
            <w:r>
              <w:rPr>
                <w:rFonts w:ascii="Arial" w:cs="Arial" w:eastAsia="Arial" w:hAnsi="Arial"/>
                <w:sz w:val="14"/>
                <w:szCs w:val="14"/>
                <w:b w:val="1"/>
                <w:bCs w:val="1"/>
                <w:color w:val="auto"/>
              </w:rPr>
              <w:t>3-Year Average</w:t>
            </w:r>
          </w:p>
        </w:tc>
        <w:tc>
          <w:tcPr>
            <w:tcW w:w="1160" w:type="dxa"/>
            <w:vAlign w:val="bottom"/>
            <w:tcBorders>
              <w:top w:val="single" w:sz="8" w:color="auto"/>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w w:val="92"/>
              </w:rPr>
              <w:t>1-Year Average</w:t>
            </w:r>
          </w:p>
        </w:tc>
        <w:tc>
          <w:tcPr>
            <w:tcW w:w="260" w:type="dxa"/>
            <w:vAlign w:val="bottom"/>
          </w:tcPr>
          <w:p>
            <w:pPr>
              <w:spacing w:after="0"/>
              <w:rPr>
                <w:sz w:val="12"/>
                <w:szCs w:val="12"/>
                <w:color w:val="auto"/>
              </w:rPr>
            </w:pPr>
          </w:p>
        </w:tc>
      </w:tr>
      <w:tr>
        <w:trPr>
          <w:trHeight w:val="142"/>
        </w:trPr>
        <w:tc>
          <w:tcPr>
            <w:tcW w:w="43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20" w:type="dxa"/>
            <w:vAlign w:val="bottom"/>
          </w:tcPr>
          <w:p>
            <w:pPr>
              <w:jc w:val="right"/>
              <w:ind w:right="136"/>
              <w:spacing w:after="0" w:line="142" w:lineRule="exact"/>
              <w:rPr>
                <w:sz w:val="20"/>
                <w:szCs w:val="20"/>
                <w:color w:val="auto"/>
              </w:rPr>
            </w:pPr>
            <w:r>
              <w:rPr>
                <w:rFonts w:ascii="Arial" w:cs="Arial" w:eastAsia="Arial" w:hAnsi="Arial"/>
                <w:sz w:val="14"/>
                <w:szCs w:val="14"/>
                <w:b w:val="1"/>
                <w:bCs w:val="1"/>
                <w:color w:val="auto"/>
                <w:w w:val="98"/>
              </w:rPr>
              <w:t>(% below the 10-year average)</w:t>
            </w: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Handysize</w:t>
            </w:r>
          </w:p>
        </w:tc>
        <w:tc>
          <w:tcPr>
            <w:tcW w:w="12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0.2%</w:t>
            </w:r>
          </w:p>
        </w:tc>
        <w:tc>
          <w:tcPr>
            <w:tcW w:w="222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rPr>
              <w:t>(12.5%)</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Ultra-Handymax</w:t>
            </w: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4.1%</w:t>
            </w:r>
          </w:p>
        </w:tc>
        <w:tc>
          <w:tcPr>
            <w:tcW w:w="2220" w:type="dxa"/>
            <w:vAlign w:val="bottom"/>
          </w:tcPr>
          <w:p>
            <w:pPr>
              <w:jc w:val="right"/>
              <w:ind w:right="396"/>
              <w:spacing w:after="0"/>
              <w:rPr>
                <w:sz w:val="20"/>
                <w:szCs w:val="20"/>
                <w:color w:val="auto"/>
              </w:rPr>
            </w:pPr>
            <w:r>
              <w:rPr>
                <w:rFonts w:ascii="Arial" w:cs="Arial" w:eastAsia="Arial" w:hAnsi="Arial"/>
                <w:sz w:val="18"/>
                <w:szCs w:val="18"/>
                <w:color w:val="auto"/>
              </w:rPr>
              <w:t>(7.6%)</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5.3%</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Panamax</w:t>
            </w: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(2.5%)</w:t>
            </w:r>
          </w:p>
        </w:tc>
        <w:tc>
          <w:tcPr>
            <w:tcW w:w="222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rPr>
              <w:t>(16.9%)</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Capesize</w:t>
            </w: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3.5%</w:t>
            </w:r>
          </w:p>
        </w:tc>
        <w:tc>
          <w:tcPr>
            <w:tcW w:w="2220" w:type="dxa"/>
            <w:vAlign w:val="bottom"/>
          </w:tcPr>
          <w:p>
            <w:pPr>
              <w:jc w:val="right"/>
              <w:ind w:right="396"/>
              <w:spacing w:after="0"/>
              <w:rPr>
                <w:sz w:val="20"/>
                <w:szCs w:val="20"/>
                <w:color w:val="auto"/>
              </w:rPr>
            </w:pPr>
            <w:r>
              <w:rPr>
                <w:rFonts w:ascii="Arial" w:cs="Arial" w:eastAsia="Arial" w:hAnsi="Arial"/>
                <w:sz w:val="18"/>
                <w:szCs w:val="18"/>
                <w:color w:val="auto"/>
              </w:rPr>
              <w:t>(10.7%)</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4.1%</w:t>
            </w:r>
          </w:p>
        </w:tc>
      </w:tr>
    </w:tbl>
    <w:p>
      <w:pPr>
        <w:spacing w:after="0" w:line="18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If testing for impairment using the five-year, three-year and one-year historical averages (of the one-year charter rate for similar vessels) in lieu of the 10-year historical average (of the one-year charter rate for similar vessels), the Company estimates that none of its vessels would have carrying values in excess of their projected undiscounted future cash flows.</w:t>
      </w:r>
    </w:p>
    <w:p>
      <w:pPr>
        <w:spacing w:after="0" w:line="184"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As of December 31, 2020, the Company owns and operates a fleet of 32 including five bareboat chartered-in vessels with an aggregate carrying value of $647.5 million, including the carrying value of deferred drydock and special survey costs, ballast water treatment system costs and other capitalized items, if any, related to the vessel. On a vessel-by-vessel basis, as of December 31, 2020, the carrying value of 19 of the Company’s vessels exceeds the estimated fair value of those same vessels by approximately $141.3 million in the aggregate (the unrealized loss).</w:t>
      </w:r>
    </w:p>
    <w:p>
      <w:pPr>
        <w:spacing w:after="0" w:line="157"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A vessel-by-vessel summary as of December 31, 2020 follows (with an * indicating those individual vessels whose carrying value exceeds its estimated fair value):</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1600" w:type="dxa"/>
            <w:vAlign w:val="bottom"/>
            <w:gridSpan w:val="3"/>
            <w:vMerge w:val="restart"/>
          </w:tcPr>
          <w:p>
            <w:pPr>
              <w:ind w:left="680"/>
              <w:spacing w:after="0"/>
              <w:rPr>
                <w:sz w:val="20"/>
                <w:szCs w:val="20"/>
                <w:color w:val="auto"/>
              </w:rPr>
            </w:pPr>
            <w:r>
              <w:rPr>
                <w:rFonts w:ascii="Arial" w:cs="Arial" w:eastAsia="Arial" w:hAnsi="Arial"/>
                <w:sz w:val="14"/>
                <w:szCs w:val="14"/>
                <w:b w:val="1"/>
                <w:bCs w:val="1"/>
                <w:color w:val="auto"/>
                <w:w w:val="88"/>
              </w:rPr>
              <w:t>Purchase Price</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Carrying Value</w:t>
            </w: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81"/>
              </w:rPr>
              <w:t>Vessel</w:t>
            </w:r>
          </w:p>
        </w:tc>
        <w:tc>
          <w:tcPr>
            <w:tcW w:w="2640" w:type="dxa"/>
            <w:vAlign w:val="bottom"/>
            <w:vMerge w:val="restart"/>
          </w:tcPr>
          <w:p>
            <w:pPr>
              <w:spacing w:after="0"/>
              <w:rPr>
                <w:sz w:val="12"/>
                <w:szCs w:val="12"/>
                <w:color w:val="auto"/>
              </w:rPr>
            </w:pPr>
          </w:p>
        </w:tc>
        <w:tc>
          <w:tcPr>
            <w:tcW w:w="182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1600" w:type="dxa"/>
            <w:vAlign w:val="bottom"/>
            <w:gridSpan w:val="3"/>
            <w:vMerge w:val="continue"/>
          </w:tcPr>
          <w:p>
            <w:pPr>
              <w:spacing w:after="0"/>
              <w:rPr>
                <w:sz w:val="12"/>
                <w:szCs w:val="12"/>
                <w:color w:val="auto"/>
              </w:rPr>
            </w:pPr>
          </w:p>
        </w:tc>
        <w:tc>
          <w:tcPr>
            <w:tcW w:w="2400" w:type="dxa"/>
            <w:vAlign w:val="bottom"/>
            <w:gridSpan w:val="4"/>
          </w:tcPr>
          <w:p>
            <w:pPr>
              <w:jc w:val="center"/>
              <w:ind w:left="468"/>
              <w:spacing w:after="0" w:line="149" w:lineRule="exact"/>
              <w:rPr>
                <w:sz w:val="20"/>
                <w:szCs w:val="20"/>
                <w:color w:val="auto"/>
              </w:rPr>
            </w:pPr>
            <w:r>
              <w:rPr>
                <w:rFonts w:ascii="Arial" w:cs="Arial" w:eastAsia="Arial" w:hAnsi="Arial"/>
                <w:sz w:val="14"/>
                <w:szCs w:val="14"/>
                <w:b w:val="1"/>
                <w:bCs w:val="1"/>
                <w:color w:val="auto"/>
                <w:w w:val="91"/>
              </w:rPr>
              <w:t>(as of December 31, 2020)</w:t>
            </w:r>
          </w:p>
        </w:tc>
        <w:tc>
          <w:tcPr>
            <w:tcW w:w="0" w:type="dxa"/>
            <w:vAlign w:val="bottom"/>
          </w:tcPr>
          <w:p>
            <w:pPr>
              <w:spacing w:after="0"/>
              <w:rPr>
                <w:sz w:val="1"/>
                <w:szCs w:val="1"/>
                <w:color w:val="auto"/>
              </w:rPr>
            </w:pPr>
          </w:p>
        </w:tc>
      </w:tr>
      <w:tr>
        <w:trPr>
          <w:trHeight w:val="163"/>
        </w:trPr>
        <w:tc>
          <w:tcPr>
            <w:tcW w:w="380" w:type="dxa"/>
            <w:vAlign w:val="bottom"/>
            <w:tcBorders>
              <w:bottom w:val="single" w:sz="8" w:color="auto"/>
            </w:tcBorders>
            <w:vMerge w:val="continue"/>
          </w:tcPr>
          <w:p>
            <w:pPr>
              <w:spacing w:after="0"/>
              <w:rPr>
                <w:sz w:val="13"/>
                <w:szCs w:val="13"/>
                <w:color w:val="auto"/>
              </w:rPr>
            </w:pPr>
          </w:p>
        </w:tc>
        <w:tc>
          <w:tcPr>
            <w:tcW w:w="2640" w:type="dxa"/>
            <w:vAlign w:val="bottom"/>
            <w:vMerge w:val="continue"/>
          </w:tcPr>
          <w:p>
            <w:pPr>
              <w:spacing w:after="0"/>
              <w:rPr>
                <w:sz w:val="13"/>
                <w:szCs w:val="13"/>
                <w:color w:val="auto"/>
              </w:rPr>
            </w:pPr>
          </w:p>
        </w:tc>
        <w:tc>
          <w:tcPr>
            <w:tcW w:w="1820" w:type="dxa"/>
            <w:vAlign w:val="bottom"/>
          </w:tcPr>
          <w:p>
            <w:pPr>
              <w:spacing w:after="0"/>
              <w:rPr>
                <w:sz w:val="13"/>
                <w:szCs w:val="13"/>
                <w:color w:val="auto"/>
              </w:rPr>
            </w:pPr>
          </w:p>
        </w:tc>
        <w:tc>
          <w:tcPr>
            <w:tcW w:w="420" w:type="dxa"/>
            <w:vAlign w:val="bottom"/>
          </w:tcPr>
          <w:p>
            <w:pPr>
              <w:ind w:left="60"/>
              <w:spacing w:after="0" w:line="158" w:lineRule="exact"/>
              <w:rPr>
                <w:sz w:val="20"/>
                <w:szCs w:val="20"/>
                <w:color w:val="auto"/>
              </w:rPr>
            </w:pPr>
            <w:r>
              <w:rPr>
                <w:rFonts w:ascii="Arial" w:cs="Arial" w:eastAsia="Arial" w:hAnsi="Arial"/>
                <w:sz w:val="14"/>
                <w:szCs w:val="14"/>
                <w:b w:val="1"/>
                <w:bCs w:val="1"/>
                <w:color w:val="auto"/>
              </w:rPr>
              <w:t>Built</w:t>
            </w:r>
          </w:p>
        </w:tc>
        <w:tc>
          <w:tcPr>
            <w:tcW w:w="680" w:type="dxa"/>
            <w:vAlign w:val="bottom"/>
          </w:tcPr>
          <w:p>
            <w:pPr>
              <w:spacing w:after="0"/>
              <w:rPr>
                <w:sz w:val="13"/>
                <w:szCs w:val="13"/>
                <w:color w:val="auto"/>
              </w:rPr>
            </w:pPr>
          </w:p>
        </w:tc>
        <w:tc>
          <w:tcPr>
            <w:tcW w:w="92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w w:val="94"/>
              </w:rPr>
              <w:t>(in millions)</w:t>
            </w:r>
            <w:r>
              <w:rPr>
                <w:rFonts w:ascii="Arial" w:cs="Arial" w:eastAsia="Arial" w:hAnsi="Arial"/>
                <w:sz w:val="12"/>
                <w:szCs w:val="12"/>
                <w:b w:val="1"/>
                <w:bCs w:val="1"/>
                <w:color w:val="auto"/>
                <w:w w:val="94"/>
              </w:rPr>
              <w:t>(1)</w:t>
            </w: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0"/>
        </w:trPr>
        <w:tc>
          <w:tcPr>
            <w:tcW w:w="30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 xml:space="preserve">Navios Serenity </w:t>
            </w:r>
            <w:r>
              <w:rPr>
                <w:rFonts w:ascii="Arial" w:cs="Arial" w:eastAsia="Arial" w:hAnsi="Arial"/>
                <w:sz w:val="15"/>
                <w:szCs w:val="15"/>
                <w:color w:val="auto"/>
              </w:rPr>
              <w:t>(1)</w:t>
            </w:r>
          </w:p>
        </w:tc>
        <w:tc>
          <w:tcPr>
            <w:tcW w:w="182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8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20" w:type="dxa"/>
            <w:vAlign w:val="bottom"/>
            <w:gridSpan w:val="2"/>
            <w:vMerge w:val="continue"/>
            <w:shd w:val="clear" w:color="auto" w:fill="CCEEFF"/>
          </w:tcPr>
          <w:p>
            <w:pPr>
              <w:spacing w:after="0"/>
              <w:rPr>
                <w:sz w:val="17"/>
                <w:szCs w:val="17"/>
                <w:color w:val="auto"/>
              </w:rPr>
            </w:pPr>
          </w:p>
        </w:tc>
        <w:tc>
          <w:tcPr>
            <w:tcW w:w="1820" w:type="dxa"/>
            <w:vAlign w:val="bottom"/>
            <w:vMerge w:val="continue"/>
            <w:shd w:val="clear" w:color="auto" w:fill="CCEEFF"/>
          </w:tcPr>
          <w:p>
            <w:pPr>
              <w:spacing w:after="0"/>
              <w:rPr>
                <w:sz w:val="17"/>
                <w:szCs w:val="17"/>
                <w:color w:val="auto"/>
              </w:rPr>
            </w:pPr>
          </w:p>
        </w:tc>
        <w:tc>
          <w:tcPr>
            <w:tcW w:w="42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2011</w:t>
            </w:r>
          </w:p>
        </w:tc>
        <w:tc>
          <w:tcPr>
            <w:tcW w:w="680" w:type="dxa"/>
            <w:vAlign w:val="bottom"/>
            <w:vMerge w:val="continue"/>
            <w:shd w:val="clear" w:color="auto" w:fill="CCEEFF"/>
          </w:tcPr>
          <w:p>
            <w:pPr>
              <w:spacing w:after="0"/>
              <w:rPr>
                <w:sz w:val="17"/>
                <w:szCs w:val="17"/>
                <w:color w:val="auto"/>
              </w:rPr>
            </w:pPr>
          </w:p>
        </w:tc>
        <w:tc>
          <w:tcPr>
            <w:tcW w:w="3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26.8</w:t>
            </w:r>
          </w:p>
        </w:tc>
        <w:tc>
          <w:tcPr>
            <w:tcW w:w="68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Navios Celestial</w:t>
            </w:r>
          </w:p>
        </w:tc>
        <w:tc>
          <w:tcPr>
            <w:tcW w:w="2240" w:type="dxa"/>
            <w:vAlign w:val="bottom"/>
            <w:gridSpan w:val="2"/>
          </w:tcPr>
          <w:p>
            <w:pPr>
              <w:ind w:left="1880"/>
              <w:spacing w:after="0"/>
              <w:rPr>
                <w:sz w:val="20"/>
                <w:szCs w:val="20"/>
                <w:color w:val="auto"/>
              </w:rPr>
            </w:pPr>
            <w:r>
              <w:rPr>
                <w:rFonts w:ascii="Arial" w:cs="Arial" w:eastAsia="Arial" w:hAnsi="Arial"/>
                <w:sz w:val="18"/>
                <w:szCs w:val="18"/>
                <w:color w:val="auto"/>
                <w:w w:val="84"/>
              </w:rPr>
              <w:t>2009</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36.3</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Navios Hios</w:t>
            </w:r>
          </w:p>
        </w:tc>
        <w:tc>
          <w:tcPr>
            <w:tcW w:w="224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w w:val="84"/>
              </w:rPr>
              <w:t>2003</w:t>
            </w: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Navios Kypros</w:t>
            </w:r>
          </w:p>
        </w:tc>
        <w:tc>
          <w:tcPr>
            <w:tcW w:w="2240" w:type="dxa"/>
            <w:vAlign w:val="bottom"/>
            <w:gridSpan w:val="2"/>
          </w:tcPr>
          <w:p>
            <w:pPr>
              <w:ind w:left="1880"/>
              <w:spacing w:after="0"/>
              <w:rPr>
                <w:sz w:val="20"/>
                <w:szCs w:val="20"/>
                <w:color w:val="auto"/>
              </w:rPr>
            </w:pPr>
            <w:r>
              <w:rPr>
                <w:rFonts w:ascii="Arial" w:cs="Arial" w:eastAsia="Arial" w:hAnsi="Arial"/>
                <w:sz w:val="18"/>
                <w:szCs w:val="18"/>
                <w:color w:val="auto"/>
                <w:w w:val="84"/>
              </w:rPr>
              <w:t>2003</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Navios Ulysses</w:t>
            </w:r>
          </w:p>
        </w:tc>
        <w:tc>
          <w:tcPr>
            <w:tcW w:w="224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w w:val="84"/>
              </w:rPr>
              <w:t>2007</w:t>
            </w: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Navios Vega</w:t>
            </w:r>
          </w:p>
        </w:tc>
        <w:tc>
          <w:tcPr>
            <w:tcW w:w="2240" w:type="dxa"/>
            <w:vAlign w:val="bottom"/>
            <w:gridSpan w:val="2"/>
          </w:tcPr>
          <w:p>
            <w:pPr>
              <w:ind w:left="1880"/>
              <w:spacing w:after="0"/>
              <w:rPr>
                <w:sz w:val="20"/>
                <w:szCs w:val="20"/>
                <w:color w:val="auto"/>
              </w:rPr>
            </w:pPr>
            <w:r>
              <w:rPr>
                <w:rFonts w:ascii="Arial" w:cs="Arial" w:eastAsia="Arial" w:hAnsi="Arial"/>
                <w:sz w:val="18"/>
                <w:szCs w:val="18"/>
                <w:color w:val="auto"/>
                <w:w w:val="84"/>
              </w:rPr>
              <w:t>2009</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16.7</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Navios Astra </w:t>
            </w:r>
            <w:r>
              <w:rPr>
                <w:rFonts w:ascii="Arial" w:cs="Arial" w:eastAsia="Arial" w:hAnsi="Arial"/>
                <w:sz w:val="15"/>
                <w:szCs w:val="15"/>
                <w:color w:val="auto"/>
              </w:rPr>
              <w:t>(2)</w:t>
            </w:r>
          </w:p>
        </w:tc>
        <w:tc>
          <w:tcPr>
            <w:tcW w:w="224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w w:val="84"/>
              </w:rPr>
              <w:t>2006</w:t>
            </w: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Navios Star</w:t>
            </w:r>
          </w:p>
        </w:tc>
        <w:tc>
          <w:tcPr>
            <w:tcW w:w="2240" w:type="dxa"/>
            <w:vAlign w:val="bottom"/>
            <w:gridSpan w:val="2"/>
          </w:tcPr>
          <w:p>
            <w:pPr>
              <w:ind w:left="1880"/>
              <w:spacing w:after="0"/>
              <w:rPr>
                <w:sz w:val="20"/>
                <w:szCs w:val="20"/>
                <w:color w:val="auto"/>
              </w:rPr>
            </w:pPr>
            <w:r>
              <w:rPr>
                <w:rFonts w:ascii="Arial" w:cs="Arial" w:eastAsia="Arial" w:hAnsi="Arial"/>
                <w:sz w:val="18"/>
                <w:szCs w:val="18"/>
                <w:color w:val="auto"/>
                <w:w w:val="84"/>
              </w:rPr>
              <w:t>2002</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Navios Asteriks</w:t>
            </w:r>
          </w:p>
        </w:tc>
        <w:tc>
          <w:tcPr>
            <w:tcW w:w="224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w w:val="84"/>
              </w:rPr>
              <w:t>2005</w:t>
            </w: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 xml:space="preserve">Navios Centaurus </w:t>
            </w:r>
            <w:r>
              <w:rPr>
                <w:rFonts w:ascii="Arial" w:cs="Arial" w:eastAsia="Arial" w:hAnsi="Arial"/>
                <w:sz w:val="15"/>
                <w:szCs w:val="15"/>
                <w:color w:val="auto"/>
              </w:rPr>
              <w:t>(2)</w:t>
            </w:r>
          </w:p>
        </w:tc>
        <w:tc>
          <w:tcPr>
            <w:tcW w:w="2240" w:type="dxa"/>
            <w:vAlign w:val="bottom"/>
            <w:gridSpan w:val="2"/>
          </w:tcPr>
          <w:p>
            <w:pPr>
              <w:ind w:left="1880"/>
              <w:spacing w:after="0"/>
              <w:rPr>
                <w:sz w:val="20"/>
                <w:szCs w:val="20"/>
                <w:color w:val="auto"/>
              </w:rPr>
            </w:pPr>
            <w:r>
              <w:rPr>
                <w:rFonts w:ascii="Arial" w:cs="Arial" w:eastAsia="Arial" w:hAnsi="Arial"/>
                <w:sz w:val="18"/>
                <w:szCs w:val="18"/>
                <w:color w:val="auto"/>
                <w:w w:val="84"/>
              </w:rPr>
              <w:t>2012</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38.2</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Navios Avior </w:t>
            </w:r>
            <w:r>
              <w:rPr>
                <w:rFonts w:ascii="Arial" w:cs="Arial" w:eastAsia="Arial" w:hAnsi="Arial"/>
                <w:sz w:val="15"/>
                <w:szCs w:val="15"/>
                <w:color w:val="auto"/>
              </w:rPr>
              <w:t>(2)</w:t>
            </w:r>
          </w:p>
        </w:tc>
        <w:tc>
          <w:tcPr>
            <w:tcW w:w="224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w w:val="84"/>
              </w:rPr>
              <w:t>2012</w:t>
            </w: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Navios Bonavis</w:t>
            </w:r>
          </w:p>
        </w:tc>
        <w:tc>
          <w:tcPr>
            <w:tcW w:w="2240" w:type="dxa"/>
            <w:vAlign w:val="bottom"/>
            <w:gridSpan w:val="2"/>
          </w:tcPr>
          <w:p>
            <w:pPr>
              <w:ind w:left="1880"/>
              <w:spacing w:after="0"/>
              <w:rPr>
                <w:sz w:val="20"/>
                <w:szCs w:val="20"/>
                <w:color w:val="auto"/>
              </w:rPr>
            </w:pPr>
            <w:r>
              <w:rPr>
                <w:rFonts w:ascii="Arial" w:cs="Arial" w:eastAsia="Arial" w:hAnsi="Arial"/>
                <w:sz w:val="18"/>
                <w:szCs w:val="18"/>
                <w:color w:val="auto"/>
                <w:w w:val="84"/>
              </w:rPr>
              <w:t>2009</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31.8</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Navios Happiness</w:t>
            </w:r>
          </w:p>
        </w:tc>
        <w:tc>
          <w:tcPr>
            <w:tcW w:w="224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w w:val="84"/>
              </w:rPr>
              <w:t>2009</w:t>
            </w: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Navios Lumen</w:t>
            </w:r>
          </w:p>
        </w:tc>
        <w:tc>
          <w:tcPr>
            <w:tcW w:w="2240" w:type="dxa"/>
            <w:vAlign w:val="bottom"/>
            <w:gridSpan w:val="2"/>
          </w:tcPr>
          <w:p>
            <w:pPr>
              <w:ind w:left="1880"/>
              <w:spacing w:after="0"/>
              <w:rPr>
                <w:sz w:val="20"/>
                <w:szCs w:val="20"/>
                <w:color w:val="auto"/>
              </w:rPr>
            </w:pPr>
            <w:r>
              <w:rPr>
                <w:rFonts w:ascii="Arial" w:cs="Arial" w:eastAsia="Arial" w:hAnsi="Arial"/>
                <w:sz w:val="18"/>
                <w:szCs w:val="18"/>
                <w:color w:val="auto"/>
                <w:w w:val="84"/>
              </w:rPr>
              <w:t>2009</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29.5</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Navios Stellar</w:t>
            </w:r>
          </w:p>
        </w:tc>
        <w:tc>
          <w:tcPr>
            <w:tcW w:w="224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w w:val="84"/>
              </w:rPr>
              <w:t>2009</w:t>
            </w: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Navios Phoenix</w:t>
            </w:r>
          </w:p>
        </w:tc>
        <w:tc>
          <w:tcPr>
            <w:tcW w:w="2240" w:type="dxa"/>
            <w:vAlign w:val="bottom"/>
            <w:gridSpan w:val="2"/>
          </w:tcPr>
          <w:p>
            <w:pPr>
              <w:ind w:left="1880"/>
              <w:spacing w:after="0"/>
              <w:rPr>
                <w:sz w:val="20"/>
                <w:szCs w:val="20"/>
                <w:color w:val="auto"/>
              </w:rPr>
            </w:pPr>
            <w:r>
              <w:rPr>
                <w:rFonts w:ascii="Arial" w:cs="Arial" w:eastAsia="Arial" w:hAnsi="Arial"/>
                <w:sz w:val="18"/>
                <w:szCs w:val="18"/>
                <w:color w:val="auto"/>
                <w:w w:val="84"/>
              </w:rPr>
              <w:t>2009</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29.1</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Navios Antares</w:t>
            </w:r>
          </w:p>
        </w:tc>
        <w:tc>
          <w:tcPr>
            <w:tcW w:w="224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w w:val="84"/>
              </w:rPr>
              <w:t>2010</w:t>
            </w: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Navios Etoile</w:t>
            </w:r>
          </w:p>
        </w:tc>
        <w:tc>
          <w:tcPr>
            <w:tcW w:w="2240" w:type="dxa"/>
            <w:vAlign w:val="bottom"/>
            <w:gridSpan w:val="2"/>
          </w:tcPr>
          <w:p>
            <w:pPr>
              <w:ind w:left="1880"/>
              <w:spacing w:after="0"/>
              <w:rPr>
                <w:sz w:val="20"/>
                <w:szCs w:val="20"/>
                <w:color w:val="auto"/>
              </w:rPr>
            </w:pPr>
            <w:r>
              <w:rPr>
                <w:rFonts w:ascii="Arial" w:cs="Arial" w:eastAsia="Arial" w:hAnsi="Arial"/>
                <w:sz w:val="18"/>
                <w:szCs w:val="18"/>
                <w:color w:val="auto"/>
                <w:w w:val="84"/>
              </w:rPr>
              <w:t>2010</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66.4</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Navios Bonheur</w:t>
            </w:r>
          </w:p>
        </w:tc>
        <w:tc>
          <w:tcPr>
            <w:tcW w:w="224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w w:val="84"/>
              </w:rPr>
              <w:t>2010</w:t>
            </w: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Navios Altamira</w:t>
            </w:r>
          </w:p>
        </w:tc>
        <w:tc>
          <w:tcPr>
            <w:tcW w:w="2240" w:type="dxa"/>
            <w:vAlign w:val="bottom"/>
            <w:gridSpan w:val="2"/>
          </w:tcPr>
          <w:p>
            <w:pPr>
              <w:ind w:left="1880"/>
              <w:spacing w:after="0"/>
              <w:rPr>
                <w:sz w:val="20"/>
                <w:szCs w:val="20"/>
                <w:color w:val="auto"/>
              </w:rPr>
            </w:pPr>
            <w:r>
              <w:rPr>
                <w:rFonts w:ascii="Arial" w:cs="Arial" w:eastAsia="Arial" w:hAnsi="Arial"/>
                <w:sz w:val="18"/>
                <w:szCs w:val="18"/>
                <w:color w:val="auto"/>
                <w:w w:val="84"/>
              </w:rPr>
              <w:t>2011</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55.5</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Navios Azimuth</w:t>
            </w:r>
          </w:p>
        </w:tc>
        <w:tc>
          <w:tcPr>
            <w:tcW w:w="224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w w:val="84"/>
              </w:rPr>
              <w:t>2011</w:t>
            </w: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Navios Galileo</w:t>
            </w:r>
          </w:p>
        </w:tc>
        <w:tc>
          <w:tcPr>
            <w:tcW w:w="2240" w:type="dxa"/>
            <w:vAlign w:val="bottom"/>
            <w:gridSpan w:val="2"/>
          </w:tcPr>
          <w:p>
            <w:pPr>
              <w:ind w:left="1880"/>
              <w:spacing w:after="0"/>
              <w:rPr>
                <w:sz w:val="20"/>
                <w:szCs w:val="20"/>
                <w:color w:val="auto"/>
              </w:rPr>
            </w:pPr>
            <w:r>
              <w:rPr>
                <w:rFonts w:ascii="Arial" w:cs="Arial" w:eastAsia="Arial" w:hAnsi="Arial"/>
                <w:sz w:val="18"/>
                <w:szCs w:val="18"/>
                <w:color w:val="auto"/>
                <w:w w:val="84"/>
              </w:rPr>
              <w:t>2006</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19.1</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Navios Northern Star</w:t>
            </w:r>
          </w:p>
        </w:tc>
        <w:tc>
          <w:tcPr>
            <w:tcW w:w="224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w w:val="84"/>
              </w:rPr>
              <w:t>2005</w:t>
            </w: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Navios Amitie</w:t>
            </w:r>
          </w:p>
        </w:tc>
        <w:tc>
          <w:tcPr>
            <w:tcW w:w="2240" w:type="dxa"/>
            <w:vAlign w:val="bottom"/>
            <w:gridSpan w:val="2"/>
          </w:tcPr>
          <w:p>
            <w:pPr>
              <w:ind w:left="1880"/>
              <w:spacing w:after="0"/>
              <w:rPr>
                <w:sz w:val="20"/>
                <w:szCs w:val="20"/>
                <w:color w:val="auto"/>
              </w:rPr>
            </w:pPr>
            <w:r>
              <w:rPr>
                <w:rFonts w:ascii="Arial" w:cs="Arial" w:eastAsia="Arial" w:hAnsi="Arial"/>
                <w:sz w:val="18"/>
                <w:szCs w:val="18"/>
                <w:color w:val="auto"/>
                <w:w w:val="84"/>
              </w:rPr>
              <w:t>2005</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Navios Taurus</w:t>
            </w:r>
          </w:p>
        </w:tc>
        <w:tc>
          <w:tcPr>
            <w:tcW w:w="224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w w:val="84"/>
              </w:rPr>
              <w:t>2005</w:t>
            </w: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N Amalthia</w:t>
            </w:r>
          </w:p>
        </w:tc>
        <w:tc>
          <w:tcPr>
            <w:tcW w:w="2240" w:type="dxa"/>
            <w:vAlign w:val="bottom"/>
            <w:gridSpan w:val="2"/>
          </w:tcPr>
          <w:p>
            <w:pPr>
              <w:ind w:left="1880"/>
              <w:spacing w:after="0"/>
              <w:rPr>
                <w:sz w:val="20"/>
                <w:szCs w:val="20"/>
                <w:color w:val="auto"/>
              </w:rPr>
            </w:pPr>
            <w:r>
              <w:rPr>
                <w:rFonts w:ascii="Arial" w:cs="Arial" w:eastAsia="Arial" w:hAnsi="Arial"/>
                <w:sz w:val="18"/>
                <w:szCs w:val="18"/>
                <w:color w:val="auto"/>
                <w:w w:val="84"/>
              </w:rPr>
              <w:t>2006</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19.1</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 Bonanza</w:t>
            </w:r>
          </w:p>
        </w:tc>
        <w:tc>
          <w:tcPr>
            <w:tcW w:w="224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w w:val="84"/>
              </w:rPr>
              <w:t>2006</w:t>
            </w: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3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126</w:t>
            </w: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130" w:name="page131"/>
    <w:bookmarkEnd w:id="13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458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3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00" w:type="dxa"/>
            <w:vAlign w:val="bottom"/>
            <w:tcBorders>
              <w:top w:val="single" w:sz="8" w:color="0000EE"/>
            </w:tcBorders>
            <w:vMerge w:val="restart"/>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2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0" w:type="dxa"/>
            <w:vAlign w:val="bottom"/>
            <w:vMerge w:val="continue"/>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Navios Gem</w:t>
            </w:r>
          </w:p>
        </w:tc>
        <w:tc>
          <w:tcPr>
            <w:tcW w:w="32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2014</w:t>
            </w:r>
          </w:p>
        </w:tc>
        <w:tc>
          <w:tcPr>
            <w:tcW w:w="13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Navios Ray</w:t>
            </w:r>
          </w:p>
        </w:tc>
        <w:tc>
          <w:tcPr>
            <w:tcW w:w="3260" w:type="dxa"/>
            <w:vAlign w:val="bottom"/>
          </w:tcPr>
          <w:p>
            <w:pPr>
              <w:jc w:val="right"/>
              <w:ind w:right="330"/>
              <w:spacing w:after="0"/>
              <w:rPr>
                <w:sz w:val="20"/>
                <w:szCs w:val="20"/>
                <w:color w:val="auto"/>
              </w:rPr>
            </w:pPr>
            <w:r>
              <w:rPr>
                <w:rFonts w:ascii="Arial" w:cs="Arial" w:eastAsia="Arial" w:hAnsi="Arial"/>
                <w:sz w:val="18"/>
                <w:szCs w:val="18"/>
                <w:color w:val="auto"/>
              </w:rPr>
              <w:t>2012</w:t>
            </w:r>
          </w:p>
        </w:tc>
        <w:tc>
          <w:tcPr>
            <w:tcW w:w="1340" w:type="dxa"/>
            <w:vAlign w:val="bottom"/>
          </w:tcPr>
          <w:p>
            <w:pPr>
              <w:jc w:val="right"/>
              <w:ind w:right="330"/>
              <w:spacing w:after="0"/>
              <w:rPr>
                <w:sz w:val="20"/>
                <w:szCs w:val="20"/>
                <w:color w:val="auto"/>
              </w:rPr>
            </w:pPr>
            <w:r>
              <w:rPr>
                <w:rFonts w:ascii="Arial" w:cs="Arial" w:eastAsia="Arial" w:hAnsi="Arial"/>
                <w:sz w:val="18"/>
                <w:szCs w:val="18"/>
                <w:color w:val="auto"/>
              </w:rPr>
              <w:t>52.3</w:t>
            </w:r>
          </w:p>
        </w:tc>
        <w:tc>
          <w:tcPr>
            <w:tcW w:w="1080" w:type="dxa"/>
            <w:vAlign w:val="bottom"/>
          </w:tcPr>
          <w:p>
            <w:pPr>
              <w:jc w:val="right"/>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Navios Victory</w:t>
            </w:r>
          </w:p>
        </w:tc>
        <w:tc>
          <w:tcPr>
            <w:tcW w:w="32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2014</w:t>
            </w:r>
          </w:p>
        </w:tc>
        <w:tc>
          <w:tcPr>
            <w:tcW w:w="13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Navios Canary</w:t>
            </w:r>
          </w:p>
        </w:tc>
        <w:tc>
          <w:tcPr>
            <w:tcW w:w="3260" w:type="dxa"/>
            <w:vAlign w:val="bottom"/>
          </w:tcPr>
          <w:p>
            <w:pPr>
              <w:jc w:val="right"/>
              <w:ind w:right="330"/>
              <w:spacing w:after="0"/>
              <w:rPr>
                <w:sz w:val="20"/>
                <w:szCs w:val="20"/>
                <w:color w:val="auto"/>
              </w:rPr>
            </w:pPr>
            <w:r>
              <w:rPr>
                <w:rFonts w:ascii="Arial" w:cs="Arial" w:eastAsia="Arial" w:hAnsi="Arial"/>
                <w:sz w:val="18"/>
                <w:szCs w:val="18"/>
                <w:color w:val="auto"/>
              </w:rPr>
              <w:t>2015</w:t>
            </w:r>
          </w:p>
        </w:tc>
        <w:tc>
          <w:tcPr>
            <w:tcW w:w="1340" w:type="dxa"/>
            <w:vAlign w:val="bottom"/>
          </w:tcPr>
          <w:p>
            <w:pPr>
              <w:jc w:val="right"/>
              <w:ind w:right="330"/>
              <w:spacing w:after="0"/>
              <w:rPr>
                <w:sz w:val="20"/>
                <w:szCs w:val="20"/>
                <w:color w:val="auto"/>
              </w:rPr>
            </w:pPr>
            <w:r>
              <w:rPr>
                <w:rFonts w:ascii="Arial" w:cs="Arial" w:eastAsia="Arial" w:hAnsi="Arial"/>
                <w:sz w:val="18"/>
                <w:szCs w:val="18"/>
                <w:color w:val="auto"/>
              </w:rPr>
              <w:t>36.0</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Navios Corali</w:t>
            </w:r>
          </w:p>
        </w:tc>
        <w:tc>
          <w:tcPr>
            <w:tcW w:w="32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2015</w:t>
            </w:r>
          </w:p>
        </w:tc>
        <w:tc>
          <w:tcPr>
            <w:tcW w:w="13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36.7</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Jupiter N</w:t>
            </w:r>
          </w:p>
        </w:tc>
        <w:tc>
          <w:tcPr>
            <w:tcW w:w="3260" w:type="dxa"/>
            <w:vAlign w:val="bottom"/>
          </w:tcPr>
          <w:p>
            <w:pPr>
              <w:jc w:val="right"/>
              <w:ind w:right="330"/>
              <w:spacing w:after="0"/>
              <w:rPr>
                <w:sz w:val="20"/>
                <w:szCs w:val="20"/>
                <w:color w:val="auto"/>
              </w:rPr>
            </w:pPr>
            <w:r>
              <w:rPr>
                <w:rFonts w:ascii="Arial" w:cs="Arial" w:eastAsia="Arial" w:hAnsi="Arial"/>
                <w:sz w:val="18"/>
                <w:szCs w:val="18"/>
                <w:color w:val="auto"/>
              </w:rPr>
              <w:t>2011</w:t>
            </w:r>
          </w:p>
        </w:tc>
        <w:tc>
          <w:tcPr>
            <w:tcW w:w="1340" w:type="dxa"/>
            <w:vAlign w:val="bottom"/>
          </w:tcPr>
          <w:p>
            <w:pPr>
              <w:jc w:val="right"/>
              <w:ind w:right="330"/>
              <w:spacing w:after="0"/>
              <w:rPr>
                <w:sz w:val="20"/>
                <w:szCs w:val="20"/>
                <w:color w:val="auto"/>
              </w:rPr>
            </w:pPr>
            <w:r>
              <w:rPr>
                <w:rFonts w:ascii="Arial" w:cs="Arial" w:eastAsia="Arial" w:hAnsi="Arial"/>
                <w:sz w:val="18"/>
                <w:szCs w:val="18"/>
                <w:color w:val="auto"/>
              </w:rPr>
              <w:t>12.7</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Rainbow N</w:t>
            </w:r>
          </w:p>
        </w:tc>
        <w:tc>
          <w:tcPr>
            <w:tcW w:w="32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2011</w:t>
            </w:r>
          </w:p>
        </w:tc>
        <w:tc>
          <w:tcPr>
            <w:tcW w:w="13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12.0</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340" w:type="dxa"/>
            <w:vAlign w:val="bottom"/>
          </w:tcPr>
          <w:p>
            <w:pPr>
              <w:jc w:val="right"/>
              <w:ind w:right="330"/>
              <w:spacing w:after="0"/>
              <w:rPr>
                <w:sz w:val="20"/>
                <w:szCs w:val="20"/>
                <w:color w:val="auto"/>
              </w:rPr>
            </w:pPr>
            <w:r>
              <w:rPr>
                <w:rFonts w:ascii="Arial" w:cs="Arial" w:eastAsia="Arial" w:hAnsi="Arial"/>
                <w:sz w:val="18"/>
                <w:szCs w:val="18"/>
                <w:b w:val="1"/>
                <w:bCs w:val="1"/>
                <w:color w:val="auto"/>
              </w:rPr>
              <w:t>$837.1</w:t>
            </w: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rPr>
              <w:t>$647.5</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540" w:hanging="424"/>
        <w:spacing w:after="0"/>
        <w:tabs>
          <w:tab w:leader="none" w:pos="5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Vessel agreed to be sold.</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Vessels sold in the first quarter of 2021.</w:t>
      </w:r>
    </w:p>
    <w:p>
      <w:pPr>
        <w:spacing w:after="0" w:line="211"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Although the aforementioned excess of carrying value over fair value represents an estimate of the loss that the Company would sustain on a hypothetical disposition of those vessels as of December 31, 2020, the recognition of the unrealized loss absent a disposition (i.e. as an impairment) would require, among other things, that a triggering event had occurred and that the undiscounted cash flows attributable to the vessel are also less than the carrying value of the vessel (including the carrying value of the time charter, if any, on the specified vessel).</w:t>
      </w:r>
    </w:p>
    <w:p>
      <w:pPr>
        <w:spacing w:after="0" w:line="17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Vessels, other fixed assets and other long-lived assets held and used by Navios Logistics are reviewed periodically for potential impairment whenever events or changes in circumstances indicate that the carrying amount of a particular asset may not be fully recoverable. In accordance with accounting for long-lived assets, management determines projected undiscounted cash flows for each asset group and compares it to its carrying amount. In the event that projected undiscounted cash flows for an asset group is less than its carrying amount, then management reviews fair values and compares them to the asset’s carrying amount. In the event that impairment occurs, an impairment charge is recognized by comparing the asset’s carrying amount to its fair value. For the purposes of assessing impairment, long lived-assets are grouped at the lowest levels for which there are separately identifiable cash flows.</w:t>
      </w:r>
    </w:p>
    <w:p>
      <w:pPr>
        <w:spacing w:after="0" w:line="195"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For all the periods presented, the management after considering various indicators, including but not limited to its long-lived assets’ contracted revenues and cash flows over their remaining useful life and the economic outlook, concluded that no impairment analysis should be performed on the long-lived assets held and used by Navios Logistics.</w:t>
      </w:r>
    </w:p>
    <w:p>
      <w:pPr>
        <w:spacing w:after="0" w:line="184"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Although management believes the underlying indicators supporting this conclusion are reasonable, if charter rate trends and the length of the current market downturn occur, management may be required to perform impairment analysis that could expose Navios Logistics to material charges in the future. No impairment loss was recognized for any of the periods presented for vessels, other fixed assets and other long-lived assets held and used by Navios Logistics.</w:t>
      </w:r>
    </w:p>
    <w:p>
      <w:pPr>
        <w:spacing w:after="0" w:line="187"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b w:val="1"/>
          <w:bCs w:val="1"/>
          <w:i w:val="1"/>
          <w:iCs w:val="1"/>
          <w:color w:val="auto"/>
        </w:rPr>
        <w:t xml:space="preserve">Dry Bulk Vessels, Port Terminals, Tanker Vessels, Barges, Pushboats and Other Fixed Assets, net: </w:t>
      </w:r>
      <w:r>
        <w:rPr>
          <w:rFonts w:ascii="Arial" w:cs="Arial" w:eastAsia="Arial" w:hAnsi="Arial"/>
          <w:sz w:val="17"/>
          <w:szCs w:val="17"/>
          <w:color w:val="auto"/>
        </w:rPr>
        <w:t>Dry bulk vessels, port terminals, tanker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vessels, barges, pushboats and other fixed assets acquired as parts of business combinations are recorded at fair value on the date of acquisition, and if acquired as an asset acquisition, are recorded at cost (including transaction costs). Vessels constructed by the company would be stated at historical cost, which consists of the contract price, capitalized interest and any material expenses incurred upon acquisition (improvements and delivery expenses). Subsequent expenditures for ballast water treatment system, major improvements and upgrades are capitalized, provided they appreciably extend the life, increase the earnings capability or improve the efficiency or safety of the vessels. The cost and related accumulated depreciation of assets retired or sold are removed from the accounts at the time of sale or retirement and any gain or loss is included in the accompanying consolidated statements of comprehensive (loss)/income.</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Expenditures for routine maintenance and repairs are expensed as incurred.</w:t>
      </w:r>
    </w:p>
    <w:p>
      <w:pPr>
        <w:spacing w:after="0" w:line="225"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Depreciation is computed using the straight line method over the useful life of the vessels, port terminals, tanker vessels, barges, pushboats and other fixed assets, after considering the estimated residual value.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Annual depreciation rates used, which approximate the useful life of the assets are:</w:t>
      </w:r>
    </w:p>
    <w:p>
      <w:pPr>
        <w:spacing w:after="0" w:line="266"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Dry bulk vessels</w:t>
            </w:r>
          </w:p>
        </w:tc>
        <w:tc>
          <w:tcPr>
            <w:tcW w:w="4340" w:type="dxa"/>
            <w:vAlign w:val="bottom"/>
            <w:shd w:val="clear" w:color="auto" w:fill="CCEEFF"/>
          </w:tcPr>
          <w:p>
            <w:pPr>
              <w:jc w:val="center"/>
              <w:ind w:left="1770"/>
              <w:spacing w:after="0"/>
              <w:rPr>
                <w:sz w:val="20"/>
                <w:szCs w:val="20"/>
                <w:color w:val="auto"/>
              </w:rPr>
            </w:pPr>
            <w:r>
              <w:rPr>
                <w:rFonts w:ascii="Arial" w:cs="Arial" w:eastAsia="Arial" w:hAnsi="Arial"/>
                <w:sz w:val="18"/>
                <w:szCs w:val="18"/>
                <w:color w:val="auto"/>
                <w:w w:val="86"/>
              </w:rPr>
              <w:t>25 years</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Port terminals</w:t>
            </w:r>
          </w:p>
        </w:tc>
        <w:tc>
          <w:tcPr>
            <w:tcW w:w="4340" w:type="dxa"/>
            <w:vAlign w:val="bottom"/>
          </w:tcPr>
          <w:p>
            <w:pPr>
              <w:jc w:val="center"/>
              <w:ind w:left="1770"/>
              <w:spacing w:after="0"/>
              <w:rPr>
                <w:sz w:val="20"/>
                <w:szCs w:val="20"/>
                <w:color w:val="auto"/>
              </w:rPr>
            </w:pPr>
            <w:r>
              <w:rPr>
                <w:rFonts w:ascii="Arial" w:cs="Arial" w:eastAsia="Arial" w:hAnsi="Arial"/>
                <w:sz w:val="18"/>
                <w:szCs w:val="18"/>
                <w:color w:val="auto"/>
                <w:w w:val="88"/>
              </w:rPr>
              <w:t>5 to 49 years</w:t>
            </w: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Tanker vessels, barges and pushboats</w:t>
            </w:r>
          </w:p>
        </w:tc>
        <w:tc>
          <w:tcPr>
            <w:tcW w:w="4340" w:type="dxa"/>
            <w:vAlign w:val="bottom"/>
            <w:shd w:val="clear" w:color="auto" w:fill="CCEEFF"/>
          </w:tcPr>
          <w:p>
            <w:pPr>
              <w:jc w:val="center"/>
              <w:ind w:left="1770"/>
              <w:spacing w:after="0"/>
              <w:rPr>
                <w:sz w:val="20"/>
                <w:szCs w:val="20"/>
                <w:color w:val="auto"/>
              </w:rPr>
            </w:pPr>
            <w:r>
              <w:rPr>
                <w:rFonts w:ascii="Arial" w:cs="Arial" w:eastAsia="Arial" w:hAnsi="Arial"/>
                <w:sz w:val="18"/>
                <w:szCs w:val="18"/>
                <w:color w:val="auto"/>
                <w:w w:val="87"/>
              </w:rPr>
              <w:t>15 to 45 years</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4340" w:type="dxa"/>
            <w:vAlign w:val="bottom"/>
          </w:tcPr>
          <w:p>
            <w:pPr>
              <w:jc w:val="center"/>
              <w:ind w:left="1770"/>
              <w:spacing w:after="0"/>
              <w:rPr>
                <w:sz w:val="20"/>
                <w:szCs w:val="20"/>
                <w:color w:val="auto"/>
              </w:rPr>
            </w:pPr>
            <w:r>
              <w:rPr>
                <w:rFonts w:ascii="Arial" w:cs="Arial" w:eastAsia="Arial" w:hAnsi="Arial"/>
                <w:sz w:val="18"/>
                <w:szCs w:val="18"/>
                <w:color w:val="auto"/>
                <w:w w:val="88"/>
              </w:rPr>
              <w:t>3 to 10 years</w:t>
            </w: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4340" w:type="dxa"/>
            <w:vAlign w:val="bottom"/>
            <w:shd w:val="clear" w:color="auto" w:fill="CCEEFF"/>
          </w:tcPr>
          <w:p>
            <w:pPr>
              <w:jc w:val="center"/>
              <w:ind w:left="1770"/>
              <w:spacing w:after="0"/>
              <w:rPr>
                <w:sz w:val="20"/>
                <w:szCs w:val="20"/>
                <w:color w:val="auto"/>
              </w:rPr>
            </w:pPr>
            <w:r>
              <w:rPr>
                <w:rFonts w:ascii="Arial" w:cs="Arial" w:eastAsia="Arial" w:hAnsi="Arial"/>
                <w:sz w:val="18"/>
                <w:szCs w:val="18"/>
                <w:color w:val="auto"/>
                <w:w w:val="88"/>
              </w:rPr>
              <w:t>5 years</w:t>
            </w:r>
          </w:p>
        </w:tc>
      </w:tr>
      <w:tr>
        <w:trPr>
          <w:trHeight w:val="230"/>
        </w:trPr>
        <w:tc>
          <w:tcPr>
            <w:tcW w:w="31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4340" w:type="dxa"/>
            <w:vAlign w:val="bottom"/>
          </w:tcPr>
          <w:p>
            <w:pPr>
              <w:jc w:val="center"/>
              <w:ind w:left="1770"/>
              <w:spacing w:after="0"/>
              <w:rPr>
                <w:sz w:val="20"/>
                <w:szCs w:val="20"/>
                <w:color w:val="auto"/>
              </w:rPr>
            </w:pPr>
            <w:r>
              <w:rPr>
                <w:rFonts w:ascii="Arial" w:cs="Arial" w:eastAsia="Arial" w:hAnsi="Arial"/>
                <w:sz w:val="18"/>
                <w:szCs w:val="18"/>
                <w:color w:val="auto"/>
                <w:w w:val="89"/>
              </w:rPr>
              <w:t>shorter of lease term or 6 years</w:t>
            </w:r>
          </w:p>
        </w:tc>
      </w:tr>
      <w:tr>
        <w:trPr>
          <w:trHeight w:val="350"/>
        </w:trPr>
        <w:tc>
          <w:tcPr>
            <w:tcW w:w="3140" w:type="dxa"/>
            <w:vAlign w:val="bottom"/>
          </w:tcPr>
          <w:p>
            <w:pPr>
              <w:spacing w:after="0"/>
              <w:rPr>
                <w:sz w:val="24"/>
                <w:szCs w:val="24"/>
                <w:color w:val="auto"/>
              </w:rPr>
            </w:pPr>
          </w:p>
        </w:tc>
        <w:tc>
          <w:tcPr>
            <w:tcW w:w="4340" w:type="dxa"/>
            <w:vAlign w:val="bottom"/>
          </w:tcPr>
          <w:p>
            <w:pPr>
              <w:jc w:val="right"/>
              <w:ind w:right="3510"/>
              <w:spacing w:after="0"/>
              <w:rPr>
                <w:sz w:val="20"/>
                <w:szCs w:val="20"/>
                <w:color w:val="auto"/>
              </w:rPr>
            </w:pPr>
            <w:r>
              <w:rPr>
                <w:rFonts w:ascii="Arial" w:cs="Arial" w:eastAsia="Arial" w:hAnsi="Arial"/>
                <w:sz w:val="18"/>
                <w:szCs w:val="18"/>
                <w:color w:val="auto"/>
              </w:rPr>
              <w:t>127</w:t>
            </w:r>
          </w:p>
        </w:tc>
      </w:tr>
    </w:tbl>
    <w:p>
      <w:pPr>
        <w:sectPr>
          <w:pgSz w:w="11900" w:h="16838" w:orient="portrait"/>
          <w:cols w:equalWidth="0" w:num="1">
            <w:col w:w="11120"/>
          </w:cols>
          <w:pgMar w:left="320" w:top="445" w:right="4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296" w:lineRule="auto"/>
        <w:rPr>
          <w:sz w:val="20"/>
          <w:szCs w:val="20"/>
          <w:color w:val="auto"/>
        </w:rPr>
      </w:pPr>
      <w:r>
        <w:rPr>
          <w:rFonts w:ascii="Arial" w:cs="Arial" w:eastAsia="Arial" w:hAnsi="Arial"/>
          <w:sz w:val="16"/>
          <w:szCs w:val="16"/>
          <w:color w:val="auto"/>
        </w:rPr>
        <w:t>Management estimates the residual values of the Company’s dry bulk vessels based on a scrap value cost of steel times the weight of the ship noted in lightweight tons (“LWT”). Residual values are periodically reviewed and revised to recognize changes in conditions, new regulations or other reasons. Revisions of residual values affect the depreciable amount of the vessels and the depreciation expense in the period of the revision and future periods. Management estimates the residual values of the Company’s vessels based on a scrap rate of $340 per LWT after considering current market trends for scrap rates and ten-year average historical scrap rates of the residual values of the Company’s vessels.</w:t>
      </w:r>
    </w:p>
    <w:p>
      <w:pPr>
        <w:spacing w:after="0" w:line="16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Management estimates the useful life of its dry bulk vessels to be 25 years from the vessel’s original construction. However, when regulations place limitations on the ability of a vessel to trade on a worldwide basis, its useful life is re-estimated to end at the date such regulations become effective. An increase in the useful life of a vessel or in its residual value would have the effect of decreasing the annual depreciation charge and extending it into later periods. A decrease in the useful life of a vessel or in its residual value would have the effect of increasing the annual depreciation charge.</w:t>
      </w:r>
    </w:p>
    <w:p>
      <w:pPr>
        <w:spacing w:after="0" w:line="188"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b w:val="1"/>
          <w:bCs w:val="1"/>
          <w:i w:val="1"/>
          <w:iCs w:val="1"/>
          <w:color w:val="auto"/>
        </w:rPr>
        <w:t xml:space="preserve">Deferred Drydock and Special Survey Costs: </w:t>
      </w:r>
      <w:r>
        <w:rPr>
          <w:rFonts w:ascii="Arial" w:cs="Arial" w:eastAsia="Arial" w:hAnsi="Arial"/>
          <w:sz w:val="17"/>
          <w:szCs w:val="17"/>
          <w:color w:val="auto"/>
        </w:rPr>
        <w:t>The Company’s vessels, barges and pushboats are subject to regularly scheduled drydocking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special surveys which are carried out every 30 and 60 months, respectively, for ocean-going vessels, and up to every 72 to 96 months for pushboats and barges, to coincide with the renewal of the related certificates issued by the classification societies, unless a further extension is obtained in rare cases and under certain conditions. The costs of drydocking and special surveys are deferred and amortized over the above periods or to the next drydocking or special survey date if such date has been determined. Unamortized drydocking or special survey costs of vessels, barges and pushboats sold are written-off to income in the year the vessel, barge or pushboat is sold.</w:t>
      </w:r>
    </w:p>
    <w:p>
      <w:pPr>
        <w:spacing w:after="0" w:line="178"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Costs capitalized as part of the drydocking or special survey consist principally of the actual costs incurred at the yard, and expenses relating to spare parts, paints, lubricants and services incurred solely during the drydocking or special survey period.</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Goodwill and Other Intangibles:</w:t>
      </w:r>
    </w:p>
    <w:p>
      <w:pPr>
        <w:spacing w:after="0" w:line="117" w:lineRule="exact"/>
        <w:rPr>
          <w:sz w:val="20"/>
          <w:szCs w:val="20"/>
          <w:color w:val="auto"/>
        </w:rPr>
      </w:pPr>
    </w:p>
    <w:p>
      <w:pPr>
        <w:ind w:left="780" w:hanging="224"/>
        <w:spacing w:after="0"/>
        <w:tabs>
          <w:tab w:leader="none" w:pos="780" w:val="left"/>
        </w:tabs>
        <w:numPr>
          <w:ilvl w:val="0"/>
          <w:numId w:val="10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Goodwill: </w:t>
      </w:r>
      <w:r>
        <w:rPr>
          <w:rFonts w:ascii="Arial" w:cs="Arial" w:eastAsia="Arial" w:hAnsi="Arial"/>
          <w:sz w:val="18"/>
          <w:szCs w:val="18"/>
          <w:color w:val="auto"/>
        </w:rPr>
        <w:t>Goodwill is tested for impairment at the reporting unit level at least annually.</w:t>
      </w:r>
    </w:p>
    <w:p>
      <w:pPr>
        <w:spacing w:after="0" w:line="225" w:lineRule="exact"/>
        <w:rPr>
          <w:sz w:val="20"/>
          <w:szCs w:val="20"/>
          <w:color w:val="auto"/>
        </w:rPr>
      </w:pPr>
    </w:p>
    <w:p>
      <w:pPr>
        <w:ind w:left="120" w:right="180" w:firstLine="440"/>
        <w:spacing w:after="0" w:line="255" w:lineRule="auto"/>
        <w:rPr>
          <w:sz w:val="20"/>
          <w:szCs w:val="20"/>
          <w:color w:val="auto"/>
        </w:rPr>
      </w:pPr>
      <w:r>
        <w:rPr>
          <w:rFonts w:ascii="Arial" w:cs="Arial" w:eastAsia="Arial" w:hAnsi="Arial"/>
          <w:sz w:val="18"/>
          <w:szCs w:val="18"/>
          <w:color w:val="auto"/>
        </w:rPr>
        <w:t>The Company evaluates impairment of goodwill using a single step process following the adoption of ASU 2017-04, “Intangibles-Goodwill and Other (Topic 350)” as of January 1, 2020. The aggregate fair value of the reporting unit is compared to its carrying amount, including goodwill. The Company determines the fair value of the reporting unit based on a combination of the income approach (i.e. discounted cash flows) and market approach (i.e. comparative market multiples) and believes that the combination of these two approaches is the best indicator of fair value for its individual reporting units. Goodwill impairment loss is measured as the amount by which a reporting unit’s carrying amount exceeds its fair value, not to exceed the carrying amount of goodwill.</w:t>
      </w:r>
    </w:p>
    <w:p>
      <w:pPr>
        <w:spacing w:after="0" w:line="192" w:lineRule="exact"/>
        <w:rPr>
          <w:sz w:val="20"/>
          <w:szCs w:val="20"/>
          <w:color w:val="auto"/>
        </w:rPr>
      </w:pPr>
    </w:p>
    <w:p>
      <w:pPr>
        <w:jc w:val="both"/>
        <w:ind w:left="120" w:right="180" w:firstLine="440"/>
        <w:spacing w:after="0" w:line="342" w:lineRule="auto"/>
        <w:rPr>
          <w:sz w:val="20"/>
          <w:szCs w:val="20"/>
          <w:color w:val="auto"/>
        </w:rPr>
      </w:pPr>
      <w:r>
        <w:rPr>
          <w:rFonts w:ascii="Arial" w:cs="Arial" w:eastAsia="Arial" w:hAnsi="Arial"/>
          <w:sz w:val="16"/>
          <w:szCs w:val="16"/>
          <w:color w:val="auto"/>
        </w:rPr>
        <w:t>As of December 31, 2020, the Company performed its impairments test for its reporting units within: the Dry Bulk Vessel Operations and the Logistics Business. The Company additionally considered that its market capitalization continued to remain at a level well below the carrying amount.</w:t>
      </w:r>
    </w:p>
    <w:p>
      <w:pPr>
        <w:spacing w:after="0" w:line="124"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As of December 31, 2020, the Company performed the impairment test for the Dry Bulk Vessel Operations reporting unit, which had a negative carrying amount of $144.9 million, and for which goodwill allocated is $56.2 million. The impairment test revealed that the fair value of the Dry Bulk Vessel Operations reporting unit exceeded its carrying amount.</w:t>
      </w:r>
    </w:p>
    <w:p>
      <w:pPr>
        <w:spacing w:after="0" w:line="184"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The fair value of the Dry Bulk Vessel Operations reporting unit was estimated using a combination of income and market approaches. For the income approach, the expected present value of future cash flows used judgments and assumptions that management believes were appropriate in the circumstances. The significant factors and assumptions the Company used in its discounted cash flow analysis included: EBITDA, the discount rate used to calculate the present value of future cash flows and future capital expenditures. EBITDA assumptions included revenue assumptions, general and administrative expense growth assumptions, and direct vessel expense growth assumptions. The future cash flows were determined by considering the charter revenues from existing time charters for the fixed fleet days (the Company’s remaining charter agreement rates) and an estimated daily time charter equivalent for the unfixed days (based on a combination of one-year average historical time charter rates and the 10-year average historical one-year time charter rates), which the Company believes is an objective approach for forecasting charter rates over an extended time period for long-lived assets and consistent with the cyclicality of the industry. In addition, a weighted average cost of capital (“WACC”) was used to discount future estimated cash flows to their present values. The WACC was based on externally observable data considering market participants’ and the Company’s cost of equity and debt, optimal capital structure and risk factors specific to the Company. The market approach estimated the fair value of the Company’s business based on comparable publicly-traded companies in its industry. In assessing the fair value, the Company utilized the results of the valuations and considered the range of fair values determined under all methods, which indicated that the fair value exceeded the carrying amount.</w:t>
      </w:r>
    </w:p>
    <w:p>
      <w:pPr>
        <w:spacing w:after="0" w:line="174"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As of December 31, 2020, the Company performed the impairment test for the Logistics Business, which is allocated goodwill of $104.1 million. The impairment test used the income method and revealed that the fair value substantially exceeded the carrying amount of its net assets. The significant factors and assumptions used by management in the discounted cash flow analysis for the Logistics Business includes a combination of revenues from existing contracts and estimated revenues based on the historical performance of the segment, including utilization rates and actual storage capacity.</w:t>
      </w:r>
    </w:p>
    <w:p>
      <w:pPr>
        <w:sectPr>
          <w:pgSz w:w="11900" w:h="16838" w:orient="portrait"/>
          <w:cols w:equalWidth="0" w:num="1">
            <w:col w:w="11120"/>
          </w:cols>
          <w:pgMar w:left="320" w:top="459" w:right="459" w:bottom="1440" w:gutter="0" w:footer="0" w:header="0"/>
        </w:sectPr>
      </w:pP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128</w:t>
      </w:r>
    </w:p>
    <w:p>
      <w:pPr>
        <w:sectPr>
          <w:pgSz w:w="11900" w:h="16838" w:orient="portrait"/>
          <w:cols w:equalWidth="0" w:num="1">
            <w:col w:w="11120"/>
          </w:cols>
          <w:pgMar w:left="320" w:top="459" w:right="459" w:bottom="1440" w:gutter="0" w:footer="0" w:header="0"/>
          <w:type w:val="continuous"/>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No impairment loss was recognized for any of the periods presented for both the Dry Bulk Vessel Operations and the Logistics Business.</w:t>
      </w:r>
    </w:p>
    <w:p>
      <w:pPr>
        <w:spacing w:after="0" w:line="237" w:lineRule="exact"/>
        <w:rPr>
          <w:sz w:val="20"/>
          <w:szCs w:val="20"/>
          <w:color w:val="auto"/>
        </w:rPr>
      </w:pPr>
    </w:p>
    <w:p>
      <w:pPr>
        <w:ind w:left="120" w:right="120" w:firstLine="436"/>
        <w:spacing w:after="0" w:line="275" w:lineRule="auto"/>
        <w:tabs>
          <w:tab w:leader="none" w:pos="825" w:val="left"/>
        </w:tabs>
        <w:numPr>
          <w:ilvl w:val="0"/>
          <w:numId w:val="101"/>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Intangibles Other Than Goodwill: </w:t>
      </w:r>
      <w:r>
        <w:rPr>
          <w:rFonts w:ascii="Arial" w:cs="Arial" w:eastAsia="Arial" w:hAnsi="Arial"/>
          <w:sz w:val="17"/>
          <w:szCs w:val="17"/>
          <w:color w:val="auto"/>
        </w:rPr>
        <w:t>Navios Holdings’ intangible assets and liabilities consist of trade name, customer relationships, port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terminal operating rights, favorable lease terms and unfavorable lease terms. The fair value of the trade name was determined based on the “relief from royalty” method, which values the trade name based on the estimated amount that a company would have to pay in an arm’s length transaction to use that trade name. The asset is being amortized under the straight line method over 32 years. Navios Logistics’ trade name is being amortized under the straight line method over 10 years, and was fully amortized as of December 31, 2019.</w:t>
      </w:r>
    </w:p>
    <w:p>
      <w:pPr>
        <w:spacing w:after="0" w:line="176"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fair value of customer relationships of Navios Logistics was determined based on the “excess earnings” method, which relies upon the future cash flow generating ability of the asset. The asset is amortized under the straight line method.</w:t>
      </w:r>
    </w:p>
    <w:p>
      <w:pPr>
        <w:spacing w:after="0" w:line="170"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Company reviews its other intangibles, such as trade name, customer relationships, port terminal operating rights, favorable lease terms and unfavorable lease terms periodically for potential impairment whenever events or changes in circumstances indicate that the carrying amount may not be fully recoverable. Intangibles other than goodwill would be considered impaired if their carrying value is not recovered from the future undiscounted cash flows associated with the asset (step one). Measurement of the impairment loss is determined as the difference between the carrying amount and the fair value of the intangible asset. The Company determines the fair value of its intangible assets based on management estimates and assumptions by making use of available market data. In evaluating carrying values of intangible assets, certain indicators of potential impairment are reviewed, such as undiscounted projected operating cash flows, business plans and overall market conditions.</w:t>
      </w:r>
    </w:p>
    <w:p>
      <w:pPr>
        <w:spacing w:after="0" w:line="166"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7"/>
          <w:szCs w:val="17"/>
          <w:color w:val="auto"/>
        </w:rPr>
        <w:t>The significant factors and assumptions the Company used in the undiscounted cash flow analysis of its trade name included: revenue assumptions, specifically the future cash flows were determined by considering the charter revenues of the Dry Bulk Vessel Operations from existing time charters for the fixed fleet days (the Company’s remaining charter agreement rates) and an estimated daily time charter equivalent for the unfixed days (based on a combination of one-year average historical time charter rates and the 10-year average historical one-year time charter rates) and the respective “relief from royalty” rate applied to the future cash flows of the Dry Bulk Vessel Operations.</w:t>
      </w:r>
    </w:p>
    <w:p>
      <w:pPr>
        <w:spacing w:after="0" w:line="176"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When intangible assets or liabilities associated with the acquisition of a vessel are identified, they are recorded at fair value. Fair value is determined by reference to market data and the discounted amount of expected future cash flows. Where charter rates are higher than market charter rates, an asset is recorded, being the difference between the acquired charter rate and the market charter rate for an equivalent vessel. Where charter rates are less than market charter rates, a liability is recorded, being the difference between the assumed charter rate and the market charter rate for an equivalent vessel. The determination of the fair value of acquired assets and assumed liabilities requires the Company to make significant assumptions and estimates of many variables including market charter rates, expected future charter rates, the level of utilization of the Company’s vessels and the Company’s weighted average cost of capital. The use of different assumptions could result in a material change in the fair value of these items, which could have a material impact on the Company’s financial position and results of operations.</w:t>
      </w:r>
    </w:p>
    <w:p>
      <w:pPr>
        <w:spacing w:after="0" w:line="178" w:lineRule="exact"/>
        <w:rPr>
          <w:sz w:val="20"/>
          <w:szCs w:val="20"/>
          <w:color w:val="auto"/>
        </w:rPr>
      </w:pPr>
    </w:p>
    <w:p>
      <w:pPr>
        <w:ind w:left="120" w:right="180" w:firstLine="440"/>
        <w:spacing w:after="0" w:line="308" w:lineRule="auto"/>
        <w:rPr>
          <w:sz w:val="20"/>
          <w:szCs w:val="20"/>
          <w:color w:val="auto"/>
        </w:rPr>
      </w:pPr>
      <w:r>
        <w:rPr>
          <w:rFonts w:ascii="Arial" w:cs="Arial" w:eastAsia="Arial" w:hAnsi="Arial"/>
          <w:sz w:val="17"/>
          <w:szCs w:val="17"/>
          <w:color w:val="auto"/>
        </w:rPr>
        <w:t>The amortizable value of favorable and unfavorable leases is amortized over the remaining life of the lease term and the amortization expense is included in the consolidated statements of comprehensive (loss)/income within the caption “Depreciation and amortization”.</w:t>
      </w:r>
    </w:p>
    <w:p>
      <w:pPr>
        <w:spacing w:after="0" w:line="146"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The amortizable value of favorable leases would be considered impaired if its carrying value could not be recovered from the future undiscounted cash flows associated with the asset. Vessel purchase options that have not been exercised, which are included in favorable lease terms, would be considered impaired if the carrying value of an option, when added to the option price of the vessel, exceeded the fair value of the vessel.</w:t>
      </w:r>
    </w:p>
    <w:p>
      <w:pPr>
        <w:spacing w:after="0" w:line="149"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Vessel purchase options that are included in favorable leases are not amortized and when the purchase option is exercised, the asset is capitalized as part of the cost of the vessel and depreciated over the remaining useful life of the vessel and if not exercised, the intangible asset is written off. Vessel purchase options that are included in unfavorable lease terms are not amortized and when the purchase option is exercised by the charterer and the underlying vessel is sold, it will be recorded as part of gain/loss on sale of the assets. If the option is not exercised at the expiration date, it is written-off in the consolidated statements of comprehensive (loss)/income.</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 favorable and unfavorable lease terms have been identified for the years ended December 31, 2020 and 2019.</w:t>
      </w:r>
    </w:p>
    <w:p>
      <w:pPr>
        <w:spacing w:after="0" w:line="22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During the fourth quarter of fiscal year 2020, management concluded that events occurred and circumstances had changed, which indicated that potential impairment of Navios Holdings’ trade name might exist. These indicators included continued volatility in the spot market, and the related impact of the current dry bulk sector has on management’s expectation for future revenues. As a result, an impairment assessment for trade name (step one) was performed. No such circumstances indicated that potential impairment of the Company’s other intangible assets such as port terminal operating rights and customer relationships exist. For the years ended December 31, 2020, 2019 and 2018, there were no impairment losses recognized for the Company’s intangible assets.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20"/>
          </w:cols>
          <w:pgMar w:left="320" w:top="459" w:right="4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weighted average amortization periods for intangibles are:</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91"/>
        </w:trPr>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Intangible assets</w:t>
            </w:r>
          </w:p>
        </w:tc>
        <w:tc>
          <w:tcPr>
            <w:tcW w:w="6040" w:type="dxa"/>
            <w:vAlign w:val="bottom"/>
          </w:tcPr>
          <w:p>
            <w:pPr>
              <w:spacing w:after="0"/>
              <w:rPr>
                <w:sz w:val="16"/>
                <w:szCs w:val="16"/>
                <w:color w:val="auto"/>
              </w:rPr>
            </w:pPr>
          </w:p>
        </w:tc>
        <w:tc>
          <w:tcPr>
            <w:tcW w:w="400" w:type="dxa"/>
            <w:vAlign w:val="bottom"/>
            <w:gridSpan w:val="2"/>
          </w:tcPr>
          <w:p>
            <w:pPr>
              <w:spacing w:after="0"/>
              <w:rPr>
                <w:sz w:val="20"/>
                <w:szCs w:val="20"/>
                <w:color w:val="auto"/>
              </w:rPr>
            </w:pPr>
            <w:r>
              <w:rPr>
                <w:rFonts w:ascii="Arial" w:cs="Arial" w:eastAsia="Arial" w:hAnsi="Arial"/>
                <w:sz w:val="14"/>
                <w:szCs w:val="14"/>
                <w:b w:val="1"/>
                <w:bCs w:val="1"/>
                <w:color w:val="auto"/>
                <w:w w:val="99"/>
              </w:rPr>
              <w:t>Years</w:t>
            </w:r>
          </w:p>
        </w:tc>
      </w:tr>
      <w:tr>
        <w:trPr>
          <w:trHeight w:val="203"/>
        </w:trPr>
        <w:tc>
          <w:tcPr>
            <w:tcW w:w="70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Trade name</w:t>
            </w:r>
          </w:p>
        </w:tc>
        <w:tc>
          <w:tcPr>
            <w:tcW w:w="340" w:type="dxa"/>
            <w:vAlign w:val="bottom"/>
            <w:tcBorders>
              <w:top w:val="single" w:sz="8" w:color="auto"/>
            </w:tcBorders>
            <w:shd w:val="clear" w:color="auto" w:fill="CCEEFF"/>
          </w:tcPr>
          <w:p>
            <w:pPr>
              <w:ind w:left="160"/>
              <w:spacing w:after="0" w:line="203" w:lineRule="exact"/>
              <w:rPr>
                <w:sz w:val="20"/>
                <w:szCs w:val="20"/>
                <w:color w:val="auto"/>
              </w:rPr>
            </w:pPr>
            <w:r>
              <w:rPr>
                <w:rFonts w:ascii="Arial" w:cs="Arial" w:eastAsia="Arial" w:hAnsi="Arial"/>
                <w:sz w:val="18"/>
                <w:szCs w:val="18"/>
                <w:color w:val="auto"/>
                <w:w w:val="79"/>
              </w:rPr>
              <w:t>32</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7080" w:type="dxa"/>
            <w:vAlign w:val="bottom"/>
            <w:gridSpan w:val="2"/>
          </w:tcPr>
          <w:p>
            <w:pPr>
              <w:spacing w:after="0"/>
              <w:rPr>
                <w:sz w:val="20"/>
                <w:szCs w:val="20"/>
                <w:color w:val="auto"/>
              </w:rPr>
            </w:pPr>
            <w:r>
              <w:rPr>
                <w:rFonts w:ascii="Arial" w:cs="Arial" w:eastAsia="Arial" w:hAnsi="Arial"/>
                <w:sz w:val="18"/>
                <w:szCs w:val="18"/>
                <w:color w:val="auto"/>
              </w:rPr>
              <w:t>Port terminal operating rights</w:t>
            </w:r>
          </w:p>
        </w:tc>
        <w:tc>
          <w:tcPr>
            <w:tcW w:w="400" w:type="dxa"/>
            <w:vAlign w:val="bottom"/>
            <w:gridSpan w:val="2"/>
          </w:tcPr>
          <w:p>
            <w:pPr>
              <w:ind w:left="160"/>
              <w:spacing w:after="0"/>
              <w:rPr>
                <w:sz w:val="20"/>
                <w:szCs w:val="20"/>
                <w:color w:val="auto"/>
              </w:rPr>
            </w:pPr>
            <w:r>
              <w:rPr>
                <w:rFonts w:ascii="Arial" w:cs="Arial" w:eastAsia="Arial" w:hAnsi="Arial"/>
                <w:sz w:val="18"/>
                <w:szCs w:val="18"/>
                <w:color w:val="auto"/>
              </w:rPr>
              <w:t>47</w:t>
            </w: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20</w:t>
            </w: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Also see note 3 and note 8 included elsewhere in this Annual Report.</w:t>
      </w:r>
    </w:p>
    <w:p>
      <w:pPr>
        <w:spacing w:after="0" w:line="225"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b w:val="1"/>
          <w:bCs w:val="1"/>
          <w:i w:val="1"/>
          <w:iCs w:val="1"/>
          <w:color w:val="auto"/>
        </w:rPr>
        <w:t xml:space="preserve">Leases: </w:t>
      </w:r>
      <w:r>
        <w:rPr>
          <w:rFonts w:ascii="Arial" w:cs="Arial" w:eastAsia="Arial" w:hAnsi="Arial"/>
          <w:sz w:val="18"/>
          <w:szCs w:val="18"/>
          <w:color w:val="auto"/>
        </w:rPr>
        <w:t>Vessel leases where Navios Holdings is regarded as the lessor are classified as either finance leases or operating leases based on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assessment of the terms of the lease.</w:t>
      </w:r>
    </w:p>
    <w:p>
      <w:pPr>
        <w:spacing w:after="0" w:line="170"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For charters classified as finance leases the minimum lease payments are recorded as the gross investment in the lease. The difference between the gross investment in the lease and the sum of the present values of the two components of the gross investment is recorded as unearned income which is amortized to income over the lease term as finance lease interest income to produce a constant periodic rate of return on the net investment in the lease.</w:t>
      </w:r>
    </w:p>
    <w:p>
      <w:pPr>
        <w:spacing w:after="0" w:line="149"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For charters classified as operating leases where Navios Holdings is regarded as the lessor, refer to Note 2(r) included elsewhere in this Annual Report.</w:t>
      </w:r>
    </w:p>
    <w:p>
      <w:pPr>
        <w:spacing w:after="0" w:line="170"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In cases of lease agreements where the Company acts as the lessee, the Company recognizes an operating lease asset and a corresponding lease liability on the consolidated balance sheet. For charters classified as operating leases where Navios Holdings is regarded as the lessee, the expense is recognized on a straight line basis over the rental periods of such charter agreements. The expense is included within the caption “Time charter, voyage and logistics business expenses”. In the transition to ASC 842, the operating leases assets were adjusted for the carrying amount of the straight-line liabilities on that date.</w:t>
      </w:r>
    </w:p>
    <w:p>
      <w:pPr>
        <w:spacing w:after="0" w:line="188"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 cases of sale and leaseback agreements, if the transfer of the asset to the lessor does not qualify as a sale, then the agreement constitutes a failed sale and leaseback and is accounted for as a financial liability. For a sale to have occurred, the control of the asset would need to be transferred to the buyer, and the buyer would need to obtain substantially all the benefits from the use of the asset.</w:t>
      </w:r>
    </w:p>
    <w:p>
      <w:pPr>
        <w:spacing w:after="0" w:line="180" w:lineRule="exact"/>
        <w:rPr>
          <w:sz w:val="20"/>
          <w:szCs w:val="20"/>
          <w:color w:val="auto"/>
        </w:rPr>
      </w:pPr>
    </w:p>
    <w:p>
      <w:pPr>
        <w:ind w:left="120" w:firstLine="440"/>
        <w:spacing w:after="0" w:line="298" w:lineRule="auto"/>
        <w:rPr>
          <w:sz w:val="20"/>
          <w:szCs w:val="20"/>
          <w:color w:val="auto"/>
        </w:rPr>
      </w:pPr>
      <w:r>
        <w:rPr>
          <w:rFonts w:ascii="Arial" w:cs="Arial" w:eastAsia="Arial" w:hAnsi="Arial"/>
          <w:sz w:val="16"/>
          <w:szCs w:val="16"/>
          <w:b w:val="1"/>
          <w:bCs w:val="1"/>
          <w:color w:val="auto"/>
        </w:rPr>
        <w:t xml:space="preserve">Impairment of operating lease assets: </w:t>
      </w:r>
      <w:r>
        <w:rPr>
          <w:rFonts w:ascii="Arial" w:cs="Arial" w:eastAsia="Arial" w:hAnsi="Arial"/>
          <w:sz w:val="16"/>
          <w:szCs w:val="16"/>
          <w:color w:val="auto"/>
        </w:rPr>
        <w:t>Operating lease assets used by Navios Holdings are reviewed periodically for potential impairment</w:t>
      </w:r>
      <w:r>
        <w:rPr>
          <w:rFonts w:ascii="Arial" w:cs="Arial" w:eastAsia="Arial" w:hAnsi="Arial"/>
          <w:sz w:val="16"/>
          <w:szCs w:val="16"/>
          <w:b w:val="1"/>
          <w:bCs w:val="1"/>
          <w:color w:val="auto"/>
        </w:rPr>
        <w:t xml:space="preserve"> </w:t>
      </w:r>
      <w:r>
        <w:rPr>
          <w:rFonts w:ascii="Arial" w:cs="Arial" w:eastAsia="Arial" w:hAnsi="Arial"/>
          <w:sz w:val="16"/>
          <w:szCs w:val="16"/>
          <w:color w:val="auto"/>
        </w:rPr>
        <w:t>whenever events or changes in circumstances indicate that the carrying amount may not be fully recoverable. Measurement of the impairment loss is determined as the difference between the carrying value and the fair value of the asset group. Navios Holdings determines the fair value of its assets based on management estimates and assumptions by making use of available market data. In evaluating carrying values of operating lease assets, certain indicators of potential impairment are reviewed, such as undiscounted projected operating cash flows, business plans and overall market conditions.</w:t>
      </w:r>
    </w:p>
    <w:p>
      <w:pPr>
        <w:spacing w:after="0" w:line="158"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Undiscounted projected net operating cash flows are determined for each asset group and compared to the carrying value of the operating lease asset and the carrying value of deposits for the option to acquire a vessel including expenses and interest (asset group). If the step two of the impairment analysis is required, the analysis includes the use of discounted cash flows which includes various assumptions, including the Company’s WACC.</w:t>
      </w:r>
    </w:p>
    <w:p>
      <w:pPr>
        <w:spacing w:after="0" w:line="149"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During the fourth quarter of fiscal year 2020, management concluded that events occurred and circumstances had changed, which indicated that potential impairment of Navios Holdings’ operating lease assets might exist. These indicators included continued volatility in the spot market, and the related impact of the current dry bulk sector has on management’s expectation for future revenues. As a result, an impairment assessment of operating lease assets (step one) was performed. The Company determined undiscounted projected net operating cash flows for each charter-in and bareboat chartered-in vessel and compared it to operating lease asset’s carrying value together with the carrying value of deposits for the option to acquire a vessel including expenses and interest. The significant factors and assumptions used in the undiscounted projected net operating cash flow analysis included: determining the projected net operating cash flows by considering the charter revenues from existing time charters for the fixed fleet days (the Company’s remaining charter agreement rates) and an estimated daily time charter equivalent for the unfixed days (based on three-year average historical time charter rates) over the remaining lease term, net of brokerage and address commissions excluding days of scheduled off-hires (for the bareboat chartered-in vessels), management fees for vessel operating expenses in accordance with the terms of management agreement (assuming an annual increase of 3.0% every second year for the bareboat chartered-in vessels).</w:t>
      </w:r>
    </w:p>
    <w:p>
      <w:pPr>
        <w:spacing w:after="0" w:line="172"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As of December 31, 2020, our assessment concluded that step two of the impairment analysis was required for two asset groups, which involves a discounted cash flow analysis using the Company’s WACC. The WACC is based on externally observable data considering market participants’ and the Company’s cost of equity and debt, optimal capital structure and risk factors specific to the Company. As a result, the Company recorded an impairment loss of $1.4 million, being the difference between the fair value of the operating lease asset and its carrying value, presented within the caption “Impairment loss/ loss on sale of vessels, net” in the</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00"/>
          </w:cols>
          <w:pgMar w:left="320" w:top="459" w:right="47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consolidated statements of comprehensive (loss)/income. Where the undiscounted projected net operating cash flows for each asset group do not exceed the carrying value of the operating lease asset and the carrying value of deposits for the option to acquire a vessel including expenses and interest, management proceeds to perform step two of the impairment assessment.</w:t>
      </w:r>
    </w:p>
    <w:p>
      <w:pPr>
        <w:spacing w:after="0" w:line="184" w:lineRule="exact"/>
        <w:rPr>
          <w:sz w:val="20"/>
          <w:szCs w:val="20"/>
          <w:color w:val="auto"/>
        </w:rPr>
      </w:pPr>
    </w:p>
    <w:p>
      <w:pPr>
        <w:jc w:val="both"/>
        <w:ind w:left="120" w:right="260" w:firstLine="440"/>
        <w:spacing w:after="0" w:line="279" w:lineRule="auto"/>
        <w:rPr>
          <w:sz w:val="20"/>
          <w:szCs w:val="20"/>
          <w:color w:val="auto"/>
        </w:rPr>
      </w:pPr>
      <w:r>
        <w:rPr>
          <w:rFonts w:ascii="Arial" w:cs="Arial" w:eastAsia="Arial" w:hAnsi="Arial"/>
          <w:sz w:val="17"/>
          <w:szCs w:val="17"/>
          <w:color w:val="auto"/>
        </w:rPr>
        <w:t>As of December 31, 2019, our assessment concluded that step two of the impairment analysis was required for certain charter-in vessels, which involves a discounted cash flow analysis using the Company’s WACC. As a result, the Company recorded an impairment loss of $38.6 million, being the difference between the fair value of the operating lease asset and its carrying value, presented within the caption “Impairment loss/ loss on sale of vessels, net” in the consolidated statements of comprehensive (loss)/income.</w:t>
      </w:r>
    </w:p>
    <w:p>
      <w:pPr>
        <w:spacing w:after="0" w:line="17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b w:val="1"/>
          <w:bCs w:val="1"/>
          <w:i w:val="1"/>
          <w:iCs w:val="1"/>
          <w:color w:val="auto"/>
        </w:rPr>
        <w:t xml:space="preserve">Investments in Equity Securities: </w:t>
      </w:r>
      <w:r>
        <w:rPr>
          <w:rFonts w:ascii="Arial" w:cs="Arial" w:eastAsia="Arial" w:hAnsi="Arial"/>
          <w:sz w:val="18"/>
          <w:szCs w:val="18"/>
          <w:color w:val="auto"/>
        </w:rPr>
        <w:t>Navios Holdings evaluates its investments in Navios Acquisition, Navios Partners, Navios Containers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(following the deconsolidation) and evaluated Navios Europe I, Navios Europe II (through their liquidation in December 2019 and June 2020, respectively) for OTTI on a quarterly basis. Consideration is given to (i) the length of time and the extent to which the fair value has been less than the carrying value, (ii) the financial condition and near-term prospects of Navios Partners, Navios Acquisition and Navios Containers, and (iii) the intent and ability of the Company to retain its investment in Navios Acquisition, Navios Partners and Navios Containers for a period of time sufficient to allow for any anticipated recovery in fair value.</w:t>
      </w:r>
    </w:p>
    <w:p>
      <w:pPr>
        <w:spacing w:after="0" w:line="192"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Navios Holdings considers whether the fair values of its equity method investments have declined below their carrying values whenever adverse events or changes in circumstances indicate that the carrying value may not be recoverable. If we consider any such decline to be “other-than-temporary” (based on various factors, including historical financial results, economic and industry events resulting in changes in the affiliate’s trading performance and the overall health of the affiliate’s industry), then we would write down the carrying amount of the investment to its estimated fair value.</w:t>
      </w:r>
    </w:p>
    <w:p>
      <w:pPr>
        <w:spacing w:after="0" w:line="188"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As of December 31, 2020, the Company did not recognize any “other-than-temporary” loss in its investments in both Navios Partners and Navios Containers. As of December 31, 2020, the Company recognized an OTTI loss of $13.4 million relating to its investment in Navios Acquisition and the amount was included within the caption “Equity in net losses of affiliate companies”. During the first quarter of 2020, the Company considered the decline in fair value of its investment in Navios Europe II as OTTI and therefore recognized a loss of $6.7 million in the accompanying consolidated statement of comprehensive (loss)/income included within the caption “Equity in net losses of affiliate companies”.</w:t>
      </w:r>
    </w:p>
    <w:p>
      <w:pPr>
        <w:spacing w:after="0" w:line="176"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color w:val="auto"/>
        </w:rPr>
        <w:t>As of December 31, 2019, the Company did not recognize any “other-than-temporary” loss in its investment in both Navios Partners and Navios Containers. During the year ended December 31, 2019, the Company recognized an OTTI loss of $13.5 million relating to its investment in Navios Acquisition and the amount was included within the caption “Equity in net losses of affiliate companies”.</w:t>
      </w:r>
    </w:p>
    <w:p>
      <w:pPr>
        <w:spacing w:after="0" w:line="165" w:lineRule="exact"/>
        <w:rPr>
          <w:sz w:val="20"/>
          <w:szCs w:val="20"/>
          <w:color w:val="auto"/>
        </w:rPr>
      </w:pPr>
    </w:p>
    <w:p>
      <w:pPr>
        <w:ind w:left="120" w:right="240" w:firstLine="440"/>
        <w:spacing w:after="0" w:line="308" w:lineRule="auto"/>
        <w:rPr>
          <w:sz w:val="20"/>
          <w:szCs w:val="20"/>
          <w:color w:val="auto"/>
        </w:rPr>
      </w:pPr>
      <w:r>
        <w:rPr>
          <w:rFonts w:ascii="Arial" w:cs="Arial" w:eastAsia="Arial" w:hAnsi="Arial"/>
          <w:sz w:val="17"/>
          <w:szCs w:val="17"/>
          <w:color w:val="auto"/>
        </w:rPr>
        <w:t>As of December 31, 2018, the Company considered the decline in fair value of its investment in Navios Partners as “other-than-temporary” and therefore recognized a loss of $55.5 million in the accompanying consolidated statement of comprehensive (loss)/income.</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2018, the Company did not recognize any impairment loss in its investment in Navios Acquisition.</w:t>
      </w:r>
    </w:p>
    <w:p>
      <w:pPr>
        <w:spacing w:after="0" w:line="22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For a description of Navios Holdings’ recent accounting pronouncements, see Note 2 to the Consolidated Financial Statements, included herein.</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 Safe Harbor</w:t>
      </w:r>
    </w:p>
    <w:p>
      <w:pPr>
        <w:spacing w:after="0" w:line="11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Applicable to the extent the disclosures in Item 5.E and 5.F above are eligible for the statutory safe harbor protections provided to forward-looking statements.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6. Directors, Senior Management and Employees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 Directors and Senior Management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current board of directors, executive officers and significant employees are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28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60" w:type="dxa"/>
            <w:vAlign w:val="bottom"/>
          </w:tcPr>
          <w:p>
            <w:pPr>
              <w:ind w:left="20"/>
              <w:spacing w:after="0"/>
              <w:rPr>
                <w:sz w:val="20"/>
                <w:szCs w:val="20"/>
                <w:color w:val="auto"/>
              </w:rPr>
            </w:pPr>
            <w:r>
              <w:rPr>
                <w:rFonts w:ascii="Arial" w:cs="Arial" w:eastAsia="Arial" w:hAnsi="Arial"/>
                <w:sz w:val="14"/>
                <w:szCs w:val="14"/>
                <w:b w:val="1"/>
                <w:bCs w:val="1"/>
                <w:color w:val="auto"/>
                <w:w w:val="83"/>
              </w:rPr>
              <w:t>Age</w:t>
            </w:r>
          </w:p>
        </w:tc>
        <w:tc>
          <w:tcPr>
            <w:tcW w:w="7480" w:type="dxa"/>
            <w:vAlign w:val="bottom"/>
            <w:gridSpan w:val="3"/>
          </w:tcPr>
          <w:p>
            <w:pPr>
              <w:ind w:left="3540"/>
              <w:spacing w:after="0"/>
              <w:rPr>
                <w:sz w:val="20"/>
                <w:szCs w:val="20"/>
                <w:color w:val="auto"/>
              </w:rPr>
            </w:pPr>
            <w:r>
              <w:rPr>
                <w:rFonts w:ascii="Arial" w:cs="Arial" w:eastAsia="Arial" w:hAnsi="Arial"/>
                <w:sz w:val="14"/>
                <w:szCs w:val="14"/>
                <w:b w:val="1"/>
                <w:bCs w:val="1"/>
                <w:color w:val="auto"/>
              </w:rPr>
              <w:t>Position</w:t>
            </w:r>
          </w:p>
        </w:tc>
      </w:tr>
      <w:tr>
        <w:trPr>
          <w:trHeight w:val="20"/>
        </w:trPr>
        <w:tc>
          <w:tcPr>
            <w:tcW w:w="3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5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shd w:val="clear" w:color="auto" w:fill="000000"/>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r>
      <w:tr>
        <w:trPr>
          <w:trHeight w:val="203"/>
        </w:trPr>
        <w:tc>
          <w:tcPr>
            <w:tcW w:w="32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Angeliki Frangou</w:t>
            </w:r>
          </w:p>
        </w:tc>
        <w:tc>
          <w:tcPr>
            <w:tcW w:w="26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56</w:t>
            </w:r>
          </w:p>
        </w:tc>
        <w:tc>
          <w:tcPr>
            <w:tcW w:w="7480" w:type="dxa"/>
            <w:vAlign w:val="bottom"/>
            <w:gridSpan w:val="3"/>
            <w:shd w:val="clear" w:color="auto" w:fill="CCEEFF"/>
          </w:tcPr>
          <w:p>
            <w:pPr>
              <w:ind w:left="100"/>
              <w:spacing w:after="0" w:line="203" w:lineRule="exact"/>
              <w:rPr>
                <w:sz w:val="20"/>
                <w:szCs w:val="20"/>
                <w:color w:val="auto"/>
              </w:rPr>
            </w:pPr>
            <w:r>
              <w:rPr>
                <w:rFonts w:ascii="Arial" w:cs="Arial" w:eastAsia="Arial" w:hAnsi="Arial"/>
                <w:sz w:val="18"/>
                <w:szCs w:val="18"/>
                <w:color w:val="auto"/>
              </w:rPr>
              <w:t>Chairman of the Board and Chief Executive Officer</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Georgios Akhniotis</w:t>
            </w:r>
          </w:p>
        </w:tc>
        <w:tc>
          <w:tcPr>
            <w:tcW w:w="260" w:type="dxa"/>
            <w:vAlign w:val="bottom"/>
          </w:tcPr>
          <w:p>
            <w:pPr>
              <w:ind w:left="20"/>
              <w:spacing w:after="0"/>
              <w:rPr>
                <w:sz w:val="20"/>
                <w:szCs w:val="20"/>
                <w:color w:val="auto"/>
              </w:rPr>
            </w:pPr>
            <w:r>
              <w:rPr>
                <w:rFonts w:ascii="Arial" w:cs="Arial" w:eastAsia="Arial" w:hAnsi="Arial"/>
                <w:sz w:val="18"/>
                <w:szCs w:val="18"/>
                <w:color w:val="auto"/>
              </w:rPr>
              <w:t>56</w:t>
            </w:r>
          </w:p>
        </w:tc>
        <w:tc>
          <w:tcPr>
            <w:tcW w:w="7480" w:type="dxa"/>
            <w:vAlign w:val="bottom"/>
            <w:gridSpan w:val="3"/>
          </w:tcPr>
          <w:p>
            <w:pPr>
              <w:ind w:left="100"/>
              <w:spacing w:after="0"/>
              <w:rPr>
                <w:sz w:val="20"/>
                <w:szCs w:val="20"/>
                <w:color w:val="auto"/>
              </w:rPr>
            </w:pPr>
            <w:r>
              <w:rPr>
                <w:rFonts w:ascii="Arial" w:cs="Arial" w:eastAsia="Arial" w:hAnsi="Arial"/>
                <w:sz w:val="18"/>
                <w:szCs w:val="18"/>
                <w:color w:val="auto"/>
              </w:rPr>
              <w:t>Chief Financial Officer</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Ted C. Petrone*</w:t>
            </w: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66</w:t>
            </w:r>
          </w:p>
        </w:tc>
        <w:tc>
          <w:tcPr>
            <w:tcW w:w="74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Vice Chairman of Navios Corporation</w:t>
            </w: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Vasiliki Papaefthymiou</w:t>
            </w:r>
          </w:p>
        </w:tc>
        <w:tc>
          <w:tcPr>
            <w:tcW w:w="260" w:type="dxa"/>
            <w:vAlign w:val="bottom"/>
          </w:tcPr>
          <w:p>
            <w:pPr>
              <w:ind w:left="20"/>
              <w:spacing w:after="0"/>
              <w:rPr>
                <w:sz w:val="20"/>
                <w:szCs w:val="20"/>
                <w:color w:val="auto"/>
              </w:rPr>
            </w:pPr>
            <w:r>
              <w:rPr>
                <w:rFonts w:ascii="Arial" w:cs="Arial" w:eastAsia="Arial" w:hAnsi="Arial"/>
                <w:sz w:val="18"/>
                <w:szCs w:val="18"/>
                <w:color w:val="auto"/>
              </w:rPr>
              <w:t>52</w:t>
            </w:r>
          </w:p>
        </w:tc>
        <w:tc>
          <w:tcPr>
            <w:tcW w:w="7480" w:type="dxa"/>
            <w:vAlign w:val="bottom"/>
            <w:gridSpan w:val="3"/>
          </w:tcPr>
          <w:p>
            <w:pPr>
              <w:ind w:left="100"/>
              <w:spacing w:after="0"/>
              <w:rPr>
                <w:sz w:val="20"/>
                <w:szCs w:val="20"/>
                <w:color w:val="auto"/>
              </w:rPr>
            </w:pPr>
            <w:r>
              <w:rPr>
                <w:rFonts w:ascii="Arial" w:cs="Arial" w:eastAsia="Arial" w:hAnsi="Arial"/>
                <w:sz w:val="18"/>
                <w:szCs w:val="18"/>
                <w:color w:val="auto"/>
              </w:rPr>
              <w:t>Executive Vice President—Legal and Director</w:t>
            </w:r>
          </w:p>
        </w:tc>
      </w:tr>
      <w:tr>
        <w:trPr>
          <w:trHeight w:val="350"/>
        </w:trPr>
        <w:tc>
          <w:tcPr>
            <w:tcW w:w="3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540" w:type="dxa"/>
            <w:vAlign w:val="bottom"/>
          </w:tcPr>
          <w:p>
            <w:pPr>
              <w:ind w:left="1820"/>
              <w:spacing w:after="0"/>
              <w:rPr>
                <w:sz w:val="20"/>
                <w:szCs w:val="20"/>
                <w:color w:val="auto"/>
              </w:rPr>
            </w:pPr>
            <w:r>
              <w:rPr>
                <w:rFonts w:ascii="Arial" w:cs="Arial" w:eastAsia="Arial" w:hAnsi="Arial"/>
                <w:sz w:val="18"/>
                <w:szCs w:val="18"/>
                <w:color w:val="auto"/>
              </w:rPr>
              <w:t>131</w:t>
            </w:r>
          </w:p>
        </w:tc>
        <w:tc>
          <w:tcPr>
            <w:tcW w:w="500" w:type="dxa"/>
            <w:vAlign w:val="bottom"/>
          </w:tcPr>
          <w:p>
            <w:pPr>
              <w:spacing w:after="0"/>
              <w:rPr>
                <w:sz w:val="24"/>
                <w:szCs w:val="24"/>
                <w:color w:val="auto"/>
              </w:rPr>
            </w:pPr>
          </w:p>
        </w:tc>
        <w:tc>
          <w:tcPr>
            <w:tcW w:w="344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35" w:name="page136"/>
    <w:bookmarkEnd w:id="13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50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220" w:type="dxa"/>
            <w:vAlign w:val="bottom"/>
          </w:tcPr>
          <w:p>
            <w:pPr>
              <w:spacing w:after="0"/>
              <w:rPr>
                <w:sz w:val="17"/>
                <w:szCs w:val="17"/>
                <w:color w:val="auto"/>
              </w:rPr>
            </w:pPr>
          </w:p>
        </w:tc>
        <w:tc>
          <w:tcPr>
            <w:tcW w:w="7420" w:type="dxa"/>
            <w:vAlign w:val="bottom"/>
          </w:tcPr>
          <w:p>
            <w:pPr>
              <w:spacing w:after="0"/>
              <w:rPr>
                <w:sz w:val="17"/>
                <w:szCs w:val="17"/>
                <w:color w:val="auto"/>
              </w:rPr>
            </w:pPr>
          </w:p>
        </w:tc>
      </w:tr>
      <w:tr>
        <w:trPr>
          <w:trHeight w:val="318"/>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1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420" w:type="dxa"/>
            <w:vAlign w:val="bottom"/>
          </w:tcPr>
          <w:p>
            <w:pPr>
              <w:spacing w:after="0"/>
              <w:rPr>
                <w:sz w:val="24"/>
                <w:szCs w:val="24"/>
                <w:color w:val="auto"/>
              </w:rPr>
            </w:pPr>
          </w:p>
        </w:tc>
      </w:tr>
      <w:tr>
        <w:trPr>
          <w:trHeight w:val="216"/>
        </w:trPr>
        <w:tc>
          <w:tcPr>
            <w:tcW w:w="120" w:type="dxa"/>
            <w:vAlign w:val="bottom"/>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Anna Kalathakis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7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Chief Legal Risk Officer</w:t>
            </w:r>
          </w:p>
        </w:tc>
      </w:tr>
      <w:tr>
        <w:trPr>
          <w:trHeight w:val="216"/>
        </w:trPr>
        <w:tc>
          <w:tcPr>
            <w:tcW w:w="120" w:type="dxa"/>
            <w:vAlign w:val="bottom"/>
          </w:tcPr>
          <w:p>
            <w:pPr>
              <w:spacing w:after="0"/>
              <w:rPr>
                <w:sz w:val="18"/>
                <w:szCs w:val="18"/>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auto"/>
              </w:rPr>
              <w:t>Shunji Sasada*</w:t>
            </w:r>
          </w:p>
        </w:tc>
        <w:tc>
          <w:tcPr>
            <w:tcW w:w="1220" w:type="dxa"/>
            <w:vAlign w:val="bottom"/>
          </w:tcPr>
          <w:p>
            <w:pPr>
              <w:jc w:val="right"/>
              <w:spacing w:after="0"/>
              <w:rPr>
                <w:sz w:val="20"/>
                <w:szCs w:val="20"/>
                <w:color w:val="auto"/>
              </w:rPr>
            </w:pPr>
            <w:r>
              <w:rPr>
                <w:rFonts w:ascii="Arial" w:cs="Arial" w:eastAsia="Arial" w:hAnsi="Arial"/>
                <w:sz w:val="18"/>
                <w:szCs w:val="18"/>
                <w:color w:val="auto"/>
              </w:rPr>
              <w:t>63</w:t>
            </w:r>
          </w:p>
        </w:tc>
        <w:tc>
          <w:tcPr>
            <w:tcW w:w="7420" w:type="dxa"/>
            <w:vAlign w:val="bottom"/>
          </w:tcPr>
          <w:p>
            <w:pPr>
              <w:ind w:left="80"/>
              <w:spacing w:after="0"/>
              <w:rPr>
                <w:sz w:val="20"/>
                <w:szCs w:val="20"/>
                <w:color w:val="auto"/>
              </w:rPr>
            </w:pPr>
            <w:r>
              <w:rPr>
                <w:rFonts w:ascii="Arial" w:cs="Arial" w:eastAsia="Arial" w:hAnsi="Arial"/>
                <w:sz w:val="18"/>
                <w:szCs w:val="18"/>
                <w:color w:val="auto"/>
              </w:rPr>
              <w:t>President of Navios Corporation and Director</w:t>
            </w:r>
          </w:p>
        </w:tc>
      </w:tr>
      <w:tr>
        <w:trPr>
          <w:trHeight w:val="216"/>
        </w:trPr>
        <w:tc>
          <w:tcPr>
            <w:tcW w:w="120" w:type="dxa"/>
            <w:vAlign w:val="bottom"/>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Leonidas Korres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7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Senior Vice President—Business Development</w:t>
            </w:r>
          </w:p>
        </w:tc>
      </w:tr>
      <w:tr>
        <w:trPr>
          <w:trHeight w:val="216"/>
        </w:trPr>
        <w:tc>
          <w:tcPr>
            <w:tcW w:w="120" w:type="dxa"/>
            <w:vAlign w:val="bottom"/>
          </w:tcPr>
          <w:p>
            <w:pPr>
              <w:spacing w:after="0"/>
              <w:rPr>
                <w:sz w:val="18"/>
                <w:szCs w:val="18"/>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auto"/>
              </w:rPr>
              <w:t>Efstratios Desypris</w:t>
            </w:r>
          </w:p>
        </w:tc>
        <w:tc>
          <w:tcPr>
            <w:tcW w:w="1220" w:type="dxa"/>
            <w:vAlign w:val="bottom"/>
          </w:tcPr>
          <w:p>
            <w:pPr>
              <w:jc w:val="right"/>
              <w:spacing w:after="0"/>
              <w:rPr>
                <w:sz w:val="20"/>
                <w:szCs w:val="20"/>
                <w:color w:val="auto"/>
              </w:rPr>
            </w:pPr>
            <w:r>
              <w:rPr>
                <w:rFonts w:ascii="Arial" w:cs="Arial" w:eastAsia="Arial" w:hAnsi="Arial"/>
                <w:sz w:val="18"/>
                <w:szCs w:val="18"/>
                <w:color w:val="auto"/>
              </w:rPr>
              <w:t>48</w:t>
            </w:r>
          </w:p>
        </w:tc>
        <w:tc>
          <w:tcPr>
            <w:tcW w:w="7420" w:type="dxa"/>
            <w:vAlign w:val="bottom"/>
          </w:tcPr>
          <w:p>
            <w:pPr>
              <w:ind w:left="80"/>
              <w:spacing w:after="0"/>
              <w:rPr>
                <w:sz w:val="20"/>
                <w:szCs w:val="20"/>
                <w:color w:val="auto"/>
              </w:rPr>
            </w:pPr>
            <w:r>
              <w:rPr>
                <w:rFonts w:ascii="Arial" w:cs="Arial" w:eastAsia="Arial" w:hAnsi="Arial"/>
                <w:sz w:val="18"/>
                <w:szCs w:val="18"/>
                <w:color w:val="auto"/>
              </w:rPr>
              <w:t>Chief Financial Controller</w:t>
            </w:r>
          </w:p>
        </w:tc>
      </w:tr>
      <w:tr>
        <w:trPr>
          <w:trHeight w:val="216"/>
        </w:trPr>
        <w:tc>
          <w:tcPr>
            <w:tcW w:w="120" w:type="dxa"/>
            <w:vAlign w:val="bottom"/>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Ioannis Karyotis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7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Senior Vice President—Strategic Planning</w:t>
            </w:r>
          </w:p>
        </w:tc>
      </w:tr>
      <w:tr>
        <w:trPr>
          <w:trHeight w:val="216"/>
        </w:trPr>
        <w:tc>
          <w:tcPr>
            <w:tcW w:w="120" w:type="dxa"/>
            <w:vAlign w:val="bottom"/>
          </w:tcPr>
          <w:p>
            <w:pPr>
              <w:spacing w:after="0"/>
              <w:rPr>
                <w:sz w:val="18"/>
                <w:szCs w:val="18"/>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auto"/>
              </w:rPr>
              <w:t>Erifili Tsironi</w:t>
            </w:r>
          </w:p>
        </w:tc>
        <w:tc>
          <w:tcPr>
            <w:tcW w:w="1220" w:type="dxa"/>
            <w:vAlign w:val="bottom"/>
          </w:tcPr>
          <w:p>
            <w:pPr>
              <w:jc w:val="right"/>
              <w:spacing w:after="0"/>
              <w:rPr>
                <w:sz w:val="20"/>
                <w:szCs w:val="20"/>
                <w:color w:val="auto"/>
              </w:rPr>
            </w:pPr>
            <w:r>
              <w:rPr>
                <w:rFonts w:ascii="Arial" w:cs="Arial" w:eastAsia="Arial" w:hAnsi="Arial"/>
                <w:sz w:val="18"/>
                <w:szCs w:val="18"/>
                <w:color w:val="auto"/>
              </w:rPr>
              <w:t>47</w:t>
            </w:r>
          </w:p>
        </w:tc>
        <w:tc>
          <w:tcPr>
            <w:tcW w:w="7420" w:type="dxa"/>
            <w:vAlign w:val="bottom"/>
          </w:tcPr>
          <w:p>
            <w:pPr>
              <w:ind w:left="80"/>
              <w:spacing w:after="0"/>
              <w:rPr>
                <w:sz w:val="20"/>
                <w:szCs w:val="20"/>
                <w:color w:val="auto"/>
              </w:rPr>
            </w:pPr>
            <w:r>
              <w:rPr>
                <w:rFonts w:ascii="Arial" w:cs="Arial" w:eastAsia="Arial" w:hAnsi="Arial"/>
                <w:sz w:val="18"/>
                <w:szCs w:val="18"/>
                <w:color w:val="auto"/>
              </w:rPr>
              <w:t>Senior Vice President – Credit Management</w:t>
            </w:r>
          </w:p>
        </w:tc>
      </w:tr>
      <w:tr>
        <w:trPr>
          <w:trHeight w:val="216"/>
        </w:trPr>
        <w:tc>
          <w:tcPr>
            <w:tcW w:w="120" w:type="dxa"/>
            <w:vAlign w:val="bottom"/>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Spyridon Magoulas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7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Director</w:t>
            </w:r>
          </w:p>
        </w:tc>
      </w:tr>
      <w:tr>
        <w:trPr>
          <w:trHeight w:val="216"/>
        </w:trPr>
        <w:tc>
          <w:tcPr>
            <w:tcW w:w="120" w:type="dxa"/>
            <w:vAlign w:val="bottom"/>
          </w:tcPr>
          <w:p>
            <w:pPr>
              <w:spacing w:after="0"/>
              <w:rPr>
                <w:sz w:val="18"/>
                <w:szCs w:val="18"/>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auto"/>
              </w:rPr>
              <w:t>John Stratakis</w:t>
            </w:r>
          </w:p>
        </w:tc>
        <w:tc>
          <w:tcPr>
            <w:tcW w:w="1220" w:type="dxa"/>
            <w:vAlign w:val="bottom"/>
          </w:tcPr>
          <w:p>
            <w:pPr>
              <w:jc w:val="right"/>
              <w:spacing w:after="0"/>
              <w:rPr>
                <w:sz w:val="20"/>
                <w:szCs w:val="20"/>
                <w:color w:val="auto"/>
              </w:rPr>
            </w:pPr>
            <w:r>
              <w:rPr>
                <w:rFonts w:ascii="Arial" w:cs="Arial" w:eastAsia="Arial" w:hAnsi="Arial"/>
                <w:sz w:val="18"/>
                <w:szCs w:val="18"/>
                <w:color w:val="auto"/>
              </w:rPr>
              <w:t>55</w:t>
            </w:r>
          </w:p>
        </w:tc>
        <w:tc>
          <w:tcPr>
            <w:tcW w:w="7420" w:type="dxa"/>
            <w:vAlign w:val="bottom"/>
          </w:tcPr>
          <w:p>
            <w:pPr>
              <w:ind w:left="80"/>
              <w:spacing w:after="0"/>
              <w:rPr>
                <w:sz w:val="20"/>
                <w:szCs w:val="20"/>
                <w:color w:val="auto"/>
              </w:rPr>
            </w:pPr>
            <w:r>
              <w:rPr>
                <w:rFonts w:ascii="Arial" w:cs="Arial" w:eastAsia="Arial" w:hAnsi="Arial"/>
                <w:sz w:val="18"/>
                <w:szCs w:val="18"/>
                <w:color w:val="auto"/>
              </w:rPr>
              <w:t>Director</w:t>
            </w:r>
          </w:p>
        </w:tc>
      </w:tr>
      <w:tr>
        <w:trPr>
          <w:trHeight w:val="216"/>
        </w:trPr>
        <w:tc>
          <w:tcPr>
            <w:tcW w:w="120" w:type="dxa"/>
            <w:vAlign w:val="bottom"/>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Efstathios Loizos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7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Director</w:t>
            </w:r>
          </w:p>
        </w:tc>
      </w:tr>
      <w:tr>
        <w:trPr>
          <w:trHeight w:val="216"/>
        </w:trPr>
        <w:tc>
          <w:tcPr>
            <w:tcW w:w="120" w:type="dxa"/>
            <w:vAlign w:val="bottom"/>
          </w:tcPr>
          <w:p>
            <w:pPr>
              <w:spacing w:after="0"/>
              <w:rPr>
                <w:sz w:val="18"/>
                <w:szCs w:val="18"/>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auto"/>
              </w:rPr>
              <w:t>George Malanga</w:t>
            </w:r>
          </w:p>
        </w:tc>
        <w:tc>
          <w:tcPr>
            <w:tcW w:w="1220" w:type="dxa"/>
            <w:vAlign w:val="bottom"/>
          </w:tcPr>
          <w:p>
            <w:pPr>
              <w:jc w:val="right"/>
              <w:spacing w:after="0"/>
              <w:rPr>
                <w:sz w:val="20"/>
                <w:szCs w:val="20"/>
                <w:color w:val="auto"/>
              </w:rPr>
            </w:pPr>
            <w:r>
              <w:rPr>
                <w:rFonts w:ascii="Arial" w:cs="Arial" w:eastAsia="Arial" w:hAnsi="Arial"/>
                <w:sz w:val="18"/>
                <w:szCs w:val="18"/>
                <w:color w:val="auto"/>
              </w:rPr>
              <w:t>63</w:t>
            </w:r>
          </w:p>
        </w:tc>
        <w:tc>
          <w:tcPr>
            <w:tcW w:w="7420" w:type="dxa"/>
            <w:vAlign w:val="bottom"/>
          </w:tcPr>
          <w:p>
            <w:pPr>
              <w:ind w:left="80"/>
              <w:spacing w:after="0"/>
              <w:rPr>
                <w:sz w:val="20"/>
                <w:szCs w:val="20"/>
                <w:color w:val="auto"/>
              </w:rPr>
            </w:pPr>
            <w:r>
              <w:rPr>
                <w:rFonts w:ascii="Arial" w:cs="Arial" w:eastAsia="Arial" w:hAnsi="Arial"/>
                <w:sz w:val="18"/>
                <w:szCs w:val="18"/>
                <w:color w:val="auto"/>
              </w:rPr>
              <w:t>Director</w:t>
            </w:r>
          </w:p>
        </w:tc>
      </w:tr>
      <w:tr>
        <w:trPr>
          <w:trHeight w:val="216"/>
        </w:trPr>
        <w:tc>
          <w:tcPr>
            <w:tcW w:w="120" w:type="dxa"/>
            <w:vAlign w:val="bottom"/>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Pearson</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7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Director</w:t>
            </w:r>
          </w:p>
        </w:tc>
      </w:tr>
    </w:tbl>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Significant employee</w:t>
      </w:r>
    </w:p>
    <w:p>
      <w:pPr>
        <w:spacing w:after="0" w:line="221"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b w:val="1"/>
          <w:bCs w:val="1"/>
          <w:color w:val="auto"/>
        </w:rPr>
        <w:t xml:space="preserve">Angeliki Frangou </w:t>
      </w:r>
      <w:r>
        <w:rPr>
          <w:rFonts w:ascii="Arial" w:cs="Arial" w:eastAsia="Arial" w:hAnsi="Arial"/>
          <w:sz w:val="17"/>
          <w:szCs w:val="17"/>
          <w:color w:val="auto"/>
        </w:rPr>
        <w:t>has been our Chairman and CEO since August 25, 2005. In addition, Ms. Frangou has been the Chairman and Chief Executive</w:t>
      </w:r>
      <w:r>
        <w:rPr>
          <w:rFonts w:ascii="Arial" w:cs="Arial" w:eastAsia="Arial" w:hAnsi="Arial"/>
          <w:sz w:val="17"/>
          <w:szCs w:val="17"/>
          <w:b w:val="1"/>
          <w:bCs w:val="1"/>
          <w:color w:val="auto"/>
        </w:rPr>
        <w:t xml:space="preserve"> </w:t>
      </w:r>
      <w:r>
        <w:rPr>
          <w:rFonts w:ascii="Arial" w:cs="Arial" w:eastAsia="Arial" w:hAnsi="Arial"/>
          <w:sz w:val="17"/>
          <w:szCs w:val="17"/>
          <w:color w:val="auto"/>
        </w:rPr>
        <w:t>Officer of Navios Maritime Partners L.P. (NYSE: NMM), an affiliated limited partnership, since August 2007, the Chairman and Chief Executive Officer of Navios Maritime Acquisition Corporation (NYSE: NNA), an affiliated corporation, since March, 2008. Ms. Frangou has been the Chairman of the Board of Directors of Navios Logistics since its inception in December 2007. Ms. Frangou is the Chairman of IRF European Finance Investments Ltd., and is also a Member of the Board of the United Kingdom Mutual Steam Ship Assurance Association (Bermuda) Limited. Since 2015, she has also been a Board Member of the Union of Greek Shipowners, as well as on the Board of Trustees of Fairleigh Dickinson University. Ms. Frangou also acts as Vice Chairman of the China Classification Society Mediterranean Committee, and is a member of the International General Committee and of the Hellenic and Black Sea Committee of Bureau Veritas, and is also a member of the Greek Committee of Nippon Kaiji Kyokai. Ms. Frangou received a bachelor’s degree in Mechanical Engineering, summa cum laude, from Fairleigh Dickinson University and a master’s degree in Mechanical Engineering from Columbia University.</w:t>
      </w:r>
    </w:p>
    <w:p>
      <w:pPr>
        <w:spacing w:after="0" w:line="177"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b w:val="1"/>
          <w:bCs w:val="1"/>
          <w:color w:val="auto"/>
        </w:rPr>
        <w:t xml:space="preserve">Georgios Akhniotis </w:t>
      </w:r>
      <w:r>
        <w:rPr>
          <w:rFonts w:ascii="Arial" w:cs="Arial" w:eastAsia="Arial" w:hAnsi="Arial"/>
          <w:sz w:val="17"/>
          <w:szCs w:val="17"/>
          <w:color w:val="auto"/>
        </w:rPr>
        <w:t>has been Navios Holdings’ Chief Financial Officer since April 12, 2007. Prior to being appointed Chief Financial Officer of</w:t>
      </w:r>
      <w:r>
        <w:rPr>
          <w:rFonts w:ascii="Arial" w:cs="Arial" w:eastAsia="Arial" w:hAnsi="Arial"/>
          <w:sz w:val="17"/>
          <w:szCs w:val="17"/>
          <w:b w:val="1"/>
          <w:bCs w:val="1"/>
          <w:color w:val="auto"/>
        </w:rPr>
        <w:t xml:space="preserve"> </w:t>
      </w:r>
      <w:r>
        <w:rPr>
          <w:rFonts w:ascii="Arial" w:cs="Arial" w:eastAsia="Arial" w:hAnsi="Arial"/>
          <w:sz w:val="17"/>
          <w:szCs w:val="17"/>
          <w:color w:val="auto"/>
        </w:rPr>
        <w:t>Navios Holdings, Mr. Achniotis served as Senior Vice President-Business Development of Navios Holdings from August 2006 to April 2007. Before joining Navios Holdings, Mr. Achniotis was a partner at PricewaterhouseCoopers (“PwC”) in Greece, heading the Piraeus office and the firm’s shipping practice. He became a partner at PwC in 1999 when he set up and headed the firm’s internal audit services department from which all SOX implementation and consultation projects were performed. Mr. Achniotis is currently a Director and Executive Vice President-Business Development of Navios Partners; a New York Stock Exchange traded limited partnership, which is an affiliate of Navios Holdings. He has more than 20 years’ experience in the accounting profession with work experience in England, Cyprus and Greece. Mr. Achniotis qualified as a Chartered Accountant in England and Wales in 1991, and holds a Bachelor’s degree in Civil Engineering from the University of Manchester.</w:t>
      </w:r>
    </w:p>
    <w:p>
      <w:pPr>
        <w:spacing w:after="0" w:line="172"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b w:val="1"/>
          <w:bCs w:val="1"/>
          <w:color w:val="auto"/>
        </w:rPr>
        <w:t xml:space="preserve">Ted C. Petrone </w:t>
      </w:r>
      <w:r>
        <w:rPr>
          <w:rFonts w:ascii="Arial" w:cs="Arial" w:eastAsia="Arial" w:hAnsi="Arial"/>
          <w:sz w:val="18"/>
          <w:szCs w:val="18"/>
          <w:color w:val="auto"/>
        </w:rPr>
        <w:t>became Vice Chairman of Navios Corporation in January 2015 having previously served as a director of Navios Holdings from</w:t>
      </w:r>
      <w:r>
        <w:rPr>
          <w:rFonts w:ascii="Arial" w:cs="Arial" w:eastAsia="Arial" w:hAnsi="Arial"/>
          <w:sz w:val="18"/>
          <w:szCs w:val="18"/>
          <w:b w:val="1"/>
          <w:bCs w:val="1"/>
          <w:color w:val="auto"/>
        </w:rPr>
        <w:t xml:space="preserve"> </w:t>
      </w:r>
      <w:r>
        <w:rPr>
          <w:rFonts w:ascii="Arial" w:cs="Arial" w:eastAsia="Arial" w:hAnsi="Arial"/>
          <w:sz w:val="18"/>
          <w:szCs w:val="18"/>
          <w:color w:val="auto"/>
        </w:rPr>
        <w:t>May 2007 to January 2015 and President of Navios Corporation from September 2006 to January 2015. Mr. Petrone has served in the maritime industry for 44 years, 40 of which he has spent with Navios Holdings. After joining Navios Holdings as an assistant vessel operator, Mr. Petrone worked in various operational and commercial positions. Mr. Petrone was previously responsible for all aspects of the daily commercial activity, encompassing the trading of tonnage, derivative hedge positions and cargoes. Mr. Petrone is currently also a director of Navios Acquisition, a New York Stock Exchange listed company, and an affiliate of the Company; and has served in such capacity since June 2008. Mr. Petrone graduated from New York Maritime College at Fort Schuyler with a Bachelor of Science degree in maritime transportation. He has served aboard U.S. Navy (Military Sealift Command) tankers.</w:t>
      </w:r>
    </w:p>
    <w:p>
      <w:pPr>
        <w:spacing w:after="0" w:line="192" w:lineRule="exact"/>
        <w:rPr>
          <w:sz w:val="20"/>
          <w:szCs w:val="20"/>
          <w:color w:val="auto"/>
        </w:rPr>
      </w:pPr>
    </w:p>
    <w:p>
      <w:pPr>
        <w:ind w:left="120" w:right="20" w:firstLine="440"/>
        <w:spacing w:after="0" w:line="274" w:lineRule="auto"/>
        <w:rPr>
          <w:sz w:val="20"/>
          <w:szCs w:val="20"/>
          <w:color w:val="auto"/>
        </w:rPr>
      </w:pPr>
      <w:r>
        <w:rPr>
          <w:rFonts w:ascii="Arial" w:cs="Arial" w:eastAsia="Arial" w:hAnsi="Arial"/>
          <w:sz w:val="17"/>
          <w:szCs w:val="17"/>
          <w:b w:val="1"/>
          <w:bCs w:val="1"/>
          <w:color w:val="auto"/>
        </w:rPr>
        <w:t xml:space="preserve">Vasiliki Papaefthymiou </w:t>
      </w:r>
      <w:r>
        <w:rPr>
          <w:rFonts w:ascii="Arial" w:cs="Arial" w:eastAsia="Arial" w:hAnsi="Arial"/>
          <w:sz w:val="17"/>
          <w:szCs w:val="17"/>
          <w:color w:val="auto"/>
        </w:rPr>
        <w:t>has been Executive Vice President — Legal and a member of Navios Holdings’ board of directors since its inception,</w:t>
      </w:r>
      <w:r>
        <w:rPr>
          <w:rFonts w:ascii="Arial" w:cs="Arial" w:eastAsia="Arial" w:hAnsi="Arial"/>
          <w:sz w:val="17"/>
          <w:szCs w:val="17"/>
          <w:b w:val="1"/>
          <w:bCs w:val="1"/>
          <w:color w:val="auto"/>
        </w:rPr>
        <w:t xml:space="preserve"> </w:t>
      </w:r>
      <w:r>
        <w:rPr>
          <w:rFonts w:ascii="Arial" w:cs="Arial" w:eastAsia="Arial" w:hAnsi="Arial"/>
          <w:sz w:val="17"/>
          <w:szCs w:val="17"/>
          <w:color w:val="auto"/>
        </w:rPr>
        <w:t>and prior to that was a member of the board of directors of ISE. Ms. Papaefthymiou has served as general counsel for Maritime Enterprises Management S.A. since October 2001, where she has advised the Company on shipping, corporate and finance legal matters. Ms. Papaefthymiou provided similar services as general counsel to Franser Shipping from October 1991 to September 2001. Ms. Papaefthymiou received her undergraduate degree from the Law School of the University of Athens and a masters degree in Maritime Law from Southampton University in the United Kingdom. Ms. Papaefthymiou is admitted to practice law before the Bar in Piraeus, Greece.</w:t>
      </w:r>
    </w:p>
    <w:p>
      <w:pPr>
        <w:spacing w:after="0" w:line="173" w:lineRule="exact"/>
        <w:rPr>
          <w:sz w:val="20"/>
          <w:szCs w:val="20"/>
          <w:color w:val="auto"/>
        </w:rPr>
      </w:pPr>
    </w:p>
    <w:p>
      <w:pPr>
        <w:ind w:left="120" w:right="80" w:firstLine="440"/>
        <w:spacing w:after="0" w:line="292" w:lineRule="auto"/>
        <w:rPr>
          <w:sz w:val="20"/>
          <w:szCs w:val="20"/>
          <w:color w:val="auto"/>
        </w:rPr>
      </w:pPr>
      <w:r>
        <w:rPr>
          <w:rFonts w:ascii="Arial" w:cs="Arial" w:eastAsia="Arial" w:hAnsi="Arial"/>
          <w:sz w:val="16"/>
          <w:szCs w:val="16"/>
          <w:b w:val="1"/>
          <w:bCs w:val="1"/>
          <w:color w:val="auto"/>
        </w:rPr>
        <w:t xml:space="preserve">Anna Kalathakis </w:t>
      </w:r>
      <w:r>
        <w:rPr>
          <w:rFonts w:ascii="Arial" w:cs="Arial" w:eastAsia="Arial" w:hAnsi="Arial"/>
          <w:sz w:val="16"/>
          <w:szCs w:val="16"/>
          <w:color w:val="auto"/>
        </w:rPr>
        <w:t>has been Chief Legal Risk Officer since November 2012, and Senior Vice President — Legal Risk Management of Navios</w:t>
      </w:r>
      <w:r>
        <w:rPr>
          <w:rFonts w:ascii="Arial" w:cs="Arial" w:eastAsia="Arial" w:hAnsi="Arial"/>
          <w:sz w:val="16"/>
          <w:szCs w:val="16"/>
          <w:b w:val="1"/>
          <w:bCs w:val="1"/>
          <w:color w:val="auto"/>
        </w:rPr>
        <w:t xml:space="preserve"> </w:t>
      </w:r>
      <w:r>
        <w:rPr>
          <w:rFonts w:ascii="Arial" w:cs="Arial" w:eastAsia="Arial" w:hAnsi="Arial"/>
          <w:sz w:val="16"/>
          <w:szCs w:val="16"/>
          <w:color w:val="auto"/>
        </w:rPr>
        <w:t>Maritime Holdings Inc. from December 2005 until October 2012. Before joining Navios Holdings, Ms. Kalathakis was the General Manager of the Greek office of A. Bilbrough &amp; Co. Ltd. and an Associate Director of the Company (Managers of the London Steam-Ship Owners’ Mutual Insurance Association Limited). She has previously worked for a U.S. maritime law firm in New Orleans, was admitted to practice law in the state of Louisiana in 1995, and has also worked in a similar capacity at a London maritime law firm. She qualified as a solicitor in England and Wales in 1999 and was admitted to practice law before the Bar in Piraeus, Greece in 2003. She has studied International Relations at Georgetown University, Washington D.C. (1991). She holds an MBA from European University at Brussels (1992) and a J.D. from Tulane Law School (1995).</w:t>
      </w:r>
    </w:p>
    <w:p>
      <w:pPr>
        <w:sectPr>
          <w:pgSz w:w="11900" w:h="16838" w:orient="portrait"/>
          <w:cols w:equalWidth="0" w:num="1">
            <w:col w:w="11140"/>
          </w:cols>
          <w:pgMar w:left="320" w:top="445" w:right="439" w:bottom="1440" w:gutter="0" w:footer="0" w:header="0"/>
        </w:sectPr>
      </w:pP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132</w:t>
      </w:r>
    </w:p>
    <w:p>
      <w:pPr>
        <w:sectPr>
          <w:pgSz w:w="11900" w:h="16838" w:orient="portrait"/>
          <w:cols w:equalWidth="0" w:num="1">
            <w:col w:w="11140"/>
          </w:cols>
          <w:pgMar w:left="320" w:top="445" w:right="439" w:bottom="1440" w:gutter="0" w:footer="0" w:header="0"/>
          <w:type w:val="continuous"/>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b w:val="1"/>
          <w:bCs w:val="1"/>
          <w:color w:val="auto"/>
        </w:rPr>
        <w:t xml:space="preserve">Shunji Sasada </w:t>
      </w:r>
      <w:r>
        <w:rPr>
          <w:rFonts w:ascii="Arial" w:cs="Arial" w:eastAsia="Arial" w:hAnsi="Arial"/>
          <w:sz w:val="17"/>
          <w:szCs w:val="17"/>
          <w:color w:val="auto"/>
        </w:rPr>
        <w:t>became a director of Navios Holdings and President of Navios Corporation in January 2015. Mr. Sasada has also served as a</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 in Navios Maritime Partners L.P. since August 2007. Previously, as Chief Operating Officer of Navios Corporation and Senior Vice President of Fleet Development, he headed Navios Holdings’ program for the growth and development of the Company’s long-term charter-in and owned tonnage. Mr. Sasada started his shipping career in 1981 in Japan with Mitsui’s O.S.K. Lines, Ltd. (“MOSK”). Mr. Sasada’s first position with MOSK was in steel products in the Tokyo branch as a salesman for exporting steel products to worldwide destinations. Two years later, Mr. Sasada moved to the tramp section in Mitsui’s bulk carrier division and was in charge of operations and then of chartering 20-40 smaller Handysize vessels between 21,000 dwt and 35,000 dwt. In 1991, Mr. Sasada moved to Norway to join Trinity Bulk Carriers as its chartering manager as well as subsidiary board member, representing MOSK as one of the shareholders. After an assignment in Norway, Mr. Sasada moved to London and started MOSK’s own Ultra Handymax operation as its General Manager. Mr. Sasada joined Navios Holdings in May 1997. Mr. Sasada is the member of the North American Committee of Nippon Kaiji Kyokai (Class NK). He is a graduate of Keio University, Tokyo, with a B.A. degree in Business and he is a member of the Board of Trustees of Keio Academy of New York.</w:t>
      </w:r>
    </w:p>
    <w:p>
      <w:pPr>
        <w:spacing w:after="0" w:line="182"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b w:val="1"/>
          <w:bCs w:val="1"/>
          <w:color w:val="auto"/>
        </w:rPr>
        <w:t xml:space="preserve">Leonidas Korres </w:t>
      </w:r>
      <w:r>
        <w:rPr>
          <w:rFonts w:ascii="Arial" w:cs="Arial" w:eastAsia="Arial" w:hAnsi="Arial"/>
          <w:sz w:val="16"/>
          <w:szCs w:val="16"/>
          <w:color w:val="auto"/>
        </w:rPr>
        <w:t>serves as Senior Vice President for Business Development of Navios Holdings from January 2010 and Head of Research of</w:t>
      </w:r>
      <w:r>
        <w:rPr>
          <w:rFonts w:ascii="Arial" w:cs="Arial" w:eastAsia="Arial" w:hAnsi="Arial"/>
          <w:sz w:val="16"/>
          <w:szCs w:val="16"/>
          <w:b w:val="1"/>
          <w:bCs w:val="1"/>
          <w:color w:val="auto"/>
        </w:rPr>
        <w:t xml:space="preserve"> </w:t>
      </w:r>
      <w:r>
        <w:rPr>
          <w:rFonts w:ascii="Arial" w:cs="Arial" w:eastAsia="Arial" w:hAnsi="Arial"/>
          <w:sz w:val="16"/>
          <w:szCs w:val="16"/>
          <w:color w:val="auto"/>
        </w:rPr>
        <w:t>Navios Group since January 2018. Mr. Korres is also Chief Financial Officer of Navios Maritime Acquisition since April 2010. Mr. Korres served as the Special Secretary for Public Private Partnerships in the Ministry of Economy and Finance of the Hellenic Republic from October 2005 until November 2009. Prior to that, from April 2004 to October 2005, Mr. Korres served as Special Financial Advisor to the Minister of Economy and Finance of the Hellenic Republic and as liquidator of the Organizational Committee for the Olympic Games Athens 2004 S.A. From 2001 to 2004, Mr. Korres worked as a senior financial advisor for KPMG Corporate Finance. From October 2007 until January 2010, Mr. Korres was a member of the board of directors of Navios Partners. From May 2003 to December 2006, Mr. Korres was Chairman of the Center for Employment and Entrepreneurship,</w:t>
      </w:r>
    </w:p>
    <w:p>
      <w:pPr>
        <w:spacing w:after="0" w:line="1" w:lineRule="exact"/>
        <w:rPr>
          <w:sz w:val="20"/>
          <w:szCs w:val="20"/>
          <w:color w:val="auto"/>
        </w:rPr>
      </w:pPr>
    </w:p>
    <w:p>
      <w:pPr>
        <w:ind w:left="120" w:right="300"/>
        <w:spacing w:after="0" w:line="295" w:lineRule="auto"/>
        <w:rPr>
          <w:sz w:val="20"/>
          <w:szCs w:val="20"/>
          <w:color w:val="auto"/>
        </w:rPr>
      </w:pPr>
      <w:r>
        <w:rPr>
          <w:rFonts w:ascii="Arial" w:cs="Arial" w:eastAsia="Arial" w:hAnsi="Arial"/>
          <w:sz w:val="16"/>
          <w:szCs w:val="16"/>
          <w:color w:val="auto"/>
        </w:rPr>
        <w:t>a non-profit company. From June 2008 until February 2009, Mr. Korres served as a board member and audit committee member of Hellenic Telecommunications Organization S.A. (trading on the Athens and New York Stock Exchanges). From June 2004 until November 2009, Mr. Korres served on the board of Hellenic Olympic Properties S.A., which was responsible for operating the Olympic venues. Mr. Korres earned his bachelor’s degree in Economics from the Athens University of Economics and Business and his master’s degree in Finance from the University of London.</w:t>
      </w:r>
    </w:p>
    <w:p>
      <w:pPr>
        <w:spacing w:after="0" w:line="157" w:lineRule="exact"/>
        <w:rPr>
          <w:sz w:val="20"/>
          <w:szCs w:val="20"/>
          <w:color w:val="auto"/>
        </w:rPr>
      </w:pPr>
    </w:p>
    <w:p>
      <w:pPr>
        <w:ind w:left="120" w:right="20" w:firstLine="440"/>
        <w:spacing w:after="0" w:line="294" w:lineRule="auto"/>
        <w:rPr>
          <w:sz w:val="20"/>
          <w:szCs w:val="20"/>
          <w:color w:val="auto"/>
        </w:rPr>
      </w:pPr>
      <w:r>
        <w:rPr>
          <w:rFonts w:ascii="Arial" w:cs="Arial" w:eastAsia="Arial" w:hAnsi="Arial"/>
          <w:sz w:val="16"/>
          <w:szCs w:val="16"/>
          <w:b w:val="1"/>
          <w:bCs w:val="1"/>
          <w:color w:val="auto"/>
        </w:rPr>
        <w:t xml:space="preserve">Efstratios Desypris </w:t>
      </w:r>
      <w:r>
        <w:rPr>
          <w:rFonts w:ascii="Arial" w:cs="Arial" w:eastAsia="Arial" w:hAnsi="Arial"/>
          <w:sz w:val="16"/>
          <w:szCs w:val="16"/>
          <w:color w:val="auto"/>
        </w:rPr>
        <w:t>has been our Chief Financial Controller since February 2011. Mr. Desypris has previously served as Financial Controller</w:t>
      </w:r>
      <w:r>
        <w:rPr>
          <w:rFonts w:ascii="Arial" w:cs="Arial" w:eastAsia="Arial" w:hAnsi="Arial"/>
          <w:sz w:val="16"/>
          <w:szCs w:val="16"/>
          <w:b w:val="1"/>
          <w:bCs w:val="1"/>
          <w:color w:val="auto"/>
        </w:rPr>
        <w:t xml:space="preserve"> </w:t>
      </w:r>
      <w:r>
        <w:rPr>
          <w:rFonts w:ascii="Arial" w:cs="Arial" w:eastAsia="Arial" w:hAnsi="Arial"/>
          <w:sz w:val="16"/>
          <w:szCs w:val="16"/>
          <w:color w:val="auto"/>
        </w:rPr>
        <w:t>since May 2006. Mr. Desypris is also the Chief Financial Officer of Navios Maritime Partners since January 2010 and the Chief Financial Officer of N Shipmanagement Acquisition since September 2019. In addition, Mr. Desypris is a director of Navios Maritime Containers L.P. since 2017. He also serves as Senior Vice President — Strategic Planning and Director of Navios Logistics. Before joining Navios Group, Mr. Desypris worked for 9 years in the accounting profession, most recently as manager of the audit department at Ernst &amp; Young in Greece. Mr. Desypris started his career as an auditor with Arthur Andersen &amp; Co. in 1997. He holds a Bachelor of Science degree in Economics from the University of Piraeus.</w:t>
      </w:r>
    </w:p>
    <w:p>
      <w:pPr>
        <w:spacing w:after="0" w:line="160"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b w:val="1"/>
          <w:bCs w:val="1"/>
          <w:color w:val="auto"/>
        </w:rPr>
        <w:t xml:space="preserve">Ioannis Karyotis </w:t>
      </w:r>
      <w:r>
        <w:rPr>
          <w:rFonts w:ascii="Arial" w:cs="Arial" w:eastAsia="Arial" w:hAnsi="Arial"/>
          <w:sz w:val="17"/>
          <w:szCs w:val="17"/>
          <w:color w:val="auto"/>
        </w:rPr>
        <w:t>has been our Senior Vice President — Strategic Planning since February 2011. Mr. Karyotis is also Chief Financial Officer of</w:t>
      </w:r>
      <w:r>
        <w:rPr>
          <w:rFonts w:ascii="Arial" w:cs="Arial" w:eastAsia="Arial" w:hAnsi="Arial"/>
          <w:sz w:val="17"/>
          <w:szCs w:val="17"/>
          <w:b w:val="1"/>
          <w:bCs w:val="1"/>
          <w:color w:val="auto"/>
        </w:rPr>
        <w:t xml:space="preserve"> </w:t>
      </w:r>
      <w:r>
        <w:rPr>
          <w:rFonts w:ascii="Arial" w:cs="Arial" w:eastAsia="Arial" w:hAnsi="Arial"/>
          <w:sz w:val="17"/>
          <w:szCs w:val="17"/>
          <w:color w:val="auto"/>
        </w:rPr>
        <w:t>Navios Logistics since March 2011. Prior to joining the Company, from 2006 until 2011, Mr. Karyotis was Consultant and later Project Leader at The Boston Consulting Group (BCG), an international management consulting firm. From 2003 until 2005, Mr. Karyotis was Senior Equity Analyst at Eurocorp Securities, a Greek brokerage house, and in 2003, he was Senior Analyst in the Corporate Finance Department at HSBC Pantelakis Securities, a subsidiary of HSBC Bank. Mr. Karyotis began his career in 2002 with Marfin Hellenic Securities as Equity Analyst. He received his bachelor’s degree in Economics from the Athens University of Economics and Business (1998). He holds a master’s of science in Finance and Economics from the London School of Economics (1999) and an MBA from INSEAD (2006).</w:t>
      </w:r>
    </w:p>
    <w:p>
      <w:pPr>
        <w:spacing w:after="0" w:line="172"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b w:val="1"/>
          <w:bCs w:val="1"/>
          <w:color w:val="auto"/>
        </w:rPr>
        <w:t xml:space="preserve">Erifili Tsironi </w:t>
      </w:r>
      <w:r>
        <w:rPr>
          <w:rFonts w:ascii="Arial" w:cs="Arial" w:eastAsia="Arial" w:hAnsi="Arial"/>
          <w:sz w:val="17"/>
          <w:szCs w:val="17"/>
          <w:color w:val="auto"/>
        </w:rPr>
        <w:t>has been our Senior Vice President – Credit Management since October 2014. Ms. Tsironi served as Chief Financial Officer of</w:t>
      </w:r>
      <w:r>
        <w:rPr>
          <w:rFonts w:ascii="Arial" w:cs="Arial" w:eastAsia="Arial" w:hAnsi="Arial"/>
          <w:sz w:val="17"/>
          <w:szCs w:val="17"/>
          <w:b w:val="1"/>
          <w:bCs w:val="1"/>
          <w:color w:val="auto"/>
        </w:rPr>
        <w:t xml:space="preserve"> </w:t>
      </w:r>
      <w:r>
        <w:rPr>
          <w:rFonts w:ascii="Arial" w:cs="Arial" w:eastAsia="Arial" w:hAnsi="Arial"/>
          <w:sz w:val="17"/>
          <w:szCs w:val="17"/>
          <w:color w:val="auto"/>
        </w:rPr>
        <w:t>Navios Maritime Containers L.P. since 2019 until completion of the merger with Navios Maritime Partners L.P. in 2021, and as Chief Financial Officer of Navios Maritime Midstream Partners L.P since its inception in 2014 until completion of the merger with Navios Maritime Acquisition Corporation in 2018. Ms. Tsironi has over 24 years’ experience in shipping focusing on ship finance. Before joining us, she was Global Dry Bulk Sector Coordinator and Senior Vice President at DVB Bank SE. Ms. Tsironi joined the DVB in 2000 serving as Assistant Local Manager and Senior Relationship Manager. Previously, she served as account manager in ANZ Investment Bank / ANZ Grindlays Bank Ltd from May 1997 until December 1999. Ms. Tsironi holds a BSc. in Economics, awarded with Honours, from the London School of Economics and Political Science and a MSc in Shipping, Trade and Finance, awarded with Distinction, from Cass Business School of City University in London.</w:t>
      </w:r>
    </w:p>
    <w:p>
      <w:pPr>
        <w:spacing w:after="0" w:line="172" w:lineRule="exact"/>
        <w:rPr>
          <w:sz w:val="20"/>
          <w:szCs w:val="20"/>
          <w:color w:val="auto"/>
        </w:rPr>
      </w:pPr>
    </w:p>
    <w:p>
      <w:pPr>
        <w:ind w:left="120" w:right="40" w:firstLine="440"/>
        <w:spacing w:after="0" w:line="258" w:lineRule="auto"/>
        <w:rPr>
          <w:sz w:val="20"/>
          <w:szCs w:val="20"/>
          <w:color w:val="auto"/>
        </w:rPr>
      </w:pPr>
      <w:r>
        <w:rPr>
          <w:rFonts w:ascii="Arial" w:cs="Arial" w:eastAsia="Arial" w:hAnsi="Arial"/>
          <w:sz w:val="18"/>
          <w:szCs w:val="18"/>
          <w:b w:val="1"/>
          <w:bCs w:val="1"/>
          <w:color w:val="auto"/>
        </w:rPr>
        <w:t xml:space="preserve">Spyridon Magoulas </w:t>
      </w:r>
      <w:r>
        <w:rPr>
          <w:rFonts w:ascii="Arial" w:cs="Arial" w:eastAsia="Arial" w:hAnsi="Arial"/>
          <w:sz w:val="18"/>
          <w:szCs w:val="18"/>
          <w:color w:val="auto"/>
        </w:rPr>
        <w:t>has been a member of Navios Holdings’ Board of Directors since its inception, and prior to that was a member of the board</w:t>
      </w:r>
      <w:r>
        <w:rPr>
          <w:rFonts w:ascii="Arial" w:cs="Arial" w:eastAsia="Arial" w:hAnsi="Arial"/>
          <w:sz w:val="18"/>
          <w:szCs w:val="18"/>
          <w:b w:val="1"/>
          <w:bCs w:val="1"/>
          <w:color w:val="auto"/>
        </w:rPr>
        <w:t xml:space="preserve"> </w:t>
      </w:r>
      <w:r>
        <w:rPr>
          <w:rFonts w:ascii="Arial" w:cs="Arial" w:eastAsia="Arial" w:hAnsi="Arial"/>
          <w:sz w:val="18"/>
          <w:szCs w:val="18"/>
          <w:color w:val="auto"/>
        </w:rPr>
        <w:t>of directors of ISE. Mr. Magoulas is the co-founder and director of Doric Shipbrokers S.A., a chartering firm based in Athens, Greece, and has served as the managing director of Doric Shipbrokers S.A. since its formation in 1994. From 1982 to 1993, Mr. Magoulas was chartering director and shipbroker for Nicholas G. Moundreas Shipping S.A., a company located in Piraeus, Greece, and from 1980 to 1982, Mr. Magoulas served at Orion and Global Chartering Inc. in New York. Mr. Magoulas received a</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20"/>
          </w:cols>
          <w:pgMar w:left="320" w:top="459" w:right="4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bachelor’s degree in Economics (honors) from the City University of New York, New York, a master’s degree in Transportation Management from the Maritime College in New York and a master degree in Political Economy from the New School for Social Research in New York. In addition to his role on the Board of Directors, Mr. Magoulas also serves as a member of the Audit Committee, the Compensation Committee and the Nominating and Governance Committee. Mr. Magoulas is an independent director.</w:t>
      </w:r>
    </w:p>
    <w:p>
      <w:pPr>
        <w:spacing w:after="0" w:line="183"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b w:val="1"/>
          <w:bCs w:val="1"/>
          <w:color w:val="auto"/>
        </w:rPr>
        <w:t xml:space="preserve">John Stratakis </w:t>
      </w:r>
      <w:r>
        <w:rPr>
          <w:rFonts w:ascii="Arial" w:cs="Arial" w:eastAsia="Arial" w:hAnsi="Arial"/>
          <w:sz w:val="17"/>
          <w:szCs w:val="17"/>
          <w:color w:val="auto"/>
        </w:rPr>
        <w:t>has been a member of Navios Holdings’ Board of Directors since its inception, and prior to that was a member of the board of</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of ISE. Since 1994, Mr. Stratakis has been a partner with the law firm of Poles, Tublin, Stratakis &amp; Gonzalez, LLP, in New York, New York, where he specializes in all aspects of marine finance law and general corporate law. He serves on the Advisory Board of the Center for Corporate Governance at Drexel University LeBow College of Business. Mr. Stratakis also has been a director and the President of the Hellenic-American Chamber of Commerce in New York. He serves on the board of New York Maritime Inc., an association that promotes the New York region as a maritime business center. Mr. Stratakis received a Bachelor of Arts (cum laude) from Trinity College and a Juris Doctor degree from Washington College of Law at American University. Mr. Stratakis is admitted to practice law in the State of New York and in the courts of the Southern and Eastern Districts of New York. In addition to his role on the Board of Directors, Mr. Stratakis also serves as chairman of the Nominating and Governance Committee and a member of the Compensation Committee. Mr. Stratakis is an independent director.</w:t>
      </w:r>
    </w:p>
    <w:p>
      <w:pPr>
        <w:spacing w:after="0" w:line="174"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b w:val="1"/>
          <w:bCs w:val="1"/>
          <w:color w:val="auto"/>
        </w:rPr>
        <w:t xml:space="preserve">Efstathios Loizos </w:t>
      </w:r>
      <w:r>
        <w:rPr>
          <w:rFonts w:ascii="Arial" w:cs="Arial" w:eastAsia="Arial" w:hAnsi="Arial"/>
          <w:sz w:val="16"/>
          <w:szCs w:val="16"/>
          <w:color w:val="auto"/>
        </w:rPr>
        <w:t>was appointed to our Board of Directors in July 2010. Mr. Loizos was also director of Navios Partners from October 2007 until</w:t>
      </w:r>
      <w:r>
        <w:rPr>
          <w:rFonts w:ascii="Arial" w:cs="Arial" w:eastAsia="Arial" w:hAnsi="Arial"/>
          <w:sz w:val="16"/>
          <w:szCs w:val="16"/>
          <w:b w:val="1"/>
          <w:bCs w:val="1"/>
          <w:color w:val="auto"/>
        </w:rPr>
        <w:t xml:space="preserve"> </w:t>
      </w:r>
      <w:r>
        <w:rPr>
          <w:rFonts w:ascii="Arial" w:cs="Arial" w:eastAsia="Arial" w:hAnsi="Arial"/>
          <w:sz w:val="16"/>
          <w:szCs w:val="16"/>
          <w:color w:val="auto"/>
        </w:rPr>
        <w:t>June 2010. In October 2008, Mr. Loizos joined the Managing Team of ION S.A., a leading Greek chocolate and cocoa group of companies, with the responsibility of supervising MABEL S.A., one of the affiliate companies of the group. In June 2010, Mr. Loizos was appointed to the Board of Directors of ION S.A. and assumed enlarged executive responsibilities within the group. Since March 2014, Mr. Loizos serves as the CEO of the affiliate company INTERION S.A., which operates in Bulgaria and since 2018 as the Vice President of the ION group of companies. In May 2010, Mr. Loizos was elected as a member of the Board of Directors of IOBE (Foundation of Economic and Industrial Research). Between 2001 and 2008, Mr. Loizos served as the General Manager and a member of the Board of Directors of ELSA S.A., a Greek steel packaging company, and also as the Vice Chairman of the Board of Directors of its affiliate company ATLAS S.A. From 2005 to 2007, Mr. Loizos served as the President of the International Packaging Association and as the Vice President of the Greek Association of Steel Packaging Manufacturers. Mr. Loizos received a Maitrise en Sciences Economiques from the University of Strasbourg and an M.B.A. in Finance from Stern Business School—New York University. Mr. Loizos also serves as Chairman of the Audit Committee and chairman of the Compensation Committee. Mr. Loizos is an independent director.</w:t>
      </w:r>
    </w:p>
    <w:p>
      <w:pPr>
        <w:spacing w:after="0" w:line="163"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b w:val="1"/>
          <w:bCs w:val="1"/>
          <w:color w:val="auto"/>
        </w:rPr>
        <w:t xml:space="preserve">George Malanga </w:t>
      </w:r>
      <w:r>
        <w:rPr>
          <w:rFonts w:ascii="Arial" w:cs="Arial" w:eastAsia="Arial" w:hAnsi="Arial"/>
          <w:sz w:val="18"/>
          <w:szCs w:val="18"/>
          <w:color w:val="auto"/>
        </w:rPr>
        <w:t>has been a member of our Board of Directors since April 2010. He is currently serving as the Chief Credit Officer of BNY</w:t>
      </w:r>
      <w:r>
        <w:rPr>
          <w:rFonts w:ascii="Arial" w:cs="Arial" w:eastAsia="Arial" w:hAnsi="Arial"/>
          <w:sz w:val="18"/>
          <w:szCs w:val="18"/>
          <w:b w:val="1"/>
          <w:bCs w:val="1"/>
          <w:color w:val="auto"/>
        </w:rPr>
        <w:t xml:space="preserve"> </w:t>
      </w:r>
      <w:r>
        <w:rPr>
          <w:rFonts w:ascii="Arial" w:cs="Arial" w:eastAsia="Arial" w:hAnsi="Arial"/>
          <w:sz w:val="18"/>
          <w:szCs w:val="18"/>
          <w:color w:val="auto"/>
        </w:rPr>
        <w:t>Mellon. Mr. Malanga has held a variety of positions during his 34 year tenure with the bank. He began his banking career in various relationship management roles before moving to risk management in 2000. Mr. Malanga has served in roles with increased responsibility in credit risk management over the past 21 years. His credit risk experience includes head of asset recovery, head of domestic corporate credit and currently as Chief Credit Officer of BNY Mellon. Mr. Malanga holds a Bachelor’s Degree in Business Administration from Rutgers College and an M.B.A. in Finance from New York University. Mr. Malanga also serves as a member of the Audit Committee and the Nominating and Governance Committee. Mr. Malanga is an independent director.</w:t>
      </w:r>
    </w:p>
    <w:p>
      <w:pPr>
        <w:spacing w:after="0" w:line="189" w:lineRule="exact"/>
        <w:rPr>
          <w:sz w:val="20"/>
          <w:szCs w:val="20"/>
          <w:color w:val="auto"/>
        </w:rPr>
      </w:pPr>
    </w:p>
    <w:p>
      <w:pPr>
        <w:ind w:left="120" w:right="280" w:firstLine="440"/>
        <w:spacing w:after="0" w:line="303" w:lineRule="auto"/>
        <w:rPr>
          <w:sz w:val="20"/>
          <w:szCs w:val="20"/>
          <w:color w:val="auto"/>
        </w:rPr>
      </w:pPr>
      <w:r>
        <w:rPr>
          <w:rFonts w:ascii="Arial" w:cs="Arial" w:eastAsia="Arial" w:hAnsi="Arial"/>
          <w:sz w:val="16"/>
          <w:szCs w:val="16"/>
          <w:b w:val="1"/>
          <w:bCs w:val="1"/>
          <w:color w:val="auto"/>
        </w:rPr>
        <w:t xml:space="preserve">Michael Pearson </w:t>
      </w:r>
      <w:r>
        <w:rPr>
          <w:rFonts w:ascii="Arial" w:cs="Arial" w:eastAsia="Arial" w:hAnsi="Arial"/>
          <w:sz w:val="16"/>
          <w:szCs w:val="16"/>
          <w:color w:val="auto"/>
        </w:rPr>
        <w:t>has been a director of the Company since April 2021, and is based in the Cayman Islands. He is a qualified accountant (UK)</w:t>
      </w:r>
      <w:r>
        <w:rPr>
          <w:rFonts w:ascii="Arial" w:cs="Arial" w:eastAsia="Arial" w:hAnsi="Arial"/>
          <w:sz w:val="16"/>
          <w:szCs w:val="16"/>
          <w:b w:val="1"/>
          <w:bCs w:val="1"/>
          <w:color w:val="auto"/>
        </w:rPr>
        <w:t xml:space="preserve"> </w:t>
      </w:r>
      <w:r>
        <w:rPr>
          <w:rFonts w:ascii="Arial" w:cs="Arial" w:eastAsia="Arial" w:hAnsi="Arial"/>
          <w:sz w:val="16"/>
          <w:szCs w:val="16"/>
          <w:color w:val="auto"/>
        </w:rPr>
        <w:t>and worked at EY, PwC and Deloitte. In 2012, he founded FFP, a fiduciary services firm based in the Cayman Islands and British Virgin Islands. Mr. Pearson is also a qualified insolvency practitioner (UK) and has been appointed by Caribbean Courts in a protective or investigative capacity. He graduated from the University of Bath in 1999 with an Honours degree in Business Administration. Mr. Pearson is an independent director.</w:t>
      </w:r>
    </w:p>
    <w:p>
      <w:pPr>
        <w:spacing w:after="0" w:line="15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are no family relationships between any of our directors, executive officers or significant employees.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 Compensation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aggregate annual compensation (bonus) paid to our current executive officers was approximately $3.0 million for the year ended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December 31, 2020. Through August 2019, Navios Holdings provided administrative services to Navios Partners, Navios Acquisition, Navios Logistics,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Navios Containers, Navios Europe I and Navios Europe II. Navios Holdings was reimbursed for reasonable costs and expenses, incurred in connection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with the provision of these services. Following the sale of the management division effected on August 30, 2019, outlined in Note 3 included elsewhere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this Annual Report, these services are currently provided by NSM. In February 2015, the Board of Directors approved the adoption of the Navios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Holdings 2015 Equity Incentive Plan, as amended in December 2018 (the “2015 Equity Incentive Plan”). The amendment was adopted by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Company’s Board of Directors in November 2018 and extends the duration of the plan to December 2020. The 2015 Equity Incentive Plan authorizes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issuance of stock grants to our officers, employees, directors and consultants in such amounts and pursuant to such terms as may be determined by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Board of Directors at the time of the grant.</w:t>
      </w:r>
    </w:p>
    <w:p>
      <w:pPr>
        <w:spacing w:after="0" w:line="211"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On December 13, 2017, December 10, 2018, February 1, 2019, December 18, 2019 and December 21, 2020 the Company authorized the granting of restricted share units and share appreciation rights and the issuance of shares of restricted common stock, restricted stock units and stock options in accordance with the Company’s stock option plan for its employees, officers and directors. These awards of restricted share units, share appreciation rights, restricted common stock units, restricted common stock and stock options to its employees, officers and directors, vest over three and four years.</w:t>
      </w:r>
    </w:p>
    <w:p>
      <w:pPr>
        <w:sectPr>
          <w:pgSz w:w="11900" w:h="16838" w:orient="portrait"/>
          <w:cols w:equalWidth="0" w:num="1">
            <w:col w:w="11100"/>
          </w:cols>
          <w:pgMar w:left="320" w:top="459" w:right="479" w:bottom="1440" w:gutter="0" w:footer="0" w:header="0"/>
        </w:sectPr>
      </w:pP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134</w:t>
      </w:r>
    </w:p>
    <w:p>
      <w:pPr>
        <w:sectPr>
          <w:pgSz w:w="11900" w:h="16838" w:orient="portrait"/>
          <w:cols w:equalWidth="0" w:num="1">
            <w:col w:w="11100"/>
          </w:cols>
          <w:pgMar w:left="320" w:top="459" w:right="479" w:bottom="1440" w:gutter="0" w:footer="0" w:header="0"/>
          <w:type w:val="continuous"/>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Details of options granted (post Reverse Stock Split)</w:t>
      </w:r>
    </w:p>
    <w:p>
      <w:pPr>
        <w:spacing w:after="0" w:line="117"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As of the filing of this Annual Report on Form 20-F, 770,558 stock options to purchase the Company’s common stock and 250,000 share appreciation rights have been granted of which 462,293 have vested, 499,559 have expired, 0 remain unvested and 58,706 have been exercised in total, of which 41,141 were granted at an exercise price of $31.80 per share, 3,058 at an exercise price of $58.70 per share, 6,315 at an exercise price of $51.50 per share, 5,953 at an exercise price of $38.10 per share, and 2,239 at an exercise price of $34.40 per share.</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Out of the 770,558 stock options granted and 250,000 share appreciation rights granted, 28,800 options were granted at an exercise price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$167.50 per share; 57,124 options were granted at an exercise price of $31.80 per share; 40,531 options were granted at an exercise price of $58.70 per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share; 95,479 options were granted at an exercise price of $51.50 per share; 134,429 options were granted at an exercise price of $38.10 per share;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134,427 options were granted at an exercise price of $34.40 per share; 67,475 options were granted at an exercise price of $86.30 per share; 112,293</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options were granted at an exercise price of $36.4 per share; and 100,000 options were granted at an exercise price of $12.00 per share. A total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250,000 share appreciation rights were granted at an exercise price of $12.00 per share.</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Details of restricted stock and restricted stock units issued (post Reverse Stock Split)</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As of the filing of this Annual Report on Form 20-F, 1,672,203 restricted share units, shares of restricted stock and restricted stock units have been granted and 254,000 share appreciation rights have been granted, of which 1,514,403 have vested and in the aggregate 13,420 were forfeited during the years from 2007 until 2020. See Note 13 to the Consolidated Financial Statements, included herein.</w:t>
      </w:r>
    </w:p>
    <w:p>
      <w:pPr>
        <w:spacing w:after="0" w:line="184"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Non-employee directors receive annual fees in the amount of $80,000 each plus reimbursement of their out-of-pocket expenses. In addition, as of January 1, 2020, the non-executive serving as chairman of the Audit Committee receives an annual fee of $25,000, the two members of the Audit Committee (other than the Chairman) receive an annual fee of $20,000 each, the chairman of the Nominating and Governance Committee receives an annual fee of $20,000, and the chairman of the Compensation Committee receives an annual fee of $20,000, plus reimbursement of their out-of-pocket expenses.</w:t>
      </w:r>
    </w:p>
    <w:p>
      <w:pPr>
        <w:spacing w:after="0" w:line="296" w:lineRule="exact"/>
        <w:rPr>
          <w:sz w:val="20"/>
          <w:szCs w:val="20"/>
          <w:color w:val="auto"/>
        </w:rPr>
      </w:pPr>
    </w:p>
    <w:p>
      <w:pPr>
        <w:jc w:val="right"/>
        <w:ind w:right="9600"/>
        <w:spacing w:after="0"/>
        <w:rPr>
          <w:sz w:val="20"/>
          <w:szCs w:val="20"/>
          <w:color w:val="auto"/>
        </w:rPr>
      </w:pPr>
      <w:r>
        <w:rPr>
          <w:rFonts w:ascii="Arial" w:cs="Arial" w:eastAsia="Arial" w:hAnsi="Arial"/>
          <w:sz w:val="17"/>
          <w:szCs w:val="17"/>
          <w:b w:val="1"/>
          <w:bCs w:val="1"/>
          <w:i w:val="1"/>
          <w:iCs w:val="1"/>
          <w:color w:val="auto"/>
        </w:rPr>
        <w:t>C. Board Practices</w:t>
      </w:r>
    </w:p>
    <w:p>
      <w:pPr>
        <w:spacing w:after="0" w:line="129" w:lineRule="exact"/>
        <w:rPr>
          <w:sz w:val="20"/>
          <w:szCs w:val="20"/>
          <w:color w:val="auto"/>
        </w:rPr>
      </w:pPr>
    </w:p>
    <w:p>
      <w:pPr>
        <w:jc w:val="right"/>
        <w:ind w:right="9540"/>
        <w:spacing w:after="0"/>
        <w:rPr>
          <w:sz w:val="20"/>
          <w:szCs w:val="20"/>
          <w:color w:val="auto"/>
        </w:rPr>
      </w:pPr>
      <w:r>
        <w:rPr>
          <w:rFonts w:ascii="Arial" w:cs="Arial" w:eastAsia="Arial" w:hAnsi="Arial"/>
          <w:sz w:val="18"/>
          <w:szCs w:val="18"/>
          <w:b w:val="1"/>
          <w:bCs w:val="1"/>
          <w:i w:val="1"/>
          <w:iCs w:val="1"/>
          <w:color w:val="auto"/>
        </w:rPr>
        <w:t>Board classes</w:t>
      </w:r>
    </w:p>
    <w:p>
      <w:pPr>
        <w:spacing w:after="0" w:line="11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 board of directors of Navios Holdings is divided into three classes with only one class of directors being elected in each year and each class serving a three-year term. The term of office of the first class of directors, consisting of Efstathios Loizos, George Malanga and John Stratakis will expire in 2021. The term of office of the second class of directors, consisting of Shunji Sasada, Spyridon Magoulas and Michael Pearson will expire in 2022. The term of office of the third class of directors, consisting of Angeliki Frangou and Vasiliki Papaefthymiou, will expire in 2023. No directors are entitled to any benefits upon termination of their term.</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 board of directors has established an audit committee of three independent directors. The audit committee is governed by a written charter, which was approved by the board of directors. One of the members of the audit committee is an “audit committee financial expert” for purposes of SEC rules and regulations. The audit committee, among other things, reviews our external financial reporting, engages our external auditors, approves all fees paid to auditors and oversees our internal audit activities and procedures and the adequacy of our internal accounting controls. Our audit committee is comprised of Messrs. George Malanga, Efstathios Loizos and Spyridon Magoulas, and our audit committee financial expert is Mr. Efstathios Loizos.</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Nominating and Governance Committee</w:t>
      </w:r>
    </w:p>
    <w:p>
      <w:pPr>
        <w:spacing w:after="0" w:line="11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board of directors has established a nominating and governance committee of three independent directors, Messrs. John Stratakis, who serves as a Chairman, Spyridon Magoulas and George Malanga. This committee is governed by a written charter, which was approved by the board of directors. The nominating and governance committee is responsible for providing assistance to the board of directors in fulfilling its responsibility to the Company’s stockholders relating to the Company’s nominating procedures and practices for appointing officers and directors as well as the Company’s oversight, analysis and recommendations with respect to corporate governance and best practices, and the Company’s process for monitoring compliance with laws and regulations.</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The board of directors has established a compensation committee of three independent directors, Messrs. Efstathios Loizos, who serves as a Chairman, Spyridon Magoulas and John Stratakis. The compensation committee is governed by a written charter, which was approved by the board of directors. The compensation committee is responsible for reviewing and approving the compensation of the Company’s executive officers, for establishing, reviewing and evaluating, in consultation with senior management, the long-term strategy of any employee compensation and approving any material change to existing compensation plans.</w:t>
      </w:r>
    </w:p>
    <w:p>
      <w:pPr>
        <w:sectPr>
          <w:pgSz w:w="11900" w:h="16838" w:orient="portrait"/>
          <w:cols w:equalWidth="0" w:num="1">
            <w:col w:w="11120"/>
          </w:cols>
          <w:pgMar w:left="320" w:top="459" w:right="459" w:bottom="1440" w:gutter="0" w:footer="0" w:header="0"/>
        </w:sectPr>
      </w:pP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135</w:t>
      </w:r>
    </w:p>
    <w:p>
      <w:pPr>
        <w:sectPr>
          <w:pgSz w:w="11900" w:h="16838" w:orient="portrait"/>
          <w:cols w:equalWidth="0" w:num="1">
            <w:col w:w="11120"/>
          </w:cols>
          <w:pgMar w:left="320" w:top="459" w:right="459" w:bottom="1440" w:gutter="0" w:footer="0" w:header="0"/>
          <w:type w:val="continuous"/>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Special Committees</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The board of directors, from time to time, establishes special conflicts committees to review specific matters that the board believes may involve potential conflicts of interest. The conflicts committees determine if the resolution of the conflict of interest is fair and reasonable to us. The members of the conflicts committees may not be our officers or employees or directors, officers or employees of our affiliate companies, and must meet the independence standards established by the New York Stock Exchange to serve on an audit committee of a board of directors and certain other requirements.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 Employees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“Crewing and Shore Employees” under Item 4. B. Business overview.</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 Share Ownership (post Reverse Stock Split)</w:t>
      </w:r>
    </w:p>
    <w:p>
      <w:pPr>
        <w:spacing w:after="0" w:line="117"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The following table sets forth information regarding the beneficial ownership of the common stock of Navios Holdings as of April 13, 2021, based on 15,897,120 shares of common stock outstanding as of such day, by each of Navios Holdings’ executive officers and directors.</w:t>
      </w:r>
    </w:p>
    <w:p>
      <w:pPr>
        <w:spacing w:after="0" w:line="146" w:lineRule="exact"/>
        <w:rPr>
          <w:sz w:val="20"/>
          <w:szCs w:val="20"/>
          <w:color w:val="auto"/>
        </w:rPr>
      </w:pPr>
    </w:p>
    <w:p>
      <w:pPr>
        <w:ind w:left="120" w:right="520" w:firstLine="440"/>
        <w:spacing w:after="0" w:line="342" w:lineRule="auto"/>
        <w:rPr>
          <w:sz w:val="20"/>
          <w:szCs w:val="20"/>
          <w:color w:val="auto"/>
        </w:rPr>
      </w:pPr>
      <w:r>
        <w:rPr>
          <w:rFonts w:ascii="Arial" w:cs="Arial" w:eastAsia="Arial" w:hAnsi="Arial"/>
          <w:sz w:val="16"/>
          <w:szCs w:val="16"/>
          <w:color w:val="auto"/>
        </w:rPr>
        <w:t>Unless otherwise indicated based upon Schedules 13D filed with the SEC and the Company’s knowledge, Navios Holdings believes that all persons named in the table have sole voting and investment power with respect to all shares of common stock beneficially owned by them.</w:t>
      </w:r>
    </w:p>
    <w:p>
      <w:pPr>
        <w:spacing w:after="0" w:line="13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9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5"/>
              </w:rPr>
              <w:t>Amount and Nature</w:t>
            </w:r>
          </w:p>
        </w:tc>
        <w:tc>
          <w:tcPr>
            <w:tcW w:w="116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w w:val="94"/>
              </w:rPr>
              <w:t>Percentage of</w:t>
            </w:r>
          </w:p>
        </w:tc>
        <w:tc>
          <w:tcPr>
            <w:tcW w:w="0" w:type="dxa"/>
            <w:vAlign w:val="bottom"/>
          </w:tcPr>
          <w:p>
            <w:pPr>
              <w:spacing w:after="0"/>
              <w:rPr>
                <w:sz w:val="1"/>
                <w:szCs w:val="1"/>
                <w:color w:val="auto"/>
              </w:rPr>
            </w:pPr>
          </w:p>
        </w:tc>
      </w:tr>
      <w:tr>
        <w:trPr>
          <w:trHeight w:val="148"/>
        </w:trPr>
        <w:tc>
          <w:tcPr>
            <w:tcW w:w="2420" w:type="dxa"/>
            <w:vAlign w:val="bottom"/>
            <w:vMerge w:val="restart"/>
          </w:tcPr>
          <w:p>
            <w:pPr>
              <w:spacing w:after="0"/>
              <w:rPr>
                <w:sz w:val="20"/>
                <w:szCs w:val="20"/>
                <w:color w:val="auto"/>
              </w:rPr>
            </w:pPr>
            <w:r>
              <w:rPr>
                <w:rFonts w:ascii="Arial" w:cs="Arial" w:eastAsia="Arial" w:hAnsi="Arial"/>
                <w:sz w:val="14"/>
                <w:szCs w:val="14"/>
                <w:b w:val="1"/>
                <w:bCs w:val="1"/>
                <w:color w:val="auto"/>
                <w:w w:val="91"/>
              </w:rPr>
              <w:t>Name and Address of Beneficial Owner</w:t>
            </w:r>
          </w:p>
        </w:tc>
        <w:tc>
          <w:tcPr>
            <w:tcW w:w="2860" w:type="dxa"/>
            <w:vAlign w:val="bottom"/>
          </w:tcPr>
          <w:p>
            <w:pPr>
              <w:spacing w:after="0"/>
              <w:rPr>
                <w:sz w:val="12"/>
                <w:szCs w:val="12"/>
                <w:color w:val="auto"/>
              </w:rPr>
            </w:pPr>
          </w:p>
        </w:tc>
        <w:tc>
          <w:tcPr>
            <w:tcW w:w="19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1"/>
              </w:rPr>
              <w:t>of Beneficial</w:t>
            </w:r>
          </w:p>
        </w:tc>
        <w:tc>
          <w:tcPr>
            <w:tcW w:w="1160" w:type="dxa"/>
            <w:vAlign w:val="bottom"/>
            <w:gridSpan w:val="2"/>
          </w:tcPr>
          <w:p>
            <w:pPr>
              <w:jc w:val="right"/>
              <w:ind w:right="190"/>
              <w:spacing w:after="0" w:line="149"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78"/>
        </w:trPr>
        <w:tc>
          <w:tcPr>
            <w:tcW w:w="2420" w:type="dxa"/>
            <w:vAlign w:val="bottom"/>
            <w:tcBorders>
              <w:bottom w:val="single" w:sz="8" w:color="auto"/>
            </w:tcBorders>
            <w:vMerge w:val="continue"/>
          </w:tcPr>
          <w:p>
            <w:pPr>
              <w:spacing w:after="0"/>
              <w:rPr>
                <w:sz w:val="15"/>
                <w:szCs w:val="15"/>
                <w:color w:val="auto"/>
              </w:rPr>
            </w:pPr>
          </w:p>
        </w:tc>
        <w:tc>
          <w:tcPr>
            <w:tcW w:w="2860" w:type="dxa"/>
            <w:vAlign w:val="bottom"/>
          </w:tcPr>
          <w:p>
            <w:pPr>
              <w:spacing w:after="0"/>
              <w:rPr>
                <w:sz w:val="15"/>
                <w:szCs w:val="15"/>
                <w:color w:val="auto"/>
              </w:rPr>
            </w:pPr>
          </w:p>
        </w:tc>
        <w:tc>
          <w:tcPr>
            <w:tcW w:w="1920" w:type="dxa"/>
            <w:vAlign w:val="bottom"/>
            <w:gridSpan w:val="2"/>
          </w:tcPr>
          <w:p>
            <w:pPr>
              <w:jc w:val="center"/>
              <w:ind w:right="680"/>
              <w:spacing w:after="0" w:line="158" w:lineRule="exact"/>
              <w:rPr>
                <w:sz w:val="20"/>
                <w:szCs w:val="20"/>
                <w:color w:val="auto"/>
              </w:rPr>
            </w:pPr>
            <w:r>
              <w:rPr>
                <w:rFonts w:ascii="Arial" w:cs="Arial" w:eastAsia="Arial" w:hAnsi="Arial"/>
                <w:sz w:val="14"/>
                <w:szCs w:val="14"/>
                <w:b w:val="1"/>
                <w:bCs w:val="1"/>
                <w:color w:val="auto"/>
                <w:w w:val="93"/>
              </w:rPr>
              <w:t>Ownership</w:t>
            </w:r>
          </w:p>
        </w:tc>
        <w:tc>
          <w:tcPr>
            <w:tcW w:w="1160" w:type="dxa"/>
            <w:vAlign w:val="bottom"/>
            <w:gridSpan w:val="2"/>
          </w:tcPr>
          <w:p>
            <w:pPr>
              <w:jc w:val="right"/>
              <w:ind w:right="110"/>
              <w:spacing w:after="0" w:line="158" w:lineRule="exact"/>
              <w:rPr>
                <w:sz w:val="20"/>
                <w:szCs w:val="20"/>
                <w:color w:val="auto"/>
              </w:rPr>
            </w:pPr>
            <w:r>
              <w:rPr>
                <w:rFonts w:ascii="Arial" w:cs="Arial" w:eastAsia="Arial" w:hAnsi="Arial"/>
                <w:sz w:val="14"/>
                <w:szCs w:val="14"/>
                <w:b w:val="1"/>
                <w:bCs w:val="1"/>
                <w:color w:val="auto"/>
                <w:w w:val="91"/>
              </w:rPr>
              <w:t>Common Stock</w:t>
            </w:r>
          </w:p>
        </w:tc>
        <w:tc>
          <w:tcPr>
            <w:tcW w:w="0" w:type="dxa"/>
            <w:vAlign w:val="bottom"/>
          </w:tcPr>
          <w:p>
            <w:pPr>
              <w:spacing w:after="0"/>
              <w:rPr>
                <w:sz w:val="1"/>
                <w:szCs w:val="1"/>
                <w:color w:val="auto"/>
              </w:rPr>
            </w:pPr>
          </w:p>
        </w:tc>
      </w:tr>
      <w:tr>
        <w:trPr>
          <w:trHeight w:val="203"/>
        </w:trPr>
        <w:tc>
          <w:tcPr>
            <w:tcW w:w="242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Angeliki Frangou</w:t>
            </w:r>
            <w:r>
              <w:rPr>
                <w:rFonts w:ascii="Arial" w:cs="Arial" w:eastAsia="Arial" w:hAnsi="Arial"/>
                <w:sz w:val="15"/>
                <w:szCs w:val="15"/>
                <w:color w:val="auto"/>
              </w:rPr>
              <w:t>(1)(2)</w:t>
            </w:r>
          </w:p>
        </w:tc>
        <w:tc>
          <w:tcPr>
            <w:tcW w:w="286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4,155,335</w:t>
            </w:r>
          </w:p>
        </w:tc>
        <w:tc>
          <w:tcPr>
            <w:tcW w:w="6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25.4</w:t>
            </w:r>
          </w:p>
        </w:tc>
        <w:tc>
          <w:tcPr>
            <w:tcW w:w="200" w:type="dxa"/>
            <w:vAlign w:val="bottom"/>
            <w:tcBorders>
              <w:top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George Akhniotis</w:t>
            </w:r>
          </w:p>
        </w:tc>
        <w:tc>
          <w:tcPr>
            <w:tcW w:w="47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Ted C. Petrone</w:t>
            </w:r>
          </w:p>
        </w:tc>
        <w:tc>
          <w:tcPr>
            <w:tcW w:w="47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Vasiliki Papaefthymiou</w:t>
            </w:r>
          </w:p>
        </w:tc>
        <w:tc>
          <w:tcPr>
            <w:tcW w:w="47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Anna Kalathakis</w:t>
            </w:r>
          </w:p>
        </w:tc>
        <w:tc>
          <w:tcPr>
            <w:tcW w:w="47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Shunji Sasada</w:t>
            </w:r>
          </w:p>
        </w:tc>
        <w:tc>
          <w:tcPr>
            <w:tcW w:w="47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Leonidas Korres</w:t>
            </w:r>
          </w:p>
        </w:tc>
        <w:tc>
          <w:tcPr>
            <w:tcW w:w="47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Efstratios Desypris</w:t>
            </w:r>
          </w:p>
        </w:tc>
        <w:tc>
          <w:tcPr>
            <w:tcW w:w="47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Ioannis Karyotis</w:t>
            </w:r>
          </w:p>
        </w:tc>
        <w:tc>
          <w:tcPr>
            <w:tcW w:w="47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Erifili Tsironi</w:t>
            </w:r>
          </w:p>
        </w:tc>
        <w:tc>
          <w:tcPr>
            <w:tcW w:w="47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Spyridon Magoulas</w:t>
            </w:r>
          </w:p>
        </w:tc>
        <w:tc>
          <w:tcPr>
            <w:tcW w:w="47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John Stratakis</w:t>
            </w:r>
          </w:p>
        </w:tc>
        <w:tc>
          <w:tcPr>
            <w:tcW w:w="47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Efstathios Loizos</w:t>
            </w:r>
          </w:p>
        </w:tc>
        <w:tc>
          <w:tcPr>
            <w:tcW w:w="47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r>
              <w:rPr>
                <w:rFonts w:ascii="Arial" w:cs="Arial" w:eastAsia="Arial" w:hAnsi="Arial"/>
                <w:sz w:val="18"/>
                <w:szCs w:val="18"/>
                <w:color w:val="auto"/>
              </w:rPr>
              <w:t>George Malanga</w:t>
            </w:r>
          </w:p>
        </w:tc>
        <w:tc>
          <w:tcPr>
            <w:tcW w:w="47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540" w:hanging="424"/>
        <w:spacing w:after="0"/>
        <w:tabs>
          <w:tab w:leader="none" w:pos="5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ind w:left="540" w:right="200" w:hanging="424"/>
        <w:spacing w:after="0" w:line="250" w:lineRule="auto"/>
        <w:tabs>
          <w:tab w:leader="none" w:pos="5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Angeliki Frangou has filed a Schedule 13D amendment indicating that she intends, subject to market conditions, to purchase up to $20.0 million of common stock and as of April 13, 2021, she had purchased approximately $10.0 million in value of common stock.</w:t>
      </w:r>
    </w:p>
    <w:p>
      <w:pPr>
        <w:ind w:left="540" w:right="320" w:hanging="424"/>
        <w:spacing w:after="0" w:line="260" w:lineRule="auto"/>
        <w:tabs>
          <w:tab w:leader="none" w:pos="5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amount and nature of beneficial ownership and the percentage of outstanding common stock includes 449,999 options, each for one share, vested but not yet exercised.</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7. Major Shareholders and Related Party Transactions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 Major Shareholders (post Reverse Stock Split)</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following table sets forth information regarding the beneficial ownership of the common stock of Navios Holdings as of April 13, 2021 based on shares of common stock outstanding as of such date of each person known by Navios Holdings to be the beneficial owner of more than 5% of its outstanding shares of common stock based upon the amounts and percentages as are contained in the public filings of such persons. All such stockholders have the same voting rights with respect to their shares of common stock.</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40"/>
          </w:cols>
          <w:pgMar w:left="320" w:top="459" w:right="4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342" w:lineRule="auto"/>
        <w:rPr>
          <w:sz w:val="20"/>
          <w:szCs w:val="20"/>
          <w:color w:val="auto"/>
        </w:rPr>
      </w:pPr>
      <w:r>
        <w:rPr>
          <w:rFonts w:ascii="Arial" w:cs="Arial" w:eastAsia="Arial" w:hAnsi="Arial"/>
          <w:sz w:val="16"/>
          <w:szCs w:val="16"/>
          <w:color w:val="auto"/>
        </w:rPr>
        <w:t>Unless otherwise indicated, based upon Schedules 13D and 13G filed with the SEC and the Company’s knowledge, Navios Holdings believes that all persons named in the table have sole voting and investment power with respect to all shares of common stock beneficially owned by them.</w:t>
      </w:r>
    </w:p>
    <w:p>
      <w:pPr>
        <w:spacing w:after="0" w:line="13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3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5"/>
              </w:rPr>
              <w:t>Amount and</w:t>
            </w:r>
          </w:p>
        </w:tc>
        <w:tc>
          <w:tcPr>
            <w:tcW w:w="11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3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4"/>
              </w:rPr>
              <w:t>Nature of</w:t>
            </w: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5500" w:type="dxa"/>
            <w:vAlign w:val="bottom"/>
            <w:vMerge w:val="restart"/>
          </w:tcPr>
          <w:p>
            <w:pPr>
              <w:spacing w:after="0"/>
              <w:rPr>
                <w:sz w:val="12"/>
                <w:szCs w:val="12"/>
                <w:color w:val="auto"/>
              </w:rPr>
            </w:pPr>
          </w:p>
        </w:tc>
        <w:tc>
          <w:tcPr>
            <w:tcW w:w="13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3"/>
              </w:rPr>
              <w:t>Beneficial</w:t>
            </w:r>
          </w:p>
        </w:tc>
        <w:tc>
          <w:tcPr>
            <w:tcW w:w="11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0" w:type="dxa"/>
            <w:vAlign w:val="bottom"/>
          </w:tcPr>
          <w:p>
            <w:pPr>
              <w:spacing w:after="0"/>
              <w:rPr>
                <w:sz w:val="1"/>
                <w:szCs w:val="1"/>
                <w:color w:val="auto"/>
              </w:rPr>
            </w:pPr>
          </w:p>
        </w:tc>
      </w:tr>
      <w:tr>
        <w:trPr>
          <w:trHeight w:val="163"/>
        </w:trPr>
        <w:tc>
          <w:tcPr>
            <w:tcW w:w="360" w:type="dxa"/>
            <w:vAlign w:val="bottom"/>
            <w:tcBorders>
              <w:bottom w:val="single" w:sz="8" w:color="auto"/>
            </w:tcBorders>
            <w:vMerge w:val="continue"/>
          </w:tcPr>
          <w:p>
            <w:pPr>
              <w:spacing w:after="0"/>
              <w:rPr>
                <w:sz w:val="13"/>
                <w:szCs w:val="13"/>
                <w:color w:val="auto"/>
              </w:rPr>
            </w:pPr>
          </w:p>
        </w:tc>
        <w:tc>
          <w:tcPr>
            <w:tcW w:w="5500" w:type="dxa"/>
            <w:vAlign w:val="bottom"/>
            <w:vMerge w:val="continue"/>
          </w:tcPr>
          <w:p>
            <w:pPr>
              <w:spacing w:after="0"/>
              <w:rPr>
                <w:sz w:val="13"/>
                <w:szCs w:val="13"/>
                <w:color w:val="auto"/>
              </w:rPr>
            </w:pPr>
          </w:p>
        </w:tc>
        <w:tc>
          <w:tcPr>
            <w:tcW w:w="1340" w:type="dxa"/>
            <w:vAlign w:val="bottom"/>
            <w:gridSpan w:val="2"/>
          </w:tcPr>
          <w:p>
            <w:pPr>
              <w:jc w:val="center"/>
              <w:ind w:right="580"/>
              <w:spacing w:after="0" w:line="158" w:lineRule="exact"/>
              <w:rPr>
                <w:sz w:val="20"/>
                <w:szCs w:val="20"/>
                <w:color w:val="auto"/>
              </w:rPr>
            </w:pPr>
            <w:r>
              <w:rPr>
                <w:rFonts w:ascii="Arial" w:cs="Arial" w:eastAsia="Arial" w:hAnsi="Arial"/>
                <w:sz w:val="14"/>
                <w:szCs w:val="14"/>
                <w:b w:val="1"/>
                <w:bCs w:val="1"/>
                <w:color w:val="auto"/>
                <w:w w:val="93"/>
              </w:rPr>
              <w:t>Ownership</w:t>
            </w:r>
          </w:p>
        </w:tc>
        <w:tc>
          <w:tcPr>
            <w:tcW w:w="116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1"/>
              </w:rPr>
              <w:t>Common Stock</w:t>
            </w:r>
          </w:p>
        </w:tc>
        <w:tc>
          <w:tcPr>
            <w:tcW w:w="0" w:type="dxa"/>
            <w:vAlign w:val="bottom"/>
          </w:tcPr>
          <w:p>
            <w:pPr>
              <w:spacing w:after="0"/>
              <w:rPr>
                <w:sz w:val="1"/>
                <w:szCs w:val="1"/>
                <w:color w:val="auto"/>
              </w:rPr>
            </w:pPr>
          </w:p>
        </w:tc>
      </w:tr>
      <w:tr>
        <w:trPr>
          <w:trHeight w:val="20"/>
        </w:trPr>
        <w:tc>
          <w:tcPr>
            <w:tcW w:w="58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Angeliki Frangou</w:t>
            </w:r>
            <w:r>
              <w:rPr>
                <w:rFonts w:ascii="Arial" w:cs="Arial" w:eastAsia="Arial" w:hAnsi="Arial"/>
                <w:sz w:val="15"/>
                <w:szCs w:val="15"/>
                <w:color w:val="auto"/>
              </w:rPr>
              <w:t>(1)(2)</w:t>
            </w:r>
          </w:p>
        </w:tc>
        <w:tc>
          <w:tcPr>
            <w:tcW w:w="78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60" w:type="dxa"/>
            <w:vAlign w:val="bottom"/>
            <w:gridSpan w:val="2"/>
            <w:vMerge w:val="continue"/>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4,155,335</w:t>
            </w:r>
          </w:p>
        </w:tc>
        <w:tc>
          <w:tcPr>
            <w:tcW w:w="560" w:type="dxa"/>
            <w:vAlign w:val="bottom"/>
            <w:vMerge w:val="continue"/>
            <w:shd w:val="clear" w:color="auto" w:fill="CCEEFF"/>
          </w:tcPr>
          <w:p>
            <w:pPr>
              <w:spacing w:after="0"/>
              <w:rPr>
                <w:sz w:val="17"/>
                <w:szCs w:val="17"/>
                <w:color w:val="auto"/>
              </w:rPr>
            </w:pPr>
          </w:p>
        </w:tc>
        <w:tc>
          <w:tcPr>
            <w:tcW w:w="116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30"/>
        </w:trPr>
        <w:tc>
          <w:tcPr>
            <w:tcW w:w="5860" w:type="dxa"/>
            <w:vAlign w:val="bottom"/>
            <w:gridSpan w:val="2"/>
          </w:tcPr>
          <w:p>
            <w:pPr>
              <w:spacing w:after="0"/>
              <w:rPr>
                <w:sz w:val="20"/>
                <w:szCs w:val="20"/>
                <w:color w:val="auto"/>
              </w:rPr>
            </w:pPr>
            <w:r>
              <w:rPr>
                <w:rFonts w:ascii="Arial" w:cs="Arial" w:eastAsia="Arial" w:hAnsi="Arial"/>
                <w:sz w:val="18"/>
                <w:szCs w:val="18"/>
                <w:color w:val="auto"/>
              </w:rPr>
              <w:t>Renaissance Technologies LLC</w:t>
            </w:r>
            <w:r>
              <w:rPr>
                <w:rFonts w:ascii="Arial" w:cs="Arial" w:eastAsia="Arial" w:hAnsi="Arial"/>
                <w:sz w:val="15"/>
                <w:szCs w:val="15"/>
                <w:color w:val="auto"/>
              </w:rPr>
              <w:t>(3)</w:t>
            </w: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852,321</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540" w:right="300" w:hanging="424"/>
        <w:spacing w:after="0" w:line="258" w:lineRule="auto"/>
        <w:tabs>
          <w:tab w:leader="none" w:pos="5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amount and nature of beneficial ownership and the percentage of outstanding common stock includes 449,999 options, each for one share, vested but not yet exercised.</w:t>
      </w:r>
    </w:p>
    <w:p>
      <w:pPr>
        <w:spacing w:after="0" w:line="1" w:lineRule="exact"/>
        <w:rPr>
          <w:rFonts w:ascii="Arial" w:cs="Arial" w:eastAsia="Arial" w:hAnsi="Arial"/>
          <w:sz w:val="18"/>
          <w:szCs w:val="18"/>
          <w:color w:val="auto"/>
        </w:rPr>
      </w:pPr>
    </w:p>
    <w:p>
      <w:pPr>
        <w:ind w:left="540" w:right="780" w:hanging="424"/>
        <w:spacing w:after="0" w:line="250" w:lineRule="auto"/>
        <w:tabs>
          <w:tab w:leader="none" w:pos="5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As disclosed in a 13D Amendment dated August 30, 2019, Ms. Frangou has disclosed that she and her affiliate companies have pledged 14,511,171 (before the Reverse Stock Split) of the shares of common stock disclosed in the table above.</w:t>
      </w:r>
    </w:p>
    <w:p>
      <w:pPr>
        <w:ind w:left="540" w:right="160" w:hanging="424"/>
        <w:spacing w:after="0" w:line="290" w:lineRule="auto"/>
        <w:tabs>
          <w:tab w:leader="none" w:pos="54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Based on the 13G Amendment filed on February 11, 2021, Renaissance Technologies LLC and Renaissance Technologies Holdings Corporation have sole voting power with respect to 852,321 shares and sole dispositive power with respect to 910,870 shares.</w:t>
      </w:r>
    </w:p>
    <w:p>
      <w:pPr>
        <w:spacing w:after="0" w:line="161" w:lineRule="exact"/>
        <w:rPr>
          <w:sz w:val="20"/>
          <w:szCs w:val="20"/>
          <w:color w:val="auto"/>
        </w:rPr>
      </w:pPr>
    </w:p>
    <w:p>
      <w:pPr>
        <w:ind w:left="560" w:firstLine="423"/>
        <w:spacing w:after="0" w:line="255" w:lineRule="auto"/>
        <w:rPr>
          <w:sz w:val="20"/>
          <w:szCs w:val="20"/>
          <w:color w:val="auto"/>
        </w:rPr>
      </w:pPr>
      <w:r>
        <w:rPr>
          <w:rFonts w:ascii="Arial" w:cs="Arial" w:eastAsia="Arial" w:hAnsi="Arial"/>
          <w:sz w:val="18"/>
          <w:szCs w:val="18"/>
          <w:color w:val="auto"/>
        </w:rPr>
        <w:t>As of April 13, 2021, we had 102 stockholders of record, approximately 15 of which were located in the United States and held an aggregate of approximately 12,509,236 shares of our common stock, representing 79% of our outstanding common stock. However, one of the U.S. stockholders of record is CEDE &amp; CO., a nominee of The Depository Trust Company, which held 10,502,987 shares of our common stock as of that date. Accordingly, we believe that the shares held by CEDE &amp; CO. include common stock beneficially owned by both holders in the United States and non-U.S. beneficial owners. We are not aware of any arrangements the operation of which may at a subsequent date result in our change of control.</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 Related Party Transactions</w:t>
      </w:r>
    </w:p>
    <w:p>
      <w:pPr>
        <w:spacing w:after="0" w:line="113"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b w:val="1"/>
          <w:bCs w:val="1"/>
          <w:color w:val="auto"/>
        </w:rPr>
        <w:t xml:space="preserve">Sale of Management: </w:t>
      </w:r>
      <w:r>
        <w:rPr>
          <w:rFonts w:ascii="Arial" w:cs="Arial" w:eastAsia="Arial" w:hAnsi="Arial"/>
          <w:sz w:val="17"/>
          <w:szCs w:val="17"/>
          <w:color w:val="auto"/>
        </w:rPr>
        <w:t>In August 2019, Navios Holdings sold its ship management division, the general partnership interests in Navios Partners</w:t>
      </w:r>
      <w:r>
        <w:rPr>
          <w:rFonts w:ascii="Arial" w:cs="Arial" w:eastAsia="Arial" w:hAnsi="Arial"/>
          <w:sz w:val="17"/>
          <w:szCs w:val="17"/>
          <w:b w:val="1"/>
          <w:bCs w:val="1"/>
          <w:color w:val="auto"/>
        </w:rPr>
        <w:t xml:space="preserve"> </w:t>
      </w:r>
      <w:r>
        <w:rPr>
          <w:rFonts w:ascii="Arial" w:cs="Arial" w:eastAsia="Arial" w:hAnsi="Arial"/>
          <w:sz w:val="17"/>
          <w:szCs w:val="17"/>
          <w:color w:val="auto"/>
        </w:rPr>
        <w:t>(except for the incentive distribution rights) and Navios Containers GP LLC to NSM, affiliated with Company’s Chairman and Chief Executive Officer, Angeliki Frangou. The Company received aggregate consideration of $20.0 million (including assumption of liabilities) and five-year service agreements under which NSM provides technical and commercial management services at a fixed rate of $3,700 per day per vessel until August 2021 which will increase thereafter by 3% annually, unless otherwise agreed, and administrative services, reimbursed at allocable cost. As a result of the Transaction the Company is a holding company owning dry bulk vessels and various investments in entities owning maritime and infrastructure assets. NSM owns all entities providing ship management services and employs all associated people. NSM owns the general partner interests in Navios Containers and Navios Partners. The Company simultaneously entered into a secured credit facility with NSM whereby the Company agreed to repay NSM a loan of $141.8 million (including post-closing adjustments). See also “NSM Loan” below.</w:t>
      </w:r>
    </w:p>
    <w:p>
      <w:pPr>
        <w:spacing w:after="0" w:line="173" w:lineRule="exact"/>
        <w:rPr>
          <w:sz w:val="20"/>
          <w:szCs w:val="20"/>
          <w:color w:val="auto"/>
        </w:rPr>
      </w:pPr>
    </w:p>
    <w:p>
      <w:pPr>
        <w:ind w:left="120" w:right="400" w:firstLine="440"/>
        <w:spacing w:after="0" w:line="298" w:lineRule="auto"/>
        <w:rPr>
          <w:sz w:val="20"/>
          <w:szCs w:val="20"/>
          <w:color w:val="auto"/>
        </w:rPr>
      </w:pPr>
      <w:r>
        <w:rPr>
          <w:rFonts w:ascii="Arial" w:cs="Arial" w:eastAsia="Arial" w:hAnsi="Arial"/>
          <w:sz w:val="16"/>
          <w:szCs w:val="16"/>
          <w:b w:val="1"/>
          <w:bCs w:val="1"/>
          <w:color w:val="auto"/>
        </w:rPr>
        <w:t xml:space="preserve">Office Rent: </w:t>
      </w:r>
      <w:r>
        <w:rPr>
          <w:rFonts w:ascii="Arial" w:cs="Arial" w:eastAsia="Arial" w:hAnsi="Arial"/>
          <w:sz w:val="16"/>
          <w:szCs w:val="16"/>
          <w:color w:val="auto"/>
        </w:rPr>
        <w:t>The Company had entered into lease agreements with Goldland Ktimatiki-Ikodomiki-Touristiki Xenodohiaki Anonimos Eteria,</w:t>
      </w:r>
      <w:r>
        <w:rPr>
          <w:rFonts w:ascii="Arial" w:cs="Arial" w:eastAsia="Arial" w:hAnsi="Arial"/>
          <w:sz w:val="16"/>
          <w:szCs w:val="16"/>
          <w:b w:val="1"/>
          <w:bCs w:val="1"/>
          <w:color w:val="auto"/>
        </w:rPr>
        <w:t xml:space="preserve"> </w:t>
      </w:r>
      <w:r>
        <w:rPr>
          <w:rFonts w:ascii="Arial" w:cs="Arial" w:eastAsia="Arial" w:hAnsi="Arial"/>
          <w:sz w:val="16"/>
          <w:szCs w:val="16"/>
          <w:color w:val="auto"/>
        </w:rPr>
        <w:t>Emerald Ktimatiki-Ikodomiki Touristiki Xenodohiaki Anonimos Eteria and Infraco Limited, all of which are Greek corporations that are currently majority-owned by Angeliki Frangou, Navios Holdings’ Chairman and Chief Executive Officer. The lease agreements provided for the leasing of facilities located in Piraeus, Greece to house the operations of most of the Company’s subsidiaries. Following the sale of the management division effected on August 30, 2019, outlined in Note 3 included elsewhere in this Annual Report, Navios Holdings has no office lease obligations.</w:t>
      </w:r>
    </w:p>
    <w:p>
      <w:pPr>
        <w:spacing w:after="0" w:line="154" w:lineRule="exact"/>
        <w:rPr>
          <w:sz w:val="20"/>
          <w:szCs w:val="20"/>
          <w:color w:val="auto"/>
        </w:rPr>
      </w:pPr>
    </w:p>
    <w:p>
      <w:pPr>
        <w:ind w:left="120" w:right="60" w:firstLine="440"/>
        <w:spacing w:after="0" w:line="289" w:lineRule="auto"/>
        <w:rPr>
          <w:sz w:val="20"/>
          <w:szCs w:val="20"/>
          <w:color w:val="auto"/>
        </w:rPr>
      </w:pPr>
      <w:r>
        <w:rPr>
          <w:rFonts w:ascii="Arial" w:cs="Arial" w:eastAsia="Arial" w:hAnsi="Arial"/>
          <w:sz w:val="17"/>
          <w:szCs w:val="17"/>
          <w:b w:val="1"/>
          <w:bCs w:val="1"/>
          <w:color w:val="auto"/>
        </w:rPr>
        <w:t xml:space="preserve">Purchase of Services: </w:t>
      </w:r>
      <w:r>
        <w:rPr>
          <w:rFonts w:ascii="Arial" w:cs="Arial" w:eastAsia="Arial" w:hAnsi="Arial"/>
          <w:sz w:val="17"/>
          <w:szCs w:val="17"/>
          <w:color w:val="auto"/>
        </w:rPr>
        <w:t>The Company utilized its former affiliate company, Acropolis, as a broker until the sale of its investment on December 6,</w:t>
      </w:r>
      <w:r>
        <w:rPr>
          <w:rFonts w:ascii="Arial" w:cs="Arial" w:eastAsia="Arial" w:hAnsi="Arial"/>
          <w:sz w:val="17"/>
          <w:szCs w:val="17"/>
          <w:b w:val="1"/>
          <w:bCs w:val="1"/>
          <w:color w:val="auto"/>
        </w:rPr>
        <w:t xml:space="preserve"> </w:t>
      </w:r>
      <w:r>
        <w:rPr>
          <w:rFonts w:ascii="Arial" w:cs="Arial" w:eastAsia="Arial" w:hAnsi="Arial"/>
          <w:sz w:val="17"/>
          <w:szCs w:val="17"/>
          <w:color w:val="auto"/>
        </w:rPr>
        <w:t>2018. Commissions charged from Acropolis for each of the years ended December 31, 2019, 2018 and 2017 were $0 million for all periods. Included in the trade accounts payable at both December 31, 2020 and 2019 was an amount due to Acropolis of $0.1 million.</w:t>
      </w:r>
    </w:p>
    <w:p>
      <w:pPr>
        <w:spacing w:after="0" w:line="158" w:lineRule="exact"/>
        <w:rPr>
          <w:sz w:val="20"/>
          <w:szCs w:val="20"/>
          <w:color w:val="auto"/>
        </w:rPr>
      </w:pPr>
    </w:p>
    <w:p>
      <w:pPr>
        <w:ind w:left="120" w:right="20" w:firstLine="440"/>
        <w:spacing w:after="0" w:line="294" w:lineRule="auto"/>
        <w:rPr>
          <w:sz w:val="20"/>
          <w:szCs w:val="20"/>
          <w:color w:val="auto"/>
        </w:rPr>
      </w:pPr>
      <w:r>
        <w:rPr>
          <w:rFonts w:ascii="Arial" w:cs="Arial" w:eastAsia="Arial" w:hAnsi="Arial"/>
          <w:sz w:val="16"/>
          <w:szCs w:val="16"/>
          <w:b w:val="1"/>
          <w:bCs w:val="1"/>
          <w:color w:val="auto"/>
        </w:rPr>
        <w:t xml:space="preserve">Vessel Operating Expenses (management fees): </w:t>
      </w:r>
      <w:r>
        <w:rPr>
          <w:rFonts w:ascii="Arial" w:cs="Arial" w:eastAsia="Arial" w:hAnsi="Arial"/>
          <w:sz w:val="16"/>
          <w:szCs w:val="16"/>
          <w:color w:val="auto"/>
        </w:rPr>
        <w:t>Prior to the sale of the management division effected on August 30, 2019, Navios Holdings</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commercial and technical management services to the owned vessels of Navios Partners, Navios Acquisition and Navios Containers for certain contracted daily fixed fees under the existing management agreements. Drydocking and special survey expenses were reimbursed at cost. In addition, Navios Holdings provided commercial and technical management services to Navios Europe I’s and Navios Europe II’s owned vessels which under the management agreements in place were reimbursed at cost. Following the sale of the management division effected on August 30, 2019, outlined in Note 3 included elsewhere in this Annual Report, these services are provided by NSM. For the period from January 1, 2019 to August 30, 2019, certain</w:t>
      </w:r>
    </w:p>
    <w:p>
      <w:pPr>
        <w:spacing w:after="0" w:line="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20"/>
          </w:cols>
          <w:pgMar w:left="320" w:top="459" w:right="4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extraordinary fees and costs related to regulatory requirements under the management agreements in place amounted to $15.8 million (for the year ended December 31, 2018: $0 million) and are presented within the caption “Other income”. Total management fees for vessel operating expenses for the period from January 1, 2019 to August 30, 2019 and for the year ended December 31, 2018, amounted to $149.2 million and $206.4 million, respectively, and are presented net within the caption “Direct vessel expenses”.</w:t>
      </w:r>
    </w:p>
    <w:p>
      <w:pPr>
        <w:spacing w:after="0" w:line="18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Following the sale of the management division effected on August 30, 2019, outlined in Note 3 included elsewhere in this Annual Report, and pursuant to the Management Agreement, NSM provides commercial and technical management services to Navios Holdings’ vessels. The term of this agreement is for an initial period of five years with an automatic extension period of five years thereafter unless a notice for termination is received by either party. The fee for the ship management services provided by NSM is a daily fee of $3,700 per day per owned vessel. This rate is fixed until August 2021 and will increase thereafter by 3% annually, unless otherwise agreed. The fee for the ship management services provided by NSM is a daily fee of $25 per day per charter-in vessel. Drydocking expenses under this agreement will be reimbursed by Navios Holdings at cost. The agreement also provides for payment of a termination fee, equal to the fees charged for the full calendar year preceding the termination date, by Navios Holdings in the event the Management Agreement is terminated on or before August 29, 2024. Total management fees for vessel operating expenses for the year ended December 31, 2020 and for the period from August 30, 2019 to December 31, 2019 amounted to $45.5 million and $14.4 million, respectively, and are presented within the caption “Direct vessel expenses”.</w:t>
      </w:r>
    </w:p>
    <w:p>
      <w:pPr>
        <w:spacing w:after="0" w:line="181" w:lineRule="exact"/>
        <w:rPr>
          <w:sz w:val="20"/>
          <w:szCs w:val="20"/>
          <w:color w:val="auto"/>
        </w:rPr>
      </w:pPr>
    </w:p>
    <w:p>
      <w:pPr>
        <w:ind w:left="120" w:right="20" w:firstLine="440"/>
        <w:spacing w:after="0" w:line="256" w:lineRule="auto"/>
        <w:rPr>
          <w:sz w:val="20"/>
          <w:szCs w:val="20"/>
          <w:color w:val="auto"/>
        </w:rPr>
      </w:pPr>
      <w:r>
        <w:rPr>
          <w:rFonts w:ascii="Arial" w:cs="Arial" w:eastAsia="Arial" w:hAnsi="Arial"/>
          <w:sz w:val="18"/>
          <w:szCs w:val="18"/>
          <w:b w:val="1"/>
          <w:bCs w:val="1"/>
          <w:color w:val="auto"/>
        </w:rPr>
        <w:t xml:space="preserve">Navios Partners Guarantee: </w:t>
      </w:r>
      <w:r>
        <w:rPr>
          <w:rFonts w:ascii="Arial" w:cs="Arial" w:eastAsia="Arial" w:hAnsi="Arial"/>
          <w:sz w:val="18"/>
          <w:szCs w:val="18"/>
          <w:color w:val="auto"/>
        </w:rPr>
        <w:t>In November 2012 (as amended in March 2014), the Company entered into an agreement with Navios Partners (the</w:t>
      </w:r>
      <w:r>
        <w:rPr>
          <w:rFonts w:ascii="Arial" w:cs="Arial" w:eastAsia="Arial" w:hAnsi="Arial"/>
          <w:sz w:val="18"/>
          <w:szCs w:val="18"/>
          <w:b w:val="1"/>
          <w:bCs w:val="1"/>
          <w:color w:val="auto"/>
        </w:rPr>
        <w:t xml:space="preserve"> </w:t>
      </w:r>
      <w:r>
        <w:rPr>
          <w:rFonts w:ascii="Arial" w:cs="Arial" w:eastAsia="Arial" w:hAnsi="Arial"/>
          <w:sz w:val="18"/>
          <w:szCs w:val="18"/>
          <w:color w:val="auto"/>
        </w:rPr>
        <w:t>“Navios Partners Guarantee”) to provide Navios Partners with guarantees against counterparty default on certain existing charters, which had previously been covered by the charter insurance for the same vessels, same periods and same amounts. As of December 31, 2019 the outstanding balance of the claim was $10.0 million. In October 2020, the Company paid an amount of $5.0 million to Navios Partners. As of December 31, 2020 the outstanding balance of the claim was $5.0 million. In April 2021, the Company paid the amount of $5.0 million to Navios Partners as the final settlement of the outstanding balance of the claim.</w:t>
      </w:r>
    </w:p>
    <w:p>
      <w:pPr>
        <w:spacing w:after="0" w:line="187" w:lineRule="exact"/>
        <w:rPr>
          <w:sz w:val="20"/>
          <w:szCs w:val="20"/>
          <w:color w:val="auto"/>
        </w:rPr>
      </w:pPr>
    </w:p>
    <w:p>
      <w:pPr>
        <w:ind w:left="120" w:firstLine="440"/>
        <w:spacing w:after="0" w:line="256" w:lineRule="auto"/>
        <w:rPr>
          <w:sz w:val="20"/>
          <w:szCs w:val="20"/>
          <w:color w:val="auto"/>
        </w:rPr>
      </w:pPr>
      <w:r>
        <w:rPr>
          <w:rFonts w:ascii="Arial" w:cs="Arial" w:eastAsia="Arial" w:hAnsi="Arial"/>
          <w:sz w:val="18"/>
          <w:szCs w:val="18"/>
          <w:b w:val="1"/>
          <w:bCs w:val="1"/>
          <w:color w:val="auto"/>
        </w:rPr>
        <w:t xml:space="preserve">General and Administrative Expenses incurred on behalf of affiliate companies/Administrative fee revenue from affiliate companies: </w:t>
      </w:r>
      <w:r>
        <w:rPr>
          <w:rFonts w:ascii="Arial" w:cs="Arial" w:eastAsia="Arial" w:hAnsi="Arial"/>
          <w:sz w:val="18"/>
          <w:szCs w:val="18"/>
          <w:color w:val="auto"/>
        </w:rPr>
        <w:t>Navios Holdings provided administrative services to Navios Partners, Navios Acquisition, Navios Containers, Navios Europe I and Navios Europe II. Navios Holdings was reimbursed for reasonable costs and expenses incurred in connection with the provision of these services. Following the sale of the management division effected on August 30, 2019, outlined in Note 3 included elsewhere in this Annual Report, these services are provided by NSM. Total general and administrative fees for the period from January 1, 2019 to August 30, 2019 and for the year ended December 31, 2018, amounted to $17.0 million and $28.4 million, respectively.</w:t>
      </w:r>
    </w:p>
    <w:p>
      <w:pPr>
        <w:spacing w:after="0" w:line="191" w:lineRule="exact"/>
        <w:rPr>
          <w:sz w:val="20"/>
          <w:szCs w:val="20"/>
          <w:color w:val="auto"/>
        </w:rPr>
      </w:pPr>
    </w:p>
    <w:p>
      <w:pPr>
        <w:ind w:left="120" w:right="260" w:firstLine="440"/>
        <w:spacing w:after="0" w:line="254" w:lineRule="auto"/>
        <w:rPr>
          <w:sz w:val="20"/>
          <w:szCs w:val="20"/>
          <w:color w:val="auto"/>
        </w:rPr>
      </w:pPr>
      <w:r>
        <w:rPr>
          <w:rFonts w:ascii="Arial" w:cs="Arial" w:eastAsia="Arial" w:hAnsi="Arial"/>
          <w:sz w:val="18"/>
          <w:szCs w:val="18"/>
          <w:color w:val="auto"/>
        </w:rPr>
        <w:t>Navios Holdings provided administrative services to Navios Logistics. In April 2016, Navios Holdings extended the duration of its existing administrative services agreement with Navios Logistics until December 2021, pursuant to its existing terms. Navios Holdings was reimbursed for reasonable costs and expenses incurred in connection with the provision of these services. Following the sale of the management division effected on August 30, 2019, outlined in Note 3 included elsewhere in this Annual Report, these services are provided by NSM. Total general and administrative fees for the period from January 1, 2019 to August 30, 2019 and for the year ended December 31, 2018 amounted to $0.8 million and $1.0 million, respectively. The general and administrative fees for these periods have been eliminated upon consolidation. Total general and administrative fees charged for the year ended December 31, 2020 and for the period from August 30, 2019 to December 31, 2019 amounted to $1.1 million and $0.4 million, respectively.</w:t>
      </w:r>
    </w:p>
    <w:p>
      <w:pPr>
        <w:spacing w:after="0" w:line="192"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Following the sale of the management division effected on August 30, 2019, outlined in Note 3 and pursuant to the Administrative Services Agreement, NSM provides administrative services to Navios Holdings. NSM is reimbursed for reasonable costs and expenses incurred in connection with the provision of these services. The term of this agreement is for an initial period of five years with an automatic extension for a period of five years thereafter unless a notice of termination is received by either party. The agreement also provides for payment of a termination fee, equal to the fees charged for the full calendar year preceding the termination date, by Navios Holdings in the event the Administrative Services Agreement is terminated on or before August 29, 2024. Total general and administrative expenses attributable to this agreement for the year ended December 31, 2020 and for the period from August 30, 2019 to December 31, 2019, amounted to $9.4 million and $3.0 million, respectively.</w:t>
      </w:r>
    </w:p>
    <w:p>
      <w:pPr>
        <w:spacing w:after="0" w:line="162" w:lineRule="exact"/>
        <w:rPr>
          <w:sz w:val="20"/>
          <w:szCs w:val="20"/>
          <w:color w:val="auto"/>
        </w:rPr>
      </w:pPr>
    </w:p>
    <w:p>
      <w:pPr>
        <w:ind w:left="120" w:right="120" w:firstLine="440"/>
        <w:spacing w:after="0" w:line="256" w:lineRule="auto"/>
        <w:rPr>
          <w:sz w:val="20"/>
          <w:szCs w:val="20"/>
          <w:color w:val="auto"/>
        </w:rPr>
      </w:pPr>
      <w:r>
        <w:rPr>
          <w:rFonts w:ascii="Arial" w:cs="Arial" w:eastAsia="Arial" w:hAnsi="Arial"/>
          <w:sz w:val="18"/>
          <w:szCs w:val="18"/>
          <w:b w:val="1"/>
          <w:bCs w:val="1"/>
          <w:color w:val="auto"/>
        </w:rPr>
        <w:t xml:space="preserve">Balance due to/from affiliate companies (excluding Navios Europe I and Navios Europe II): </w:t>
      </w:r>
      <w:r>
        <w:rPr>
          <w:rFonts w:ascii="Arial" w:cs="Arial" w:eastAsia="Arial" w:hAnsi="Arial"/>
          <w:sz w:val="18"/>
          <w:szCs w:val="18"/>
          <w:color w:val="auto"/>
        </w:rPr>
        <w:t>Balance due to NSM as of December 31, 2020</w:t>
      </w:r>
      <w:r>
        <w:rPr>
          <w:rFonts w:ascii="Arial" w:cs="Arial" w:eastAsia="Arial" w:hAnsi="Arial"/>
          <w:sz w:val="18"/>
          <w:szCs w:val="18"/>
          <w:b w:val="1"/>
          <w:bCs w:val="1"/>
          <w:color w:val="auto"/>
        </w:rPr>
        <w:t xml:space="preserve"> </w:t>
      </w:r>
      <w:r>
        <w:rPr>
          <w:rFonts w:ascii="Arial" w:cs="Arial" w:eastAsia="Arial" w:hAnsi="Arial"/>
          <w:sz w:val="18"/>
          <w:szCs w:val="18"/>
          <w:color w:val="auto"/>
        </w:rPr>
        <w:t>amounted to $22.1 million (December 31, 2019: $1.4 million), the Long-term receivable from NSM as of December 31, 2020 amounted to $0 million (as of December 31, 2019: $5.3 million). Balance due to Navios Partners as of December 31, 2020 amounted to $5.0 million (December 31, 2019: $5.0 million) and the Long-term payable to Navios Partners amounted to $0 million (December 31, 2019: $5.0 million) in relation to the Navios Partners Guarantee. Balance due from Navios Acquisition as of December 31, 2020 amounted to $0.2 million (December 31, 2019: $1.5 million) and related to declared dividend.</w:t>
      </w:r>
    </w:p>
    <w:p>
      <w:pPr>
        <w:spacing w:after="0" w:line="191" w:lineRule="exact"/>
        <w:rPr>
          <w:sz w:val="20"/>
          <w:szCs w:val="20"/>
          <w:color w:val="auto"/>
        </w:rPr>
      </w:pPr>
    </w:p>
    <w:p>
      <w:pPr>
        <w:ind w:left="120" w:right="140" w:firstLine="440"/>
        <w:spacing w:after="0" w:line="342" w:lineRule="auto"/>
        <w:rPr>
          <w:sz w:val="20"/>
          <w:szCs w:val="20"/>
          <w:color w:val="auto"/>
        </w:rPr>
      </w:pPr>
      <w:r>
        <w:rPr>
          <w:rFonts w:ascii="Arial" w:cs="Arial" w:eastAsia="Arial" w:hAnsi="Arial"/>
          <w:sz w:val="16"/>
          <w:szCs w:val="16"/>
          <w:color w:val="auto"/>
        </w:rPr>
        <w:t>As of December 31, 2020 the balance mainly consisted of management fees for vessel operating expenses, payments to NSM in accordance with the Management Agreement and other amounts in connection with dry-dock, ballast water treatment system and special survey of our vessels.</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20"/>
          </w:cols>
          <w:pgMar w:left="320" w:top="459" w:right="4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40" w:firstLine="440"/>
        <w:spacing w:after="0" w:line="274" w:lineRule="auto"/>
        <w:rPr>
          <w:sz w:val="20"/>
          <w:szCs w:val="20"/>
          <w:color w:val="auto"/>
        </w:rPr>
      </w:pPr>
      <w:r>
        <w:rPr>
          <w:rFonts w:ascii="Arial" w:cs="Arial" w:eastAsia="Arial" w:hAnsi="Arial"/>
          <w:sz w:val="17"/>
          <w:szCs w:val="17"/>
          <w:b w:val="1"/>
          <w:bCs w:val="1"/>
          <w:color w:val="auto"/>
        </w:rPr>
        <w:t xml:space="preserve">Omnibus Agreements: </w:t>
      </w:r>
      <w:r>
        <w:rPr>
          <w:rFonts w:ascii="Arial" w:cs="Arial" w:eastAsia="Arial" w:hAnsi="Arial"/>
          <w:sz w:val="17"/>
          <w:szCs w:val="17"/>
          <w:color w:val="auto"/>
        </w:rPr>
        <w:t>Navios Holdings has entered into an omnibus agreement with Navios Partners (the “Partners Omnibus Agreement”) in</w:t>
      </w:r>
      <w:r>
        <w:rPr>
          <w:rFonts w:ascii="Arial" w:cs="Arial" w:eastAsia="Arial" w:hAnsi="Arial"/>
          <w:sz w:val="17"/>
          <w:szCs w:val="17"/>
          <w:b w:val="1"/>
          <w:bCs w:val="1"/>
          <w:color w:val="auto"/>
        </w:rPr>
        <w:t xml:space="preserve"> </w:t>
      </w:r>
      <w:r>
        <w:rPr>
          <w:rFonts w:ascii="Arial" w:cs="Arial" w:eastAsia="Arial" w:hAnsi="Arial"/>
          <w:sz w:val="17"/>
          <w:szCs w:val="17"/>
          <w:color w:val="auto"/>
        </w:rPr>
        <w:t>connection with the closing of Navios Partners’ IPO governing, among other things, when Navios Holdings and Navios Partners may compete against each other as well as rights of first offer on certain dry bulk carriers. Pursuant to the Partners Omnibus Agreement, Navios Partners generally agreed not to acquire or own Panamax or Capesize dry bulk carriers under time charters of three or more years without the consent of an independent committee of Navios Partners. In addition, Navios Holdings has agreed to offer to Navios Partners the opportunity to purchase vessels from Navios Holdings when such vessels are fixed under time charters of three or more years.</w:t>
      </w:r>
    </w:p>
    <w:p>
      <w:pPr>
        <w:spacing w:after="0" w:line="177" w:lineRule="exact"/>
        <w:rPr>
          <w:sz w:val="20"/>
          <w:szCs w:val="20"/>
          <w:color w:val="auto"/>
        </w:rPr>
      </w:pPr>
    </w:p>
    <w:p>
      <w:pPr>
        <w:ind w:left="120" w:right="80" w:firstLine="440"/>
        <w:spacing w:after="0" w:line="269" w:lineRule="auto"/>
        <w:rPr>
          <w:sz w:val="20"/>
          <w:szCs w:val="20"/>
          <w:color w:val="auto"/>
        </w:rPr>
      </w:pPr>
      <w:r>
        <w:rPr>
          <w:rFonts w:ascii="Arial" w:cs="Arial" w:eastAsia="Arial" w:hAnsi="Arial"/>
          <w:sz w:val="17"/>
          <w:szCs w:val="17"/>
          <w:color w:val="auto"/>
        </w:rPr>
        <w:t>Navios Holdings entered into an omnibus agreement with Navios Acquisition and Navios Partners (the “Acquisition Omnibus Agreement”) in connection with the closing of Navios Acquisition’s initial vessel acquisition, pursuant to which, among other things, Navios Holdings and Navios Partners agreed not to acquire, charter-in or own liquid shipment vessels, except for containership vessels and vessels that are primarily employed in operations in South America, without the consent of an independent committee of Navios Acquisition. In addition, Navios Acquisition, under the Acquisition Omnibus Agreement, agreed to cause its subsidiaries not to acquire, own, operate or charter dry bulk carriers subject to specific exceptions. Under the Acquisition Omnibus Agreement, Navios Acquisition and its subsidiaries granted to Navios Holdings and Navios Partners, a right of first offer on any proposed sale, transfer or other disposition of any of its dry bulk carriers and related charters owned or acquired by Navios Acquisition. Likewise, Navios Holdings and Navios Partners agreed to grant a similar right of first offer to Navios Acquisition for any liquid shipment vessels it might own. These rights of first offer will not apply to a (i) sale, transfer or other disposition of vessels between any affiliated subsidiaries, or pursuant to the terms of any charter or other agreement with a counterparty, or (ii) merger with or into, or sale of substantially all of the assets to, an unaffiliated third party.</w:t>
      </w:r>
    </w:p>
    <w:p>
      <w:pPr>
        <w:spacing w:after="0" w:line="182"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Navios Holdings entered into an omnibus agreement with Navios Midstream, Navios Acquisition and Navios Partners in connection with the Navios Midstream IPO, pursuant to which Navios Acquisition, Navios Holdings, Navios Partners and their controlled affiliate companies generally have agreed not to acquire or own any VLCCs, crude oil tankers, refined petroleum product tankers, LPG tankers or chemical tankers under time charters of five or more years without the consent of Navios Midstream. The omnibus agreement contains significant exceptions that will allow Navios Acquisition, Navios Holdings, Navios Partners or any of their controlled affiliate companies to compete with Navios Midstream under specified circumstances.</w:t>
      </w:r>
    </w:p>
    <w:p>
      <w:pPr>
        <w:spacing w:after="0" w:line="161"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Navios Holdings entered into an omnibus agreement with Navios Containers, Navios Acquisition, and Navios Partners, pursuant to which Navios Acquisition, Navios Holdings, Navios Partners and their controlled affiliate companies generally have granted a right of first refusal to Navios Containers over any container vessels to be sold or acquired in the future, subject to significant exceptions that would allow Navios Acquisition, Navios Holdings and Navios Partners or any of their controlled affiliate companies to compete with Navios Containers under specified circumstances.</w:t>
      </w:r>
    </w:p>
    <w:p>
      <w:pPr>
        <w:spacing w:after="0" w:line="153" w:lineRule="exact"/>
        <w:rPr>
          <w:sz w:val="20"/>
          <w:szCs w:val="20"/>
          <w:color w:val="auto"/>
        </w:rPr>
      </w:pPr>
    </w:p>
    <w:p>
      <w:pPr>
        <w:ind w:left="120" w:right="40" w:firstLine="440"/>
        <w:spacing w:after="0" w:line="274" w:lineRule="auto"/>
        <w:rPr>
          <w:sz w:val="20"/>
          <w:szCs w:val="20"/>
          <w:color w:val="auto"/>
        </w:rPr>
      </w:pPr>
      <w:r>
        <w:rPr>
          <w:rFonts w:ascii="Arial" w:cs="Arial" w:eastAsia="Arial" w:hAnsi="Arial"/>
          <w:sz w:val="17"/>
          <w:szCs w:val="17"/>
          <w:b w:val="1"/>
          <w:bCs w:val="1"/>
          <w:color w:val="auto"/>
        </w:rPr>
        <w:t xml:space="preserve">Midstream General Partner Option Agreement: </w:t>
      </w:r>
      <w:r>
        <w:rPr>
          <w:rFonts w:ascii="Arial" w:cs="Arial" w:eastAsia="Arial" w:hAnsi="Arial"/>
          <w:sz w:val="17"/>
          <w:szCs w:val="17"/>
          <w:color w:val="auto"/>
        </w:rPr>
        <w:t>Navios Holdings entered into an option agreement, with Navios Acquisition under which</w:t>
      </w:r>
      <w:r>
        <w:rPr>
          <w:rFonts w:ascii="Arial" w:cs="Arial" w:eastAsia="Arial" w:hAnsi="Arial"/>
          <w:sz w:val="17"/>
          <w:szCs w:val="17"/>
          <w:b w:val="1"/>
          <w:bCs w:val="1"/>
          <w:color w:val="auto"/>
        </w:rPr>
        <w:t xml:space="preserve"> </w:t>
      </w:r>
      <w:r>
        <w:rPr>
          <w:rFonts w:ascii="Arial" w:cs="Arial" w:eastAsia="Arial" w:hAnsi="Arial"/>
          <w:sz w:val="17"/>
          <w:szCs w:val="17"/>
          <w:color w:val="auto"/>
        </w:rPr>
        <w:t>Navios Acquisition, which owns and controls Navios Maritime Midstream Partners GP LLC (“Midstream General Partner”), granted Navios Holdings the option to acquire a minimum of 25% of the outstanding membership interests in Midstream General Partner and the incentive distribution rights in Navios Midstream representing the right to receive an increasing percentage of the quarterly distributions when certain conditions are met. The option shall expire on November 18, 2024. The purchase price for the acquisition for all or part of the option interest shall be an amount equal to its fair market value. As of December 31, 2020, Navios Holdings had not exercised any part of that option.</w:t>
      </w:r>
    </w:p>
    <w:p>
      <w:pPr>
        <w:spacing w:after="0" w:line="173"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b w:val="1"/>
          <w:bCs w:val="1"/>
          <w:color w:val="auto"/>
        </w:rPr>
        <w:t xml:space="preserve">Sale of Vessels and Sale of Rights to Navios Partners: </w:t>
      </w:r>
      <w:r>
        <w:rPr>
          <w:rFonts w:ascii="Arial" w:cs="Arial" w:eastAsia="Arial" w:hAnsi="Arial"/>
          <w:sz w:val="17"/>
          <w:szCs w:val="17"/>
          <w:color w:val="auto"/>
        </w:rPr>
        <w:t>Upon the sale of vessels to Navios Partners, Navios Holdings recognized the gain</w:t>
      </w:r>
      <w:r>
        <w:rPr>
          <w:rFonts w:ascii="Arial" w:cs="Arial" w:eastAsia="Arial" w:hAnsi="Arial"/>
          <w:sz w:val="17"/>
          <w:szCs w:val="17"/>
          <w:b w:val="1"/>
          <w:bCs w:val="1"/>
          <w:color w:val="auto"/>
        </w:rPr>
        <w:t xml:space="preserve"> </w:t>
      </w:r>
      <w:r>
        <w:rPr>
          <w:rFonts w:ascii="Arial" w:cs="Arial" w:eastAsia="Arial" w:hAnsi="Arial"/>
          <w:sz w:val="17"/>
          <w:szCs w:val="17"/>
          <w:color w:val="auto"/>
        </w:rPr>
        <w:t>immediately in earnings only to the extent of the interest in Navios Partners owned by third parties and deferred recognition of the gain to the extent of its own ownership interest in Navios Partners (the “deferred gain”). Subsequently, the deferred gain was amortized to income over the remaining useful life of the vessel. The recognition of the deferred gain was accelerated in the event that (i) the vessel was subsequently sold or otherwise disposed of by Navios Partners or (ii) the Company’s ownership interest in Navios Partners was reduced. In connection with the public offerings of common units by Navios Partners and the sale of Navios Partners general partnership interest effected on August 30, 2019, referred in Note 3 included elsewhere in this Annual Report, a pro rata portion of the deferred gain was released to income upon dilution of the Company’s ownership interest in Navios Partners. As of January 1, 2020 the unamortized deferred gain of $6.3 million was recorded as other adjustments within accumulated deficit. For the years ended December 31, 2020, 2019, and 2018, Navios Holdings recognized $0 million, $1.8 million and $1.8 million of the deferred gain, respectively, in “Equity in net losses of affiliate companies”.</w:t>
      </w:r>
    </w:p>
    <w:p>
      <w:pPr>
        <w:spacing w:after="0" w:line="181"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color w:val="auto"/>
        </w:rPr>
        <w:t>In September 2020, Navios Holdings completed the sale of the Navios Gem, a 2014-built Capesize vessel of 181,336 dwt, and of the Navios Victory, a 2014-built Panamax vessel of 77,095 dwt, to Navios Partners for a sale price of $51.0 million in total including net liabilities of $4.4 million.</w:t>
      </w:r>
    </w:p>
    <w:p>
      <w:pPr>
        <w:spacing w:after="0" w:line="120" w:lineRule="exact"/>
        <w:rPr>
          <w:sz w:val="20"/>
          <w:szCs w:val="20"/>
          <w:color w:val="auto"/>
        </w:rPr>
      </w:pPr>
    </w:p>
    <w:p>
      <w:pPr>
        <w:ind w:left="120" w:right="180" w:firstLine="440"/>
        <w:spacing w:after="0" w:line="291" w:lineRule="auto"/>
        <w:rPr>
          <w:sz w:val="20"/>
          <w:szCs w:val="20"/>
          <w:color w:val="auto"/>
        </w:rPr>
      </w:pPr>
      <w:r>
        <w:rPr>
          <w:rFonts w:ascii="Arial" w:cs="Arial" w:eastAsia="Arial" w:hAnsi="Arial"/>
          <w:sz w:val="16"/>
          <w:szCs w:val="16"/>
          <w:b w:val="1"/>
          <w:bCs w:val="1"/>
          <w:color w:val="auto"/>
        </w:rPr>
        <w:t xml:space="preserve">Participation in Offerings of Affiliate Companies: </w:t>
      </w:r>
      <w:r>
        <w:rPr>
          <w:rFonts w:ascii="Arial" w:cs="Arial" w:eastAsia="Arial" w:hAnsi="Arial"/>
          <w:sz w:val="16"/>
          <w:szCs w:val="16"/>
          <w:color w:val="auto"/>
        </w:rPr>
        <w:t>Refer to “Item 4.—Information on the Company” and “Item 5.—Operating and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Review and Prospects” for Navios Holdings’ participation in Navios Acquisition’s and Navios Partners’ offerings. On February 4, 2015, Navios Holdings entered into a share purchase agreement with Navios Partners pursuant to which Navios Holdings made an investment in Navios Partners by purchasing common units, and general partnership interests, in order to maintain its 20.0% partnership interest in Navios Partners following its equity offering in February 2015. In connection with this agreement, Navios Holdings entered into a registration rights agreement with Navios Partners pursuant to which Navios Partners provided Navios Holdings with certain rights relating to the registration of the common units. Navios Holdings has entered into additional share purchase agreements on December 30, 2016, March 3, 2017, March 23, 2017, March 31, 2017, January 11, 2018, February 21, 2018, December 20, 2018 and February 1, 2019 for the purchase up to a total of 1,754,981 general partnership units.</w:t>
      </w:r>
    </w:p>
    <w:p>
      <w:pPr>
        <w:sectPr>
          <w:pgSz w:w="11900" w:h="16838" w:orient="portrait"/>
          <w:cols w:equalWidth="0" w:num="1">
            <w:col w:w="11120"/>
          </w:cols>
          <w:pgMar w:left="320" w:top="459" w:right="459" w:bottom="1440" w:gutter="0" w:footer="0" w:header="0"/>
        </w:sectPr>
      </w:pP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139</w:t>
      </w:r>
    </w:p>
    <w:p>
      <w:pPr>
        <w:sectPr>
          <w:pgSz w:w="11900" w:h="16838" w:orient="portrait"/>
          <w:cols w:equalWidth="0" w:num="1">
            <w:col w:w="11120"/>
          </w:cols>
          <w:pgMar w:left="320" w:top="459" w:right="459" w:bottom="1440" w:gutter="0" w:footer="0" w:header="0"/>
          <w:type w:val="continuous"/>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280" w:firstLine="440"/>
        <w:spacing w:after="0" w:line="312" w:lineRule="auto"/>
        <w:rPr>
          <w:sz w:val="20"/>
          <w:szCs w:val="20"/>
          <w:color w:val="auto"/>
        </w:rPr>
      </w:pPr>
      <w:r>
        <w:rPr>
          <w:rFonts w:ascii="Arial" w:cs="Arial" w:eastAsia="Arial" w:hAnsi="Arial"/>
          <w:sz w:val="17"/>
          <w:szCs w:val="17"/>
          <w:b w:val="1"/>
          <w:bCs w:val="1"/>
          <w:color w:val="auto"/>
        </w:rPr>
        <w:t xml:space="preserve">Balance due from Navios Europe I: </w:t>
      </w:r>
      <w:r>
        <w:rPr>
          <w:rFonts w:ascii="Arial" w:cs="Arial" w:eastAsia="Arial" w:hAnsi="Arial"/>
          <w:sz w:val="17"/>
          <w:szCs w:val="17"/>
          <w:color w:val="auto"/>
        </w:rPr>
        <w:t>Following the liquidation, the balance due from Navios Europe I as of December 31, 2020 and 2019 was</w:t>
      </w:r>
      <w:r>
        <w:rPr>
          <w:rFonts w:ascii="Arial" w:cs="Arial" w:eastAsia="Arial" w:hAnsi="Arial"/>
          <w:sz w:val="17"/>
          <w:szCs w:val="17"/>
          <w:b w:val="1"/>
          <w:bCs w:val="1"/>
          <w:color w:val="auto"/>
        </w:rPr>
        <w:t xml:space="preserve"> </w:t>
      </w:r>
      <w:r>
        <w:rPr>
          <w:rFonts w:ascii="Arial" w:cs="Arial" w:eastAsia="Arial" w:hAnsi="Arial"/>
          <w:sz w:val="17"/>
          <w:szCs w:val="17"/>
          <w:color w:val="auto"/>
        </w:rPr>
        <w:t>$0 million. As a result of this liquidation, Navios Holdings received the outstanding receivable of $13.4 million, in December 2019.</w:t>
      </w:r>
    </w:p>
    <w:p>
      <w:pPr>
        <w:spacing w:after="0" w:line="144"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The Navios Revolving Loans I and the Navios Term Loans I earned interest and an annual preferred return, respectively, at 1,270 basis points per annum, on a quarterly compounding basis. There were no covenant requirements or stated maturity dates. As of December 31, 2019 the loan was fully received and there was no outstanding balance.</w:t>
      </w:r>
    </w:p>
    <w:p>
      <w:pPr>
        <w:spacing w:after="0" w:line="180" w:lineRule="exact"/>
        <w:rPr>
          <w:sz w:val="20"/>
          <w:szCs w:val="20"/>
          <w:color w:val="auto"/>
        </w:rPr>
      </w:pPr>
    </w:p>
    <w:p>
      <w:pPr>
        <w:ind w:left="120" w:right="80" w:firstLine="440"/>
        <w:spacing w:after="0" w:line="266" w:lineRule="auto"/>
        <w:rPr>
          <w:sz w:val="20"/>
          <w:szCs w:val="20"/>
          <w:color w:val="auto"/>
        </w:rPr>
      </w:pPr>
      <w:r>
        <w:rPr>
          <w:rFonts w:ascii="Arial" w:cs="Arial" w:eastAsia="Arial" w:hAnsi="Arial"/>
          <w:sz w:val="18"/>
          <w:szCs w:val="18"/>
          <w:b w:val="1"/>
          <w:bCs w:val="1"/>
          <w:color w:val="auto"/>
        </w:rPr>
        <w:t xml:space="preserve">Balance due from Navios Europe II: </w:t>
      </w:r>
      <w:r>
        <w:rPr>
          <w:rFonts w:ascii="Arial" w:cs="Arial" w:eastAsia="Arial" w:hAnsi="Arial"/>
          <w:sz w:val="18"/>
          <w:szCs w:val="18"/>
          <w:color w:val="auto"/>
        </w:rPr>
        <w:t>Navios Holdings, Navios Acquisition and Navios Partners had made available to Navios Europe II</w:t>
      </w:r>
      <w:r>
        <w:rPr>
          <w:rFonts w:ascii="Arial" w:cs="Arial" w:eastAsia="Arial" w:hAnsi="Arial"/>
          <w:sz w:val="18"/>
          <w:szCs w:val="18"/>
          <w:b w:val="1"/>
          <w:bCs w:val="1"/>
          <w:color w:val="auto"/>
        </w:rPr>
        <w:t xml:space="preserve"> </w:t>
      </w:r>
      <w:r>
        <w:rPr>
          <w:rFonts w:ascii="Arial" w:cs="Arial" w:eastAsia="Arial" w:hAnsi="Arial"/>
          <w:sz w:val="18"/>
          <w:szCs w:val="18"/>
          <w:color w:val="auto"/>
        </w:rPr>
        <w:t>revolving loans of up to $43.5 million to fund the Navios Revolving Loans II. In March 2017, the availability under the Navios Revolving Loans II was increased by $14.0 million (see Note 9 included elsewhere in this Annual Report).</w:t>
      </w:r>
    </w:p>
    <w:p>
      <w:pPr>
        <w:spacing w:after="0" w:line="180"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On April 21, 2020, Navios Europe II agreed with the lender to fully release the liabilities under the Junior Loan II for $5.0 million. Navios Europe II owned seven containership vessels and seven drybulk vessels.</w:t>
      </w:r>
    </w:p>
    <w:p>
      <w:pPr>
        <w:spacing w:after="0" w:line="170"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On May 14, 2020, an agreement was reached to liquidate Navios Europe II before its original expiration date. The transaction was completed on June 29, 2020.</w:t>
      </w:r>
    </w:p>
    <w:p>
      <w:pPr>
        <w:spacing w:after="0" w:line="170"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As a result of this liquidation, Navios Holdings received the total outstanding balance due from Navios Europe II, representing the Navios Revolving Loans II, the Navios Term Loans II and accrued interest thereof directly owed to Navios Holdings, previously presented within the captions “Due from affiliate companies” and “Loans receivable from affiliate companies” and acquired two Panamax vessels of Navios Europe II (see Note 5 included elsewhere in this Annual Report).</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Following the Liquidation of Navios Europe II, the balance due from Navios Europe II as of December 31, 2020 was $0 million. As of</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December 31, 2019, Navios Holdings’ balance due from Navios Europe II, amounted to $20.7 million, which included the net current receivable amount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mainly consisting of $13.2 million, of accrued interest income earned under the Navios Revolving Loans II (as defined in Note 9 included elsewhere in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this Annual Report) and the net non-current amount receivable of $7.6 million related to the accrued interest income earned under the Navios Term</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Loans II (as defined in Note 9 included elsewhere in this Annual Report). The outstanding amount relating to Navios Holdings’ portion under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Navios Revolving Loans II was $16.9 million as of December 31, 2019, within the caption “Loan receivable from affiliate companies”.</w:t>
      </w:r>
    </w:p>
    <w:p>
      <w:pPr>
        <w:spacing w:after="0" w:line="21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Navios Revolving Loans II and the Navios Term Loans II earned interest and an annual preferred return, respectively, at 1,800 basis points per annum, on a quarterly compounding basis and were repaid from free cash flow (as defined in the loan agreement) to the fullest extent possible at the end of each quarter. There were no covenant requirements or stated maturity dates.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decline in the fair value of the investment during the first quarter of 2020 was considered as other-than-temporary and, therefore, a loss of</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$6.1 million was recognized and included in the accompanying consolidated statements of comprehensive (loss)/income for the year ended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December 31, 2020, within the caption “Impairment of loan receivable from affiliate company”. The fair value was determined based on the liquidation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value of Navios Europe II, including the individual fair values assigned to the assets and liabilities of Navios Europe II.</w:t>
      </w:r>
    </w:p>
    <w:p>
      <w:pPr>
        <w:spacing w:after="0" w:line="207"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b w:val="1"/>
          <w:bCs w:val="1"/>
          <w:color w:val="auto"/>
        </w:rPr>
        <w:t xml:space="preserve">Secured credit facility with Navios Logistics: </w:t>
      </w:r>
      <w:r>
        <w:rPr>
          <w:rFonts w:ascii="Arial" w:cs="Arial" w:eastAsia="Arial" w:hAnsi="Arial"/>
          <w:sz w:val="17"/>
          <w:szCs w:val="17"/>
          <w:color w:val="auto"/>
        </w:rPr>
        <w:t>On April 25, 2019, Navios Holdings entered into a secured credit facility of $50.0 million with</w:t>
      </w:r>
      <w:r>
        <w:rPr>
          <w:rFonts w:ascii="Arial" w:cs="Arial" w:eastAsia="Arial" w:hAnsi="Arial"/>
          <w:sz w:val="17"/>
          <w:szCs w:val="17"/>
          <w:b w:val="1"/>
          <w:bCs w:val="1"/>
          <w:color w:val="auto"/>
        </w:rPr>
        <w:t xml:space="preserve"> </w:t>
      </w:r>
      <w:r>
        <w:rPr>
          <w:rFonts w:ascii="Arial" w:cs="Arial" w:eastAsia="Arial" w:hAnsi="Arial"/>
          <w:sz w:val="17"/>
          <w:szCs w:val="17"/>
          <w:color w:val="auto"/>
        </w:rPr>
        <w:t>Navios Logistics to be used for general corporate purposes, including the repurchase of 2022 Notes. This credit facility is secured by (i) any 2022 Notes purchased by Navios Holdings with these funds and (ii) equity interests in five subsidiaries of the Company that have entered into certain bareboat contracts. The credit facility is available in multiple drawings, had an arrangement fee of $0.5 million and originally bore a fixed interest rate of 12.75% for the first year and a fixed interest rate of 14.75% for the second year, payable annually. The secured credit facility includes negative covenants substantially similar to the 2022 Notes and customary events of default. In December 2019, Navios Holdings and Navios Logistics agreed to increase the amount by $20.0 million and amended the interest rate of the whole facility to 12.75% or 10.0% if certain conditions were met. Following the satisfaction of those conditions in July 2020, the credit facility now matures in December 2024 and bears interest at a rate of 10.0% per annum. As of December 31, 2020, $70.0 million was drawn under this facility, of which $18.7 million was used to acquire the 2022 Notes from Navios Logistics and the remaining amount was used to repurchase 2022 Notes.</w:t>
      </w:r>
    </w:p>
    <w:p>
      <w:pPr>
        <w:spacing w:after="0" w:line="181" w:lineRule="exact"/>
        <w:rPr>
          <w:sz w:val="20"/>
          <w:szCs w:val="20"/>
          <w:color w:val="auto"/>
        </w:rPr>
      </w:pPr>
    </w:p>
    <w:p>
      <w:pPr>
        <w:jc w:val="both"/>
        <w:ind w:left="120" w:right="100" w:firstLine="440"/>
        <w:spacing w:after="0" w:line="286" w:lineRule="auto"/>
        <w:rPr>
          <w:sz w:val="20"/>
          <w:szCs w:val="20"/>
          <w:color w:val="auto"/>
        </w:rPr>
      </w:pPr>
      <w:r>
        <w:rPr>
          <w:rFonts w:ascii="Arial" w:cs="Arial" w:eastAsia="Arial" w:hAnsi="Arial"/>
          <w:sz w:val="17"/>
          <w:szCs w:val="17"/>
          <w:color w:val="auto"/>
        </w:rPr>
        <w:t>On June 25, 2020, Navios Holdings and Navios Logistics amended the secured credit facility with Navios Logistics to allow a portion of the total interest payable to be effected in common shares of Navios Holdings. On July 10, 2020, Navios Holdings issued 2,414,263 shares of common stock to Navios Logistics and paid Navios Logistics $2.3 million in satisfaction of the interest payable in respect of this facility.</w:t>
      </w:r>
    </w:p>
    <w:p>
      <w:pPr>
        <w:spacing w:after="0" w:line="161" w:lineRule="exact"/>
        <w:rPr>
          <w:sz w:val="20"/>
          <w:szCs w:val="20"/>
          <w:color w:val="auto"/>
        </w:rPr>
      </w:pPr>
    </w:p>
    <w:p>
      <w:pPr>
        <w:ind w:left="120" w:right="20" w:firstLine="440"/>
        <w:spacing w:after="0" w:line="256" w:lineRule="auto"/>
        <w:rPr>
          <w:sz w:val="20"/>
          <w:szCs w:val="20"/>
          <w:color w:val="auto"/>
        </w:rPr>
      </w:pPr>
      <w:r>
        <w:rPr>
          <w:rFonts w:ascii="Arial" w:cs="Arial" w:eastAsia="Arial" w:hAnsi="Arial"/>
          <w:sz w:val="18"/>
          <w:szCs w:val="18"/>
          <w:b w:val="1"/>
          <w:bCs w:val="1"/>
          <w:color w:val="auto"/>
        </w:rPr>
        <w:t xml:space="preserve">NSM Loan: </w:t>
      </w:r>
      <w:r>
        <w:rPr>
          <w:rFonts w:ascii="Arial" w:cs="Arial" w:eastAsia="Arial" w:hAnsi="Arial"/>
          <w:sz w:val="18"/>
          <w:szCs w:val="18"/>
          <w:color w:val="auto"/>
        </w:rPr>
        <w:t>On August 29, 2019, Navios Holdings entered into a secured credit facility of $141.8 million (including post-closing adjustments)</w:t>
      </w:r>
      <w:r>
        <w:rPr>
          <w:rFonts w:ascii="Arial" w:cs="Arial" w:eastAsia="Arial" w:hAnsi="Arial"/>
          <w:sz w:val="18"/>
          <w:szCs w:val="18"/>
          <w:b w:val="1"/>
          <w:bCs w:val="1"/>
          <w:color w:val="auto"/>
        </w:rPr>
        <w:t xml:space="preserve"> </w:t>
      </w:r>
      <w:r>
        <w:rPr>
          <w:rFonts w:ascii="Arial" w:cs="Arial" w:eastAsia="Arial" w:hAnsi="Arial"/>
          <w:sz w:val="18"/>
          <w:szCs w:val="18"/>
          <w:color w:val="auto"/>
        </w:rPr>
        <w:t>with Navios Shipmanagement Holdings Corporation, a wholly owned subsidiary of NSM. In general, the amount owed reflects the excess of (i) the liabilities of the ship management business (including liabilities for advances previously made by affiliate companies to the Company for ongoing operating costs, including technical management services, supplies, dry-docking and related expenses) other than liabilities the assumption of which forms part of the consideration for the Transaction over (ii) the short term assets of the ship management business. The Company’s obligations under the NSM Loan are guaranteed by substantially the</w:t>
      </w:r>
    </w:p>
    <w:p>
      <w:pPr>
        <w:sectPr>
          <w:pgSz w:w="11900" w:h="16838" w:orient="portrait"/>
          <w:cols w:equalWidth="0" w:num="1">
            <w:col w:w="11120"/>
          </w:cols>
          <w:pgMar w:left="320" w:top="459" w:right="459" w:bottom="1440" w:gutter="0" w:footer="0" w:header="0"/>
        </w:sectPr>
      </w:pP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140</w:t>
      </w:r>
    </w:p>
    <w:p>
      <w:pPr>
        <w:sectPr>
          <w:pgSz w:w="11900" w:h="16838" w:orient="portrait"/>
          <w:cols w:equalWidth="0" w:num="1">
            <w:col w:w="11120"/>
          </w:cols>
          <w:pgMar w:left="320" w:top="459" w:right="459" w:bottom="1440" w:gutter="0" w:footer="0" w:header="0"/>
          <w:type w:val="continuous"/>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same subsidiaries that guarantee the 2022 Notes and secured by assets of the Company that do not secure the Ship Mortgage Notes or the 2022 Senior Secured Notes. The credit facility is repayable over a five-year period; of the initial amount, $47.0 million was repayable in 2020 in equal quarterly installments, with the remaining principal repayment in equal quarterly installments over the following 48 months. In certain cases, principal payments can be deferred provided that no more than $20.0 million of deferral may be outstanding during the first or second year and $10.0 million outstanding in the third year. The loan agreement provides for interest at 5.0% annually, and 7.0% annually for deferred principal amounts. During December 2019, Navios Holdings repaid the amount of $13.4 million under the terms of this facility. During June 2020 and July 2020, Navios Holdings repaid the amount of $31.5 million and $18.5 million, respectively, under the terms of this facility.</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As of December 31, 2020, the outstanding balance was $78.4 million (December 31, 2019: $128.4 million) and the accrued interest was</w:t>
      </w:r>
    </w:p>
    <w:p>
      <w:pPr>
        <w:spacing w:after="0" w:line="35" w:lineRule="exact"/>
        <w:rPr>
          <w:sz w:val="20"/>
          <w:szCs w:val="20"/>
          <w:color w:val="auto"/>
        </w:rPr>
      </w:pPr>
    </w:p>
    <w:p>
      <w:pPr>
        <w:ind w:left="120" w:right="260"/>
        <w:spacing w:after="0" w:line="260" w:lineRule="auto"/>
        <w:rPr>
          <w:sz w:val="20"/>
          <w:szCs w:val="20"/>
          <w:color w:val="auto"/>
        </w:rPr>
      </w:pPr>
      <w:r>
        <w:rPr>
          <w:rFonts w:ascii="Arial" w:cs="Arial" w:eastAsia="Arial" w:hAnsi="Arial"/>
          <w:sz w:val="18"/>
          <w:szCs w:val="18"/>
          <w:color w:val="auto"/>
        </w:rPr>
        <w:t>$0.5 million (December 31, 2019: $2.2 million). Of the outstanding amount and accrued interest $10.3 million (December 31, 2019: $22.6 million) is included within the caption “Current portion of loans payable to affiliate companies”.</w:t>
      </w:r>
    </w:p>
    <w:p>
      <w:pPr>
        <w:spacing w:after="0" w:line="181"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b w:val="1"/>
          <w:bCs w:val="1"/>
          <w:color w:val="auto"/>
        </w:rPr>
        <w:t xml:space="preserve">$50.0 million NSM Loan: </w:t>
      </w:r>
      <w:r>
        <w:rPr>
          <w:rFonts w:ascii="Arial" w:cs="Arial" w:eastAsia="Arial" w:hAnsi="Arial"/>
          <w:sz w:val="16"/>
          <w:szCs w:val="16"/>
          <w:color w:val="auto"/>
        </w:rPr>
        <w:t>In June 2020, the Company entered into a secured loan agreement with Navios Shipmanagement Holdings</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a wholly owned subsidiary of NSM, for a loan of up to $50.0 million to be used for general corporate purposes. The terms and conditions of the secured loan agreement were approved by a Special Committee of the Board of Directors comprised of independent directors. The loan agreement will be repayable in up to 18 equal consecutive quarterly installments. Principal payments that fall due during the first year following the initial drawdown may be deferred, at the Company’s election, in whole or in part. The loan agreement provides for interest at a rate of 5.0% annually (and 7.0% annually for deferred principal amounts). As of December 31, 2020, the outstanding balance was $50.0 million (December 31, 2019: $0 million)</w:t>
      </w:r>
    </w:p>
    <w:p>
      <w:pPr>
        <w:spacing w:after="0" w:line="3" w:lineRule="exact"/>
        <w:rPr>
          <w:sz w:val="20"/>
          <w:szCs w:val="20"/>
          <w:color w:val="auto"/>
        </w:rPr>
      </w:pPr>
    </w:p>
    <w:p>
      <w:pPr>
        <w:ind w:left="120" w:right="240"/>
        <w:spacing w:after="0" w:line="260" w:lineRule="auto"/>
        <w:rPr>
          <w:sz w:val="20"/>
          <w:szCs w:val="20"/>
          <w:color w:val="auto"/>
        </w:rPr>
      </w:pPr>
      <w:r>
        <w:rPr>
          <w:rFonts w:ascii="Arial" w:cs="Arial" w:eastAsia="Arial" w:hAnsi="Arial"/>
          <w:sz w:val="18"/>
          <w:szCs w:val="18"/>
          <w:color w:val="auto"/>
        </w:rPr>
        <w:t>and the accrued interest was $0.3 million (December 31, 2019: $0 million). Of the outstanding amount and accrued interest, $16.3 million is included within the caption “Current portion of loans payable to affiliate companies”.</w:t>
      </w:r>
    </w:p>
    <w:p>
      <w:pPr>
        <w:spacing w:after="0" w:line="185"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The Company’s obligations under the $50.0 million NSM Loan are guaranteed by first priority security interests in a vessel, as well as pledge of certain First Priority Ship Mortgage Notes due 2022 owned by Navios Holdings and 104,069 common units in Navios Containers and second priority pledge in respect of 2022 Notes owned by Navios Holdings.</w:t>
      </w:r>
    </w:p>
    <w:p>
      <w:pPr>
        <w:spacing w:after="0" w:line="180" w:lineRule="exact"/>
        <w:rPr>
          <w:sz w:val="20"/>
          <w:szCs w:val="20"/>
          <w:color w:val="auto"/>
        </w:rPr>
      </w:pPr>
    </w:p>
    <w:p>
      <w:pPr>
        <w:ind w:left="120" w:right="20" w:firstLine="440"/>
        <w:spacing w:after="0" w:line="282" w:lineRule="auto"/>
        <w:rPr>
          <w:sz w:val="20"/>
          <w:szCs w:val="20"/>
          <w:color w:val="auto"/>
        </w:rPr>
      </w:pPr>
      <w:r>
        <w:rPr>
          <w:rFonts w:ascii="Arial" w:cs="Arial" w:eastAsia="Arial" w:hAnsi="Arial"/>
          <w:sz w:val="18"/>
          <w:szCs w:val="18"/>
          <w:b w:val="1"/>
          <w:bCs w:val="1"/>
          <w:color w:val="auto"/>
        </w:rPr>
        <w:t xml:space="preserve">Navios Logistics’ Shareholders Agreement: </w:t>
      </w:r>
      <w:r>
        <w:rPr>
          <w:rFonts w:ascii="Arial" w:cs="Arial" w:eastAsia="Arial" w:hAnsi="Arial"/>
          <w:sz w:val="18"/>
          <w:szCs w:val="18"/>
          <w:color w:val="auto"/>
        </w:rPr>
        <w:t>On November 19, 2019, Navios Holdings entered into a shareholder agreement with Peers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Inc. granting certain protections to minority shareholders in certain events.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 Interests of experts and counsel.</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8. Financial Information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 Consolidated Statements and Other Financial Information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 xml:space="preserve">Consolidated Financial Statements: </w:t>
      </w:r>
      <w:r>
        <w:rPr>
          <w:rFonts w:ascii="Arial" w:cs="Arial" w:eastAsia="Arial" w:hAnsi="Arial"/>
          <w:sz w:val="18"/>
          <w:szCs w:val="18"/>
          <w:color w:val="auto"/>
        </w:rPr>
        <w:t>See Item 18.</w:t>
      </w:r>
    </w:p>
    <w:p>
      <w:pPr>
        <w:spacing w:after="0" w:line="225"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b w:val="1"/>
          <w:bCs w:val="1"/>
          <w:i w:val="1"/>
          <w:iCs w:val="1"/>
          <w:color w:val="auto"/>
        </w:rPr>
        <w:t xml:space="preserve">Legal Proceedings: </w:t>
      </w:r>
      <w:r>
        <w:rPr>
          <w:rFonts w:ascii="Arial" w:cs="Arial" w:eastAsia="Arial" w:hAnsi="Arial"/>
          <w:sz w:val="18"/>
          <w:szCs w:val="18"/>
          <w:color w:val="auto"/>
        </w:rPr>
        <w:t>Navios Holdings is not involved in any legal proceedings that it believes will have a significant effect on its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position, results of operations or liquidity.</w:t>
      </w:r>
    </w:p>
    <w:p>
      <w:pPr>
        <w:spacing w:after="0" w:line="170" w:lineRule="exact"/>
        <w:rPr>
          <w:sz w:val="20"/>
          <w:szCs w:val="20"/>
          <w:color w:val="auto"/>
        </w:rPr>
      </w:pPr>
    </w:p>
    <w:p>
      <w:pPr>
        <w:jc w:val="both"/>
        <w:ind w:left="120" w:right="240" w:firstLine="440"/>
        <w:spacing w:after="0" w:line="259" w:lineRule="auto"/>
        <w:rPr>
          <w:sz w:val="20"/>
          <w:szCs w:val="20"/>
          <w:color w:val="auto"/>
        </w:rPr>
      </w:pPr>
      <w:r>
        <w:rPr>
          <w:rFonts w:ascii="Arial" w:cs="Arial" w:eastAsia="Arial" w:hAnsi="Arial"/>
          <w:sz w:val="18"/>
          <w:szCs w:val="18"/>
          <w:color w:val="auto"/>
        </w:rPr>
        <w:t>From time to time, Navios Holdings may be subject to legal proceedings and claims in the ordinary course of business. It is expected that these claims would be covered by insurance if they involve liabilities such as arise from a collision, other marine casualty, damage to cargoes, oil pollution, death or personal injuries to crew, subject to customary deductibles. Those claims, even if lacking merit, could result in the expenditure of significant financial and managerial resources.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Refer also to Note 14 to the Consolidated Financial Statements, included herein.</w:t>
      </w:r>
    </w:p>
    <w:p>
      <w:pPr>
        <w:spacing w:after="0" w:line="225"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b w:val="1"/>
          <w:bCs w:val="1"/>
          <w:i w:val="1"/>
          <w:iCs w:val="1"/>
          <w:color w:val="auto"/>
        </w:rPr>
        <w:t xml:space="preserve">Dividend Policy: </w:t>
      </w:r>
      <w:r>
        <w:rPr>
          <w:rFonts w:ascii="Arial" w:cs="Arial" w:eastAsia="Arial" w:hAnsi="Arial"/>
          <w:sz w:val="16"/>
          <w:szCs w:val="16"/>
          <w:color w:val="auto"/>
        </w:rPr>
        <w:t>Navios Holdings announced the suspension of dividends to its common stock shareholders in November 2015 and its preferred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shareholders, including holders of the Series G and Series H, in February 2016. Navios Holdings intends to retain most of its available earnings generated by operations to conserve cash and improve liquidity. The reinstatement, declaration and payment of any dividend remains subject to the discretion of the Board of Directors, and will depend on, among other things, Navios Holdings’ cash requirements after taking into account market opportunities, debt obligations, market conditions, and restrictions contained in its equity and debt instruments, including limitations on dividends under its preferred stock. In addition, the terms and provisions of our current secured credit facilities and indentures limit our ability to declare and pay dividends in excess of certain amounts or if certain covenants are not met. (See also Item 5.B. “Long-term Debt Obligations and Credit Arrangements”).</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20"/>
          </w:cols>
          <w:pgMar w:left="320" w:top="459" w:right="4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 Significant Changes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9. Listing Details</w:t>
      </w:r>
    </w:p>
    <w:p>
      <w:pPr>
        <w:spacing w:after="0" w:line="121"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 principal trading market for our common stock has been the NYSE under the symbol “NM”. Our Series G and Series H trade preferred stock trade on the NYSE under the symbols “NMPrG.” and “NMPrH.”</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10. Additional Information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 Share Capital</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 Memorandum of articles of association</w:t>
      </w:r>
    </w:p>
    <w:p>
      <w:pPr>
        <w:spacing w:after="0" w:line="117"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Please refer to Exhibit 3.1 of Form F-1, filed with the Securities and Exchange Commission (“SEC”) on November 2, 2005 with file number 333-129382; Exhibit 99.1 of Form 6-K, filed on January 17, 2007 with file number 000-51047, which the Company hereby incorporates by reference and the following filings on Form 6-K or Form 8-A, as applicable, (file number 001-33311) filed with the SEC : Exhibit 99.2 of Form 6-K filed on October 6, 2008; Exhibit 3.1 of Form 6-K filed on July 7, 2009; Exhibit 3.1 of Form 6-K filed on September 22, 2009; Exhibit 3.1 of Form 6-K filed on September 24, 2009; Exhibit 3.1 of Form 6-K filed on February 4, 2010; Exhibit 1.1 of Form 6-K filed on November 15, 2010; Exhibit 1.1 of Form 6-K filed on December 22, 2010; Exhibit 3.3 of Form 8-A filed on January 24, 2014 and Exhibit 3.3 of Form 8-A filed on July 7, 2014, each of which the Company hereby incorporates by reference; Exhibit 1.1 of Form 6-K, filed on December 27, 2018.</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 Material Contracts</w:t>
      </w:r>
    </w:p>
    <w:p>
      <w:pPr>
        <w:spacing w:after="0" w:line="117"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Refer to “Item 4. – Information on the Company” for a discussion of various agreements relating to our business and certain vessel transactions, including Item 4.B. for a discussion of our option agreements to purchase 13 charter-in vessels and five bareboat chartered-in vessels, and to Item 5. – Operating and Financial Review and Prospects” for a discussion of our long-term debt, including Item 5.F for a discussion of the long-term debt, the operating lease obligations and the rent obligations. Other than these agreements, there are no material contracts, other than the contracts entered into in the ordinary course of business, to which the Company or any of its subsidiaries is a party.</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 Exchange controls</w:t>
      </w:r>
    </w:p>
    <w:p>
      <w:pPr>
        <w:spacing w:after="0" w:line="11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Under the laws of the Marshall Islands, Uruguay, Liberia, Panama, Belgium, Luxembourg, Malta, Brazil, Paraguay, Cayman Islands, Hong Kong and the British Virgin Islands, the countries of incorporation of the Company and its subsidiaries, there are currently no restrictions on the export or import of capital, including foreign exchange controls, or restrictions that affect the remittance of dividends, interest or other payments to non-resident holders of our common stock.</w:t>
      </w:r>
    </w:p>
    <w:p>
      <w:pPr>
        <w:spacing w:after="0" w:line="18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On September 1, 2019 the Argentine government reinstated exchange controls and restrictions on transfers abroad that are currently in force. These new controls and restrictions apply to, among other things, the free access to the foreign exchange market for savings and investments, payments of debts in foreign currency, payment of dividends in foreign currency abroad, payment for imports of goods and services, and the obligation to settle the proceeds of exports of goods and services in the Argentina local exchange market.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 Taxation</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Marshall Islands Tax Considerations</w:t>
      </w:r>
    </w:p>
    <w:p>
      <w:pPr>
        <w:spacing w:after="0" w:line="12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Navios Holdings is incorporated in the Marshall Islands. Under current Marshall Islands law, Navios Holdings will not be subject to tax on income or capital gains, and no Marshall Islands withholding tax will be imposed upon payments.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Tax Jurisdictions</w:t>
      </w:r>
    </w:p>
    <w:p>
      <w:pPr>
        <w:spacing w:after="0" w:line="12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Certain of Navios Holdings’ subsidiaries are incorporated in countries, which impose taxes, such as Belgium, however such taxes are immaterial to Navios Holdings’ operations.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40"/>
          </w:cols>
          <w:pgMar w:left="320" w:top="459" w:right="4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firstLine="440"/>
        <w:spacing w:after="0" w:line="286" w:lineRule="auto"/>
        <w:rPr>
          <w:sz w:val="20"/>
          <w:szCs w:val="20"/>
          <w:color w:val="auto"/>
        </w:rPr>
      </w:pPr>
      <w:r>
        <w:rPr>
          <w:rFonts w:ascii="Arial" w:cs="Arial" w:eastAsia="Arial" w:hAnsi="Arial"/>
          <w:sz w:val="17"/>
          <w:szCs w:val="17"/>
          <w:color w:val="auto"/>
        </w:rPr>
        <w:t>Marshall Islands, Liberia, Panama and Malta do not impose a tax on international shipping income. Under the laws of Marshall Islands, Malta, Liberia and Panama, the countries of incorporation of the Company and its subsidiaries and the vessels’ registration, the companies are subject to registration and tonnage taxes, in the accompanying consolidated statements of comprehensive (loss)/income.</w:t>
      </w:r>
    </w:p>
    <w:p>
      <w:pPr>
        <w:spacing w:after="0" w:line="165"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Certain of the Company’s subsidiaries have registered offices in Greece under Greek Law 27/75 as amended and in force (former law 89/67). These companies are allowed to conduct the specific business activities provided in their license and the provisions of the above legislation. Same law (27/75) provides that these companies are exempted in Greece from any tax, duty, levy, contribution or deduction in respect of income.</w:t>
      </w:r>
    </w:p>
    <w:p>
      <w:pPr>
        <w:spacing w:after="0" w:line="149"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In accordance with the currently applicable Greek law, ship owning companies of foreign flagged vessels that are managed by Greek or foreign ship management companies having established an office/branch in Greece under law 27/75 are subject to duties towards the Greek state which are calculated on the basis of the relevant vessel’s tonnage. In case that tonnage tax and/or similar taxes/duties are paid by the shipowning companies to the vessel’s flag state, these are deducted from the amount of the duty to be paid in Greece by the ship owner. The payment of said duties exhausts the tax liability of the foreign ship owning company and as of 2020 the relevant bareboat charterer/lessee against any tax, duty, charge or contribution payable on income from the exploitation of the foreign flagged vessel.</w:t>
      </w:r>
    </w:p>
    <w:p>
      <w:pPr>
        <w:spacing w:after="0" w:line="178"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income tax (expense)/ benefit reflected in the Company’s consolidated financial statements for the years ended December 31, 2020, 2019, and 2018 is mainly attributable to Navios Holdings’ subsidiaries in South America, which are subject to the Argentinean, Brazilian and Paraguayan income tax regime.</w:t>
      </w:r>
    </w:p>
    <w:p>
      <w:pPr>
        <w:spacing w:after="0" w:line="184"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CNSA and Corporacion Navios Granos S.A. (“CNGSA”) are located in a tax free zone and are not liable to income tax. Navios Logistics’ current port operations in Uruguay are exempted from income taxes.</w:t>
      </w:r>
    </w:p>
    <w:p>
      <w:pPr>
        <w:spacing w:after="0" w:line="170"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As a result of the tax reform voted by the Argentinean Parliament in December 2017, and the Law 27,541 voted in December 2019, the corporate income tax rate has decreased from 35% in 2017 to 30% for the period from 2018 to 2021, and will further decrease to 25% for the period from 2022 onwards. Tax rates and tax laws used to assess the income tax liability are those that are effective on the close of the fiscal period. Additionally, at the end of the fiscal year, local companies in Argentina had to calculate an assets tax (Minimum Presumed Income Tax) by applying the effective tax rate of 1.0% over the gross value of the corporate assets (based on tax law criteria). Following the tax reform voted by the Argentinean Parliament in December 2017, and the subsequent resolution in-force since May 2018, this tax does not longer apply as of the fiscal year 2019.</w:t>
      </w:r>
    </w:p>
    <w:p>
      <w:pPr>
        <w:spacing w:after="0" w:line="164"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Under the tax laws of Argentina, the subsidiaries of the Company in that country are subject to taxes levied on gross revenues. Rates differ depending on the jurisdiction where revenues are earned for tax purposes. Average rates were approximately 2.0% for the year ended December 31, 2020 (2.0% for 2019 and 3.0% for 2018, respectively).</w:t>
      </w:r>
    </w:p>
    <w:p>
      <w:pPr>
        <w:spacing w:after="0" w:line="184" w:lineRule="exact"/>
        <w:rPr>
          <w:sz w:val="20"/>
          <w:szCs w:val="20"/>
          <w:color w:val="auto"/>
        </w:rPr>
      </w:pPr>
    </w:p>
    <w:p>
      <w:pPr>
        <w:ind w:left="120" w:right="160" w:firstLine="440"/>
        <w:spacing w:after="0" w:line="254" w:lineRule="auto"/>
        <w:rPr>
          <w:sz w:val="20"/>
          <w:szCs w:val="20"/>
          <w:color w:val="auto"/>
        </w:rPr>
      </w:pPr>
      <w:r>
        <w:rPr>
          <w:rFonts w:ascii="Arial" w:cs="Arial" w:eastAsia="Arial" w:hAnsi="Arial"/>
          <w:sz w:val="18"/>
          <w:szCs w:val="18"/>
          <w:color w:val="auto"/>
        </w:rPr>
        <w:t>Until the fiscal year ended December 31, 2019, there were two possible options to determine the income tax liability of Paraguayan subsidiaries. Under the first option, income tax liabilities for the current and prior periods were measured at the amount expected to be paid to the taxation authorities, by applying the tax rate of 10.0% on the fiscal profit and loss. 50.0% of revenues derived from international freights were considered Paraguayan sourced (and therefore taxed) if carried between Paraguay and Argentina, Bolivia, Brazil or Uruguay, with destination Paraguay. Alternatively, only 30.0% of revenues derived from international freights carried between other countries with destination Paraguay were considered Paraguayan sourced. Companies whose operations were considered international freights could choose to pay income taxes on their revenues at an effective tax rate of 1.0% on such revenues, without considering any other kind of adjustments. Fiscal losses, if any, were neither deducted nor carried forward.</w:t>
      </w:r>
    </w:p>
    <w:p>
      <w:pPr>
        <w:spacing w:after="0" w:line="192"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As per the tax reform in Paraguay that is in force since January 1, 2020 (Law 6,380 from September 25, 2019 confirmed by Decree 3182 from December 30, 2019), there are still two possible options to determine the income tax liability of Paraguayan companies. Under the first option income tax liabilities for the current and prior periods are measured at the amount expected to be paid to the taxation authorities, by applying the tax rate of 10% on the fiscal profit and loss. The 100% of revenues derived from freights carried between other countries with destination Paraguay are considered Paraguayan sourced, and therefore taxed. The tax reform also states that any fiscal losses generated as of the fiscal year starting January 1, 2020, will be carried forward for up to five years, with the possibility to deduct each year the 20% from future years fiscal years taxable income. Companies whose operations are considered international freights can alternatively choose to pay income taxes on their revenues at an effective tax rate of 3% of such revenues, without considering any other kind of adjustments. Once the methodology is chosen, the Paraguayan companies have to keep it for at least five years.</w:t>
      </w:r>
    </w:p>
    <w:p>
      <w:pPr>
        <w:spacing w:after="0" w:line="19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corporate income tax rate in Brazil and Paraguay is 34% and 10%, respectively, for the year ended December 31, 2020.</w:t>
      </w:r>
    </w:p>
    <w:p>
      <w:pPr>
        <w:spacing w:after="0" w:line="225"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color w:val="auto"/>
        </w:rPr>
        <w:t>The Company’s deferred taxes as of December 31, 2020 and 2019, relate primarily to deferred tax liabilities on acquired intangible assets recognized in connection with Navios Logistics.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20"/>
          </w:cols>
          <w:pgMar w:left="320" w:top="459" w:right="4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54" w:lineRule="auto"/>
        <w:rPr>
          <w:sz w:val="20"/>
          <w:szCs w:val="20"/>
          <w:color w:val="auto"/>
        </w:rPr>
      </w:pPr>
      <w:r>
        <w:rPr>
          <w:rFonts w:ascii="Arial" w:cs="Arial" w:eastAsia="Arial" w:hAnsi="Arial"/>
          <w:sz w:val="18"/>
          <w:szCs w:val="18"/>
          <w:color w:val="auto"/>
        </w:rPr>
        <w:t>As of January 1, 2007, the Company adopted the provisions of FASB for Accounting for Uncertainty in Income Taxes. This guidance requires application of a more likely than not threshold to the recognition and derecognition of uncertain tax positions. This guidance permits the Company to recognize the amount of tax benefit that has a greater that 50% likelihood of being ultimately realized upon settlement. It further requires that a change in judgment related to the expected ultimate resolution of uncertain tax positions be recognized in earnings in the quarter of such change. Kleimar’s open tax years are 2019 and onwards. Argentinean companies have open tax years ranging from 2014 and onwards and Paraguayan and Brazilian companies have open tax years ranging from 2016 and onwards. In relation to these open tax years, the Company believes that there are no material uncertain tax positions.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121"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The following discussion addresses certain U.S. federal income tax considerations applicable to us and to the purchase, ownership and disposition of our common stock. The discussion is based on the U.S. Internal Revenue Code of 1986, as amended (the “Code”), judicial decisions, administrative pronouncements, and existing and proposed regulations issued by the U.S. Treasury (the “Treasury Regulations”), all of which are subject to change, possibly with retroactive effect. Changes in these authorities may cause the tax consequences to vary substantially from the consequences described below. No party has sought or will seek any rulings from the U.S. Internal Revenue Service (the “IRS”) with respect to the U.S. federal income tax consequences discussed below. The discussion below is not in any way binding on the IRS or the courts or in any way an assurance that the U.S. federal income tax consequences discussed herein will be accepted by the IRS or the courts.</w:t>
      </w:r>
    </w:p>
    <w:p>
      <w:pPr>
        <w:spacing w:after="0" w:line="17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U.S. federal income tax consequences to a beneficial owner of our common stock may vary depending on such beneficial owner’s particular situation or status. This discussion is limited to beneficial owners of our common stock who hold our common stock as capital assets, and it does not address aspects of U.S. federal income taxation that may be relevant to persons who are subject to special treatment under U.S. federal income tax laws, including but not limited to: dealers in securities; banks and other financial institutions; insurance companies; tax-exempt entities, plans or accounts; persons holding our common stock as part of a “hedge,” “straddle” or other risk reduction transaction; partnerships or other pass-through entities (or investors in such entities); U.S. persons whose functional currency is not the U.S. dollar; persons that actually or constructively own 10.0% or more (by voting power or value) of our outstanding stock; U.S. expatriates; persons that are accrual method taxpayers required to accelerate the recognition of any item of gross income for U.S. federal income tax purposes as a result of such income being recognized on an applicable financial statement; and persons subject to alternative minimum tax. The following discussion is for general information purposes only and does not address any U.S. state or local tax matters, any non-U.S. tax matters, or any U.S. federal taxes other than income taxes (such as estate and gift taxes or the Medicare tax on certain investment income).</w:t>
      </w:r>
    </w:p>
    <w:p>
      <w:pPr>
        <w:spacing w:after="0" w:line="182"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U.S. Holders (as defined below) that use an accrual method of accounting for U.S. federal income tax purposes generally are required to include certain amounts in income no later than the time such amounts are reflected on certain applicable financial statements. The application of this rule may require the accrual of income earlier than would be the case under the general U.S. federal income tax rules described below. U.S. Holders that use an accrual method of accounting for U.S. federal income tax purposes should consult with their tax advisors regarding the potential applicability of this rule to their particular situation.</w:t>
      </w:r>
    </w:p>
    <w:p>
      <w:pPr>
        <w:spacing w:after="0" w:line="188" w:lineRule="exact"/>
        <w:rPr>
          <w:sz w:val="20"/>
          <w:szCs w:val="20"/>
          <w:color w:val="auto"/>
        </w:rPr>
      </w:pPr>
    </w:p>
    <w:p>
      <w:pPr>
        <w:ind w:left="120" w:right="500" w:firstLine="440"/>
        <w:spacing w:after="0" w:line="342" w:lineRule="auto"/>
        <w:rPr>
          <w:sz w:val="20"/>
          <w:szCs w:val="20"/>
          <w:color w:val="auto"/>
        </w:rPr>
      </w:pPr>
      <w:r>
        <w:rPr>
          <w:rFonts w:ascii="Arial" w:cs="Arial" w:eastAsia="Arial" w:hAnsi="Arial"/>
          <w:sz w:val="16"/>
          <w:szCs w:val="16"/>
          <w:color w:val="auto"/>
        </w:rPr>
        <w:t>You are encouraged to consult your own tax advisor regarding the particular U.S. federal, state and local and non-U.S. income and other tax consequences applicable to us and to the purchase, ownership and disposition of our common stock that may be applicable to you.</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Federal Income Taxation of the Company</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of Our Shipping Income</w:t>
      </w:r>
    </w:p>
    <w:p>
      <w:pPr>
        <w:spacing w:after="0" w:line="121"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Navios Holdings is incorporated under the laws of the Marshall Islands. Accordingly, we take the position that Navios Holdings is taxed as a foreign corporation by the U.S., and the remainder of this discussion assumes the correctness of this position. If Navios Holdings were taxed as a U.S. corporation, it could be subject to substantially greater U.S. federal income tax than contemplated below. See “Risk Factors—Tax Risks— Navios Maritime Holdings Inc. may be taxed as a U.S. corporation.”</w:t>
      </w:r>
    </w:p>
    <w:p>
      <w:pPr>
        <w:spacing w:after="0" w:line="187" w:lineRule="exact"/>
        <w:rPr>
          <w:sz w:val="20"/>
          <w:szCs w:val="20"/>
          <w:color w:val="auto"/>
        </w:rPr>
      </w:pPr>
    </w:p>
    <w:p>
      <w:pPr>
        <w:ind w:left="120" w:right="220" w:firstLine="440"/>
        <w:spacing w:after="0" w:line="287" w:lineRule="auto"/>
        <w:rPr>
          <w:sz w:val="20"/>
          <w:szCs w:val="20"/>
          <w:color w:val="auto"/>
        </w:rPr>
      </w:pPr>
      <w:r>
        <w:rPr>
          <w:rFonts w:ascii="Arial" w:cs="Arial" w:eastAsia="Arial" w:hAnsi="Arial"/>
          <w:sz w:val="16"/>
          <w:szCs w:val="16"/>
          <w:color w:val="auto"/>
        </w:rPr>
        <w:t>Subject to the discussion of “effectively connected” income below, unless exempt from U.S. federal income tax under the rules contained in Section 883 of the Code and the Treasury Regulations promulgated thereunder, a non-U.S. corporation is subject to a 4.0% U.S. federal income tax in respect of its U.S.-source gross shipping income (without allowance for deductions). For this purpose, U.S.-source gross shipping income includes</w:t>
      </w:r>
    </w:p>
    <w:p>
      <w:pPr>
        <w:spacing w:after="0" w:line="2"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50.0% of the shipping income that is attributable to transportation that begins or ends (but that does not both begin and end) in the U.S. Shipping income attributable to transportation that both begins and ends in the U.S. is considered to be 100.0% U.S.-source. Shipping income attributable to transportation exclusively between non-U.S. destinations is considered to be 100.0% non-U.S. source and generally is not subject to U.S. federal income tax. “Shipping income” means income that is derived from the use of vessels, the hiring or leasing of vessels for use on a time, voyage or bareboat charter basis, the participation in a pool, partnership, strategic alliance, joint operating agreement, code sharing agreement or other joint venture it directly or indirectly owns or participates in that generates such income, or the performance of services directly related to these uses.</w:t>
      </w:r>
    </w:p>
    <w:p>
      <w:pPr>
        <w:sectPr>
          <w:pgSz w:w="11900" w:h="16838" w:orient="portrait"/>
          <w:cols w:equalWidth="0" w:num="1">
            <w:col w:w="11120"/>
          </w:cols>
          <w:pgMar w:left="320" w:top="459" w:right="459" w:bottom="1440" w:gutter="0" w:footer="0" w:header="0"/>
        </w:sectPr>
      </w:pP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144</w:t>
      </w:r>
    </w:p>
    <w:p>
      <w:pPr>
        <w:sectPr>
          <w:pgSz w:w="11900" w:h="16838" w:orient="portrait"/>
          <w:cols w:equalWidth="0" w:num="1">
            <w:col w:w="11120"/>
          </w:cols>
          <w:pgMar w:left="320" w:top="459" w:right="459" w:bottom="1440" w:gutter="0" w:footer="0" w:header="0"/>
          <w:type w:val="continuous"/>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Under Section 883 of the Code and the Treasury Regulations promulgated thereunder, a non-U.S. corporation will be exempt from U.S. federal income tax on its U.S.-source shipping income if the following three requirements are satisfied:</w:t>
      </w:r>
    </w:p>
    <w:p>
      <w:pPr>
        <w:spacing w:after="0" w:line="76" w:lineRule="exact"/>
        <w:rPr>
          <w:sz w:val="20"/>
          <w:szCs w:val="20"/>
          <w:color w:val="auto"/>
        </w:rPr>
      </w:pPr>
    </w:p>
    <w:p>
      <w:pPr>
        <w:ind w:left="1080" w:right="220" w:hanging="424"/>
        <w:spacing w:after="0" w:line="277"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It is organized in a jurisdiction outside the United States that grants an “equivalent exemption” from tax to corporations organized in the United States with respect to the types of U.S.-source shipping income that we earn;</w:t>
      </w:r>
    </w:p>
    <w:p>
      <w:pPr>
        <w:spacing w:after="0" w:line="75" w:lineRule="exact"/>
        <w:rPr>
          <w:rFonts w:ascii="Arial" w:cs="Arial" w:eastAsia="Arial" w:hAnsi="Arial"/>
          <w:sz w:val="18"/>
          <w:szCs w:val="18"/>
          <w:color w:val="auto"/>
        </w:rPr>
      </w:pPr>
    </w:p>
    <w:p>
      <w:pPr>
        <w:ind w:left="1080" w:right="40" w:hanging="424"/>
        <w:spacing w:after="0" w:line="286" w:lineRule="auto"/>
        <w:tabs>
          <w:tab w:leader="none" w:pos="10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Either (i) its stock is “primarily traded” and “regularly traded” on an “established securities market” in the United States, in its country of organization, or in another country that grants an “equivalent exemption” to U.S. corporations or (ii) more than 50.0% of the value of its stock is owned, directly or indirectly, by (a) individuals who are “residents” of foreign countries that grants an “equivalent exemption,” (b) non-U.S. corporations organized in foreign countries that grant an “equivalent exemption” and that meet the test described in (i), and/or</w:t>
      </w:r>
    </w:p>
    <w:p>
      <w:pPr>
        <w:spacing w:after="0" w:line="1"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(c) certain other qualified shareholders described in the Treasury Regulations promulgated under Section 883; and</w:t>
      </w:r>
    </w:p>
    <w:p>
      <w:pPr>
        <w:spacing w:after="0" w:line="116" w:lineRule="exact"/>
        <w:rPr>
          <w:rFonts w:ascii="Arial" w:cs="Arial" w:eastAsia="Arial" w:hAnsi="Arial"/>
          <w:sz w:val="16"/>
          <w:szCs w:val="16"/>
          <w:color w:val="auto"/>
        </w:rPr>
      </w:pPr>
    </w:p>
    <w:p>
      <w:pPr>
        <w:ind w:left="1080" w:hanging="424"/>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It meets certain substantiation and reporting requirements.</w:t>
      </w:r>
    </w:p>
    <w:p>
      <w:pPr>
        <w:spacing w:after="0" w:line="22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believe that we and each of our subsidiaries qualifies and will continue to qualify for the foreseeable future for this statutory tax exemption under Section 883 with respect to our U.S.-source shipping income, provided that our common stock continues to be listed on the NYSE and represents more than 50.0% of the total combined voting power of all classes of our stock entitled to vote and of the total value of our stock, and less than 50.0% of our common stock is owned, actually or constructively under specified stock attribution rules, on more than half the number of days in the relevant year by persons who each own 5.0% or more of the vote and value of our common stock. However, no assurance can be given that we will satisfy these requirements or qualify for this exemption.</w:t>
      </w:r>
    </w:p>
    <w:p>
      <w:pPr>
        <w:spacing w:after="0" w:line="192"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If we or our subsidiaries are not entitled to this exemption under Section 883 for any taxable year, we or our subsidiaries would be subject for those years to the 4.0% U.S. federal income tax on our gross U.S.-source shipping income described above, subject to the discussion of “effectively connected” income below. We expect that no more than a small portion of our gross shipping income would be treated as U.S.-source and we expect that the effective rate of U.S. federal income tax on our gross shipping income would be significantly below 1.0%.</w:t>
      </w:r>
    </w:p>
    <w:p>
      <w:pPr>
        <w:spacing w:after="0" w:line="171" w:lineRule="exact"/>
        <w:rPr>
          <w:sz w:val="20"/>
          <w:szCs w:val="20"/>
          <w:color w:val="auto"/>
        </w:rPr>
      </w:pPr>
    </w:p>
    <w:p>
      <w:pPr>
        <w:jc w:val="both"/>
        <w:ind w:left="120" w:right="100" w:firstLine="440"/>
        <w:spacing w:after="0" w:line="275" w:lineRule="auto"/>
        <w:rPr>
          <w:sz w:val="20"/>
          <w:szCs w:val="20"/>
          <w:color w:val="auto"/>
        </w:rPr>
      </w:pPr>
      <w:r>
        <w:rPr>
          <w:rFonts w:ascii="Arial" w:cs="Arial" w:eastAsia="Arial" w:hAnsi="Arial"/>
          <w:sz w:val="17"/>
          <w:szCs w:val="17"/>
          <w:color w:val="auto"/>
        </w:rPr>
        <w:t>To the extent exemption under Section 883 is unavailable, our U.S.-source gross shipping income that is considered to be “effectively connected” with the conduct of a U.S. trade or business (net of applicable deductions) would be subject to the U.S. federal corporate income tax currently imposed at a flat rate of 21.0%, but would not be subject to the 4.0% tax discussed above. In addition, we may be subject to the 30.0% U.S. “branch profits” tax on any earnings and profits effectively connected with the conduct of such trade or business, as determined after allowance for certain adjustments, and on certain interest paid or deemed paid that is attributable to the conduct of such U.S. trade or business.</w:t>
      </w:r>
    </w:p>
    <w:p>
      <w:pPr>
        <w:spacing w:after="0" w:line="176" w:lineRule="exact"/>
        <w:rPr>
          <w:sz w:val="20"/>
          <w:szCs w:val="20"/>
          <w:color w:val="auto"/>
        </w:rPr>
      </w:pPr>
    </w:p>
    <w:p>
      <w:pPr>
        <w:ind w:left="120" w:right="340" w:firstLine="440"/>
        <w:spacing w:after="0" w:line="342" w:lineRule="auto"/>
        <w:rPr>
          <w:sz w:val="20"/>
          <w:szCs w:val="20"/>
          <w:color w:val="auto"/>
        </w:rPr>
      </w:pPr>
      <w:r>
        <w:rPr>
          <w:rFonts w:ascii="Arial" w:cs="Arial" w:eastAsia="Arial" w:hAnsi="Arial"/>
          <w:sz w:val="16"/>
          <w:szCs w:val="16"/>
          <w:color w:val="auto"/>
        </w:rPr>
        <w:t>Our U.S.-source shipping income attributable to time or voyage charters (which currently represent, and are expected to continue to represent, substantially all of our shipping income) would be considered “effectively connected” with the conduct of a U.S. trade or business only if:</w:t>
      </w:r>
    </w:p>
    <w:p>
      <w:pPr>
        <w:spacing w:after="0" w:line="29" w:lineRule="exact"/>
        <w:rPr>
          <w:sz w:val="20"/>
          <w:szCs w:val="20"/>
          <w:color w:val="auto"/>
        </w:rPr>
      </w:pPr>
    </w:p>
    <w:p>
      <w:pPr>
        <w:ind w:left="1080" w:hanging="424"/>
        <w:spacing w:after="0"/>
        <w:tabs>
          <w:tab w:leader="none" w:pos="108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we had, or were considered to have, a fixed place of business in the U.S. involved in the earning of such shipping income; and</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Substantially all of our U.S.-source shipping were attributable to regularly scheduled transportation.</w:t>
      </w:r>
    </w:p>
    <w:p>
      <w:pPr>
        <w:spacing w:after="0" w:line="225" w:lineRule="exact"/>
        <w:rPr>
          <w:sz w:val="20"/>
          <w:szCs w:val="20"/>
          <w:color w:val="auto"/>
        </w:rPr>
      </w:pPr>
    </w:p>
    <w:p>
      <w:pPr>
        <w:jc w:val="both"/>
        <w:ind w:left="120" w:right="160" w:firstLine="440"/>
        <w:spacing w:after="0" w:line="311" w:lineRule="auto"/>
        <w:rPr>
          <w:sz w:val="20"/>
          <w:szCs w:val="20"/>
          <w:color w:val="auto"/>
        </w:rPr>
      </w:pPr>
      <w:r>
        <w:rPr>
          <w:rFonts w:ascii="Arial" w:cs="Arial" w:eastAsia="Arial" w:hAnsi="Arial"/>
          <w:sz w:val="16"/>
          <w:szCs w:val="16"/>
          <w:color w:val="auto"/>
        </w:rPr>
        <w:t>We do not have, or intend to have or permit circumstances that would result in us having, such a fixed place of business in the U.S. or any vessel sailing to or from the U.S. on a regularly scheduled basis. Based on the foregoing and on the expected mode of our shipping operations and activities, we believe that none of our U.S.-source shipping income will be “effectively connected” with the conduct of a U.S. trade or business.</w:t>
      </w:r>
    </w:p>
    <w:p>
      <w:pPr>
        <w:spacing w:after="0" w:line="149"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In addition, income attributable to transportation that both begins and ends in the U.S. is not subject to the tax rules described above. Such income is subject to either a 30.0% gross-basis tax or to U.S. federal corporate income tax on net income at a flat rate of 21.0% (and the branch profits tax discussed above). Although there can be no assurance, we do not expect to engage in transportation that produces shipping income of this type.</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20"/>
          </w:cols>
          <w:pgMar w:left="320" w:top="459" w:right="4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of Gain on Our Sale of Vessels</w:t>
      </w:r>
    </w:p>
    <w:p>
      <w:pPr>
        <w:spacing w:after="0" w:line="121"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On the sale of a vessel that has produced “effectively connected” income (as discussed above), we could be subject to net basis U.S. federal corporate income tax as well as branch profits tax with respect to the gain recognized up to the amount of certain prior deductions for depreciation that reduced effectively connected income. Otherwise, we should not be subject to U.S. federal income tax with respect to gain realized on the sale of a vessel, provided the sale is considered to occur outside of the U.S. (as determined under U.S. tax principles) and the gain is not attributable to an office or other fixed place of business maintained by us in the U.S. under U.S. federal income tax principles.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of U.S. Holders of our Common Stock</w:t>
      </w:r>
    </w:p>
    <w:p>
      <w:pPr>
        <w:spacing w:after="0" w:line="12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following discussion is limited to persons that are “U.S. holders” of our common stock. For purposes of this discussion, a “U.S. holder” is a beneficial owner of our common stock that is:</w:t>
      </w:r>
    </w:p>
    <w:p>
      <w:pPr>
        <w:spacing w:after="0" w:line="76" w:lineRule="exact"/>
        <w:rPr>
          <w:sz w:val="20"/>
          <w:szCs w:val="20"/>
          <w:color w:val="auto"/>
        </w:rPr>
      </w:pPr>
    </w:p>
    <w:p>
      <w:pPr>
        <w:ind w:left="1080" w:hanging="424"/>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 individual U.S. citizen or resident (as determined for U.S. federal income tax purposes);</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 corporation (or other entity that is classified as a corporation for U.S. federal income tax purposes) organized under the laws of the U.S. or any of its political subdivisions;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30" w:lineRule="exact"/>
        <w:rPr>
          <w:rFonts w:ascii="Arial" w:cs="Arial" w:eastAsia="Arial" w:hAnsi="Arial"/>
          <w:sz w:val="18"/>
          <w:szCs w:val="18"/>
          <w:color w:val="auto"/>
        </w:rPr>
      </w:pPr>
    </w:p>
    <w:p>
      <w:pPr>
        <w:jc w:val="both"/>
        <w:ind w:left="1080" w:right="200" w:hanging="424"/>
        <w:spacing w:after="0" w:line="263"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 trust if a court within the U.S. is able to exercise primary supervision over the administration of the trust and one or more U.S. persons (as determined for U.S. federal income tax purposes) have the authority to control all substantial decisions of that trust, or if the trust has validly elected to be treated as a U.S. trust.</w:t>
      </w:r>
    </w:p>
    <w:p>
      <w:pPr>
        <w:spacing w:after="0" w:line="184"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If an entity treated for U.S. federal income tax purposes as a partnership holds our common stock, the tax treatment of a partner will generally depend upon the status of the partner, upon the activities of the partnership and certain determinations made at the partner level. If you are a partner in a partnership considering an investment in our common stock, you should consult your tax advisor.</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Distributions on Our Common Stock</w:t>
      </w:r>
    </w:p>
    <w:p>
      <w:pPr>
        <w:spacing w:after="0" w:line="121"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Subject to the discussion of “passive foreign investment companies” below, any distributions that you receive with respect to our common stock generally will constitute dividends, which may be taxable as ordinary income or “qualified dividend income” as described below, to the extent of our current or accumulated earnings and profits (as determined under U.S. federal income tax principles). Distributions in excess of our earnings and profits will be treated first as a non-taxable return of capital to the extent of your tax basis in our common stock and thereafter as gain from the sale of such stock. We do not maintain calculations of earnings and profits under U.S. federal income tax principles. Therefore, you should expect that a distribution with respect to your common stock generally will be treated as dividend income, even if that distribution might otherwise be treated as a non-taxable return of capital or as capital gain under the rules described above.</w:t>
      </w:r>
    </w:p>
    <w:p>
      <w:pPr>
        <w:spacing w:after="0" w:line="17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Because we are not a U.S. corporation, if you are a corporation (or other entity taxable as a corporation for U.S. federal income tax purposes), you will not be entitled to claim a dividends-received deduction with respect to any distributions you receive from us. Dividends paid with respect to our common stock will generally be treated as “passive category income” for purposes of computing allowable foreign tax credits for U.S. foreign tax credit purposes.</w:t>
      </w:r>
    </w:p>
    <w:p>
      <w:pPr>
        <w:spacing w:after="0" w:line="187"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If you are an individual, trust or estate, dividends you receive from us should be treated as “qualified dividend income,” provided that: (i) our common stock is readily tradable on an established securities market in the U.S., which we expect to be the case, provided that our common stock continues to be listed on the NYSE; (ii) we are not a “passive foreign investment company” for the taxable year during which the dividend is paid or the immediately preceding taxable year (see the discussion below under “—Passive Foreign Investment Company Status”); (iii) you have owned our common stock for more than 60 days in the 121-day period beginning 60 days before the date on which the common stock become ex-dividend (and have not entered into certain risk limiting transactions with respect to such common stock); (iv) you are not under an obligation to make related payments with respect to positions in substantially similar or related property; and (v) you do not treat the dividends as “investment income” for purposes of the investment interest deduction.</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Qualified dividend income is taxed at the preferential rates applicable to long-term capital gain, depending on the income level of the taxpayer.</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Dividends you receive from us that are not eligible for the preferential rates will be taxed at the ordinary income rates.</w:t>
      </w:r>
    </w:p>
    <w:p>
      <w:pPr>
        <w:spacing w:after="0" w:line="21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Special rules may apply to any amounts received in respect of our common stock that are treated as “extraordinary dividends.” Generally, an extraordinary dividend is a dividend with respect to a share of our common stock in an amount that is equal to or in excess of 10.0% of your adjusted tax basis (or fair market value in certain circumstances) in such share of common stock. In addition, extraordinary dividends include dividends received within a one-year period that, in the aggregate, equal or exceed 20.0% of your adjusted tax basis (or fair market value in certain circumstances). If we pay an extraordinary dividend on any shares of our common stock that is treated as “qualified dividend income,” and you are an individual, estate or trust, then any loss you derive from a subsequent sale or exchange of such shares of our common stock will be treated as long-term capital loss to the extent of such dividend.</w:t>
      </w:r>
    </w:p>
    <w:p>
      <w:pPr>
        <w:sectPr>
          <w:pgSz w:w="11900" w:h="16838" w:orient="portrait"/>
          <w:cols w:equalWidth="0" w:num="1">
            <w:col w:w="11120"/>
          </w:cols>
          <w:pgMar w:left="320" w:top="459" w:right="459" w:bottom="1440" w:gutter="0" w:footer="0" w:header="0"/>
        </w:sectPr>
      </w:pP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146</w:t>
      </w:r>
    </w:p>
    <w:p>
      <w:pPr>
        <w:sectPr>
          <w:pgSz w:w="11900" w:h="16838" w:orient="portrait"/>
          <w:cols w:equalWidth="0" w:num="1">
            <w:col w:w="11120"/>
          </w:cols>
          <w:pgMar w:left="320" w:top="459" w:right="459" w:bottom="1440" w:gutter="0" w:footer="0" w:header="0"/>
          <w:type w:val="continuous"/>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 Exchange or Other Disposition of Common Stock</w:t>
      </w:r>
    </w:p>
    <w:p>
      <w:pPr>
        <w:spacing w:after="0" w:line="121"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Provided that we are not a passive foreign investment company for any taxable year during which you hold our common stock, you generally will recognize capital gain or loss upon a sale, exchange or other disposition of our common stock in an amount equal to the difference, if any, between the amount realized by you from such sale, exchange or other disposition and your tax basis in such common stock. Any such gain or loss will be treated as long-term capital gain or loss if your holding period is greater than one year at the time of the sale, exchange or other disposition. Any such capital gain or loss will generally be treated as U.S. source income or loss, as applicable, for U.S. foreign tax credit purposes. If you are an individual, trust or estate, your long-term capital gains are currently subject to tax at preferential rates. Your ability to deduct capital losses against ordinary income is subject to limitations.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Passive Foreign Investment Company Status</w:t>
      </w:r>
    </w:p>
    <w:p>
      <w:pPr>
        <w:spacing w:after="0" w:line="121"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Special U.S. federal income tax rules apply to you if you hold stock in a non-U.S. corporation that is classified as a passive foreign investment company (“PFIC”) for U.S. federal income tax purposes. In general, we will be a PFIC for any taxable year in which, after applying certain look-through rules, either:</w:t>
      </w:r>
    </w:p>
    <w:p>
      <w:pPr>
        <w:spacing w:after="0" w:line="89" w:lineRule="exact"/>
        <w:rPr>
          <w:sz w:val="20"/>
          <w:szCs w:val="20"/>
          <w:color w:val="auto"/>
        </w:rPr>
      </w:pPr>
    </w:p>
    <w:p>
      <w:pPr>
        <w:ind w:left="1080" w:right="400" w:hanging="424"/>
        <w:spacing w:after="0" w:line="277"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at least 75.0% of our gross income for such taxable year consists of “passive income” (e.g., dividends, interest, capital gains and rents derived other than in the active conduct of a rental business); or</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at least 50.0% of the quarterly average value of our assets during such taxable year consists of “passive assets” (i.e., assets that produce, or are held for the production of, passive income).</w:t>
      </w:r>
    </w:p>
    <w:p>
      <w:pPr>
        <w:spacing w:after="0" w:line="170"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For purposes of determining whether we are a PFIC, we will be treated as earning and owning our proportionate share of the income and assets, respectively, of any of our subsidiary corporations in which we own at least 25.0% of the value of the subsidiary’s stock. Income we earn, or are deemed to earn, in connection with the performance of services will not constitute passive income. By contrast, rental income will generally constitute passive income (unless we are treated under certain special rules as deriving our rental income in the active conduct of a trade or business).</w:t>
      </w:r>
    </w:p>
    <w:p>
      <w:pPr>
        <w:spacing w:after="0" w:line="157"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Based upon our actual and projected income, assets and activities, we believe that we should not be a PFIC for our taxable year ended December 31, 2019 or for subsequent taxable years. However, no assurance can be given as to our current and future PFIC status, because such status requires an annual factual determination based upon the composition of our income and assets for the entire taxable year. The PFIC determination also depends on the application of complex U.S. federal income tax rules concerning the classification of our income and assets for this purpose, and there are legal uncertainties involved in determining whether the income derived from our chartering activities and from our logistics activities constitutes rental income or income derived from the performance of services. In Tidewater Inc. v. United States, 565 F.2d 299 (5th Cir. 2009), the Fifth Circuit held that income derived from certain time chartering activities should be treated as rental income rather than services income for purposes of a foreign sales corporation provision of the Code. The IRS has announced, in an Action on Decision (AOD 2010-001), its nonacquiescence with the court’s holding in the Tidewater case and, at the same time, announced the position of the IRS that the vessel time charter agreements at issue in that case should be treated as service contracts. The IRS’ AOD, however, is an administrative action that cannot be relied upon or otherwise cited as precedent by taxpayers. We have not sought, and we do not expect to seek, an IRS ruling on this issue. As a result, the IRS or a court could disagree with our position. In addition, although we intend to conduct our affairs in a manner to avoid, to the extent possible, being classified as a PFIC with respect to any taxable year, we cannot assure you that the nature of our operations, or the nature or composition of our income or assets, will not change in the future, or that we can avoid PFIC status in the future.</w:t>
      </w:r>
    </w:p>
    <w:p>
      <w:pPr>
        <w:spacing w:after="0" w:line="184"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As discussed below, if we are a PFIC for a taxable year during which you actually or constructively own our common stock, you generally would be subject to one of three different U.S. federal income tax regimes, depending on whether or not you make certain elections. Additionally, for each year during which we are treated as a PFIC and you actually or constructively own common stock you generally will be required to file IRS Form 8621 with your U.S. federal income tax return to report certain information concerning your ownership of our common stock. In the event that a person that is required to file IRS Form 8621 does not file such form, a substantial penalty may apply and, in addition, the statute of limitations on the assessment and collection of U.S. federal income taxes of such person for the related tax year may not close until three years after the date that the required information is filed.</w:t>
      </w:r>
    </w:p>
    <w:p>
      <w:pPr>
        <w:spacing w:after="0" w:line="195"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The PFIC rules are complex, and you are encouraged to consult your own tax advisor regarding the PFIC rules, including the annual PFIC reporting requirement.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20"/>
          </w:cols>
          <w:pgMar w:left="320" w:top="459" w:right="4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of U.S. Holders That Make a Timely QEF Election</w:t>
      </w:r>
    </w:p>
    <w:p>
      <w:pPr>
        <w:spacing w:after="0" w:line="121"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If we were treated as a PFIC for any taxable year during which you actually or constructively own our common stock, and if you make a timely election to treat us as a “Qualifying Electing Fund” for U.S. tax purposes (a “QEF Election”), you would be required to report each year your pro rata share of our ordinary earnings (as ordinary income) and our net capital gain (as long-term capital gain), if any, for our taxable year that ends with or within your taxable year, regardless of whether we make any distributions to you. Such income inclusions would not be eligible for the preferential tax rates applicable to qualified dividend income. Your adjusted tax basis in our common stock would be increased to reflect such taxed but undistributed earnings and profits. Distributions of earnings and profits that had previously been taxed would result in a corresponding reduction in your adjusted tax basis in our common stock and would not be taxed again once distributed. You would generally recognize capital gain or loss on the sale, exchange or other disposition of our common stock. Even if you make a QEF Election for one of our taxable years, if we were a PFIC for a prior taxable year during which you held our common stock and for which you did not make a timely QEF Election, you would also be subject to the more adverse rules described below under “—Taxation of U.S. Holders That Make No Election.” Additionally, to the extent any of our subsidiaries is a PFIC, your election to treat us as a “Qualifying Electing Fund” would not be effective with respect to your deemed ownership of the stock of such subsidiary and a separate QEF Election with respect to such subsidiary would be required.</w:t>
      </w:r>
    </w:p>
    <w:p>
      <w:pPr>
        <w:spacing w:after="0" w:line="179"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You would make a QEF Election by completing and filing IRS Form 8621 with your U.S. federal income tax return for the year for which the election is made in accordance with the relevant instructions. If we were to become aware that we were a PFIC for any taxable year, we would notify all U.S. holders of such treatment and would provide all necessary information to any U.S. holder who requests such information in order to make the QEF Election described above with respect to us and the relevant subsidiaries.</w:t>
      </w:r>
    </w:p>
    <w:p>
      <w:pPr>
        <w:spacing w:after="0" w:line="18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A QEF Election generally will not have any effect with respect to any taxable year for which we are not a PFIC, but will remain in effect with respect to any subsequent taxable year for which we are a PFIC. It should be noted that the beneficial effect of a QEF Election may be substantially diminished if such election is not made in the first year of your holding period in which we are a PFIC. If some instances, you may be permitted to make a QEF election that is retroactive to the beginning of your holding period if we unexpectedly are treated as a PFIC.</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of U.S. Holders That Make a Timely “Mark-to-Market” Election</w:t>
      </w:r>
    </w:p>
    <w:p>
      <w:pPr>
        <w:spacing w:after="0" w:line="121"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Alternatively, if we were to be treated as a PFIC for any taxable year during which you actually or constructively own our common stock and, our common stock is treated as “marketable stock,” you would be allowed to make a “mark-to-market” election with respect to our common stock, provided you complete and file IRS Form 8621 with your U.S. federal income tax return for the year for which the election is made in accordance with the relevant instructions. If that election is made, you generally would include as ordinary income in each taxable year the excess, if any, of the fair market value of our common stock at the end of the taxable year over your adjusted tax basis in our common stock. You also would be permitted an ordinary loss in respect of the excess, if any, of your adjusted tax basis in our common stock over the fair market value of such common stock at the end of the taxable year (but only to the extent of the net amount of gain previously included in income as a result of the mark-to-market election). Your tax basis in our common stock would be adjusted to reflect any such income or loss amount. Gain realized on the sale, exchange or other disposition of our common stock would be treated as ordinary income, and any loss realized on the sale, exchange or other disposition of the common stock would be treated as ordinary loss to the extent that such loss does not exceed the net mark-to-market gains you previously included. However, to the extent any of our subsidiaries is a PFIC, your “mark-to-market” election with respect to our common stock would not apply to your deemed ownership of the stock of such subsidiary. This may significantly limit the beneficial effect of making a mark-to-market election.</w:t>
      </w:r>
    </w:p>
    <w:p>
      <w:pPr>
        <w:spacing w:after="0" w:line="168"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It should be noted that the beneficial effect of a “mark-to-market” election may be substantially diminished if such election is not made in the first year of your holding period in which we are a PFIC.</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of U.S. Holders That Make No Election</w:t>
      </w:r>
    </w:p>
    <w:p>
      <w:pPr>
        <w:spacing w:after="0" w:line="121"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Finally, if we were treated as a PFIC for any taxable year during which you actually or constructively own our common stock, and you do not make either a QEF Election or a “mark-to-market” election for that year, you would be subject to special rules with respect to (a) any excess distribution (that is, the portion of any distributions you receive on our common stock in a taxable year in excess of 125.0% of the average annual distributions you received in the three preceding taxable years, or, if shorter, your holding period for our common stock) and (b) any gain realized on the sale, exchange or other disposition of our common stock. Under these special rules: (i) the excess distribution or gain would be allocated ratably over your aggregate holding period for our common stock (ii) the amount allocated to the current taxable year would be taxed as ordinary income; (iii) the amount allocated to each of the other taxable years would be subject to tax at the highest rate of tax in effect for the applicable class of taxpayer for that year; and (iv) an interest charge for the deemed deferral benefit would be imposed with respect to the resulting tax attributable to each such other taxable year.</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20"/>
          </w:cols>
          <w:pgMar w:left="320" w:top="459" w:right="4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If you died while owning our common stock, your successor generally would not receive a step-up in tax basis with respect to such shares for U.S.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tax purposes.</w:t>
      </w:r>
    </w:p>
    <w:p>
      <w:pPr>
        <w:spacing w:after="0" w:line="211"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If we are treated as a PFIC during any taxable year during your holding period, unless you make a timely QEF Election, or a timely “mark-to-market” election, for the first taxable year in which you hold our common stock, we will continue to be treated as a PFIC for all succeeding years during which you are treated as a direct or indirect U.S. holder, even if we are not a PFIC for such years. You are encouraged to consult your own tax advisor with respect to any available elections that may be applicable in such a situation, as well as the IRS information and filing obligations that may arise as a result of the ownership of shares in a PFIC.</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of Non-U.S. Holders</w:t>
      </w:r>
    </w:p>
    <w:p>
      <w:pPr>
        <w:spacing w:after="0" w:line="121"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You are a “non-U.S. holder” if you are a beneficial owner of our common stock (other than an entity or arrangement treated as a partnership for U.S. federal income tax purposes) and you are not a U.S. holder.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Distributions on Our Common Stock</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You generally will not be subject to U.S. federal income or withholding taxes on a distribution with respect to our common stock, unless the income arising from such distribution is effectively connected with your conduct of a trade or business in the U.S. If you are entitled to the benefits of an applicable income tax treaty with respect to that income, such income generally is taxable in the U.S. only if it is attributable to a permanent establishment maintained by you in the U.S.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 Exchange or Other Disposition of Our Common Stock</w:t>
      </w:r>
    </w:p>
    <w:p>
      <w:pPr>
        <w:spacing w:after="0" w:line="12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You generally will not be subject to U.S. federal income tax or withholding tax on any gain realized upon the sale, exchange or other disposition of our common stock, unless:</w:t>
      </w:r>
    </w:p>
    <w:p>
      <w:pPr>
        <w:spacing w:after="0" w:line="76" w:lineRule="exact"/>
        <w:rPr>
          <w:sz w:val="20"/>
          <w:szCs w:val="20"/>
          <w:color w:val="auto"/>
        </w:rPr>
      </w:pPr>
    </w:p>
    <w:p>
      <w:pPr>
        <w:ind w:left="1080" w:right="20" w:hanging="424"/>
        <w:spacing w:after="0" w:line="263"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gain is effectively connected with your conduct of a trade or business in the U.S. (and, if you are entitled to the benefits of an applicable income tax treaty with respect to that gain, that gain is attributable to a permanent establishment maintained by you in the U.S.); or</w:t>
      </w:r>
    </w:p>
    <w:p>
      <w:pPr>
        <w:spacing w:after="0" w:line="89"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you are an individual who is present in the U.S. for 183 days or more during the taxable year of disposition and certain other conditions are met.</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Gain that is effectively connected with your conduct of a trade or business in the U.S. (or so treated) generally will be subject to U.S. federal income tax, net of certain deductions, at regular U.S. federal income tax rates. If you are a corporate non-U.S. holder, your earnings and profits that are attributable to the effectively connected income (subject to certain adjustments) may be subject to an additional U.S. branch profits tax at a rate of 30.0% (or such lower rate as may be specified by an applicable income tax treaty).</w:t>
      </w:r>
    </w:p>
    <w:p>
      <w:pPr>
        <w:spacing w:after="0" w:line="18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Gain described in clause the second bullet point above (net of certain U.S.-source losses) will be taxed at a flat rate of 30.0% (or such lower rate as may be specified by an applicable tax treaty).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Backup Withholding and Information Reporting</w:t>
      </w:r>
    </w:p>
    <w:p>
      <w:pPr>
        <w:spacing w:after="0" w:line="121"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In general, if you are a non-corporate U.S. holder, distributions and proceeds from the disposition of our common stock may be subject to information reporting requirements. These payments to a non-corporate U.S. holder may also be subject to backup withholding tax if the non-corporate U.S. holder: (i) fails to provide an accurate taxpayer identification number; (ii) is notified by the IRS that it has become subject to backup withholding due to a prior failure to report all interest or distributions required to be shown on its federal income tax returns; or (iii) fails to comply with applicable certification requirements.</w:t>
      </w:r>
    </w:p>
    <w:p>
      <w:pPr>
        <w:spacing w:after="0" w:line="188"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If you are a non-U.S. holder, you may be required to establish your exemption from information reporting and backup withholding by certifying your non-U.S. status on IRS Form W-8BEN, W-8BEN-E, W-8ECI or W-8IMY, as applicable.</w:t>
      </w:r>
    </w:p>
    <w:p>
      <w:pPr>
        <w:spacing w:after="0" w:line="170"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Backup withholding tax is not an additional tax. Rather, you generally may obtain a refund of any amounts withheld under backup withholding rules that exceed your income tax liability by accurately completing and timely filing a refund claim with the IRS.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20"/>
          </w:cols>
          <w:pgMar w:left="320" w:top="459" w:right="4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 Return Disclosure Requirements</w:t>
      </w:r>
    </w:p>
    <w:p>
      <w:pPr>
        <w:spacing w:after="0" w:line="117" w:lineRule="exact"/>
        <w:rPr>
          <w:sz w:val="20"/>
          <w:szCs w:val="20"/>
          <w:color w:val="auto"/>
        </w:rPr>
      </w:pPr>
    </w:p>
    <w:p>
      <w:pPr>
        <w:ind w:left="120" w:right="80" w:firstLine="440"/>
        <w:spacing w:after="0" w:line="269" w:lineRule="auto"/>
        <w:rPr>
          <w:sz w:val="20"/>
          <w:szCs w:val="20"/>
          <w:color w:val="auto"/>
        </w:rPr>
      </w:pPr>
      <w:r>
        <w:rPr>
          <w:rFonts w:ascii="Arial" w:cs="Arial" w:eastAsia="Arial" w:hAnsi="Arial"/>
          <w:sz w:val="17"/>
          <w:szCs w:val="17"/>
          <w:color w:val="auto"/>
        </w:rPr>
        <w:t>Individual U.S. holders (and to the extent specified in applicable Treasury Regulations, certain individual non-U.S. holders and certain U.S. holders that are entities) that hold certain specified foreign assets with values in excess of certain dollar thresholds are required to report such assets on IRS Form 8938 with their U.S. federal income tax return, subject to certain exceptions (including an exception for foreign assets held in accounts maintained with U.S. financial institutions). Stock in a foreign corporation, including our common stock is a specified foreign asset for this purpose, unless such stock is held in an account maintained with a U.S. financial institution. Substantial penalties apply for failure to properly complete and file Form 8938. You are encouraged to consult your own tax advisor regarding the filing of this form. Additionally, in the event that an individual U.S. holder (and to the extent specified in applicable Treasury Regulations, an individual non-U.S. holder or a U.S. entity) that is required to file IRS Form 8938 does not file such form, a substantial penalty may apply and, in addition, the statute of limitations on the assessment and collection of U.S. federal income taxes of such person for the related tax year may not close until three years after the date that the required information is filed. U.S. holders (including U.S. entities) and non-U.S. holders should consult their own tax advisors regarding their reporting obligations with respect to specified foreign assets.</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 Dividends and paying agents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 Statement by experts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 Documents on display</w:t>
      </w:r>
    </w:p>
    <w:p>
      <w:pPr>
        <w:spacing w:after="0" w:line="117"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We are subject to the informational requirements of the Exchange Act. Accordingly, we are required to file reports and other information with the SEC, including annual reports on Form 20-F and reports on Form 6-K. The SEC maintains an Internet website that contains reports and other information about issuers, like us, that file electronically with the SEC. The address of that website is www.sec.gov.</w:t>
      </w:r>
    </w:p>
    <w:p>
      <w:pPr>
        <w:spacing w:after="0" w:line="165" w:lineRule="exact"/>
        <w:rPr>
          <w:sz w:val="20"/>
          <w:szCs w:val="20"/>
          <w:color w:val="auto"/>
        </w:rPr>
      </w:pPr>
    </w:p>
    <w:p>
      <w:pPr>
        <w:jc w:val="both"/>
        <w:ind w:left="120" w:right="120" w:firstLine="440"/>
        <w:spacing w:after="0" w:line="311" w:lineRule="auto"/>
        <w:rPr>
          <w:sz w:val="20"/>
          <w:szCs w:val="20"/>
          <w:color w:val="auto"/>
        </w:rPr>
      </w:pPr>
      <w:r>
        <w:rPr>
          <w:rFonts w:ascii="Arial" w:cs="Arial" w:eastAsia="Arial" w:hAnsi="Arial"/>
          <w:sz w:val="16"/>
          <w:szCs w:val="16"/>
          <w:color w:val="auto"/>
        </w:rPr>
        <w:t>We also make available on our website, free of charge, our Annual Report and the text of our reports on Form 6-K, including any amendments to these reports, as well as certain other SEC filings, as soon as reasonably practicable after they are electronically filed with or furnished to the SEC. Our website address is www.navios.com. The information contained on our website is not incorporated by reference in this Annual Report.</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 Subsidiary information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11. Quantitative and Qualitative Disclosures about Market Risks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Navios Holdings is exposed to certain risks related to interest rate, foreign currency and charter rate risks.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i w:val="1"/>
          <w:iCs w:val="1"/>
          <w:color w:val="auto"/>
        </w:rPr>
        <w:t xml:space="preserve">Debt Instruments </w:t>
      </w:r>
      <w:r>
        <w:rPr>
          <w:rFonts w:ascii="Arial" w:cs="Arial" w:eastAsia="Arial" w:hAnsi="Arial"/>
          <w:sz w:val="17"/>
          <w:szCs w:val="17"/>
          <w:color w:val="auto"/>
        </w:rPr>
        <w:t>— On December 31, 2020 and 2019, Navios Holdings had a total of $1,612.7 million and $1,581.8 million, respectively, of</w:t>
      </w:r>
      <w:r>
        <w:rPr>
          <w:rFonts w:ascii="Arial" w:cs="Arial" w:eastAsia="Arial" w:hAnsi="Arial"/>
          <w:sz w:val="17"/>
          <w:szCs w:val="17"/>
          <w:i w:val="1"/>
          <w:iCs w:val="1"/>
          <w:color w:val="auto"/>
        </w:rPr>
        <w:t xml:space="preserve"> </w:t>
      </w:r>
      <w:r>
        <w:rPr>
          <w:rFonts w:ascii="Arial" w:cs="Arial" w:eastAsia="Arial" w:hAnsi="Arial"/>
          <w:sz w:val="17"/>
          <w:szCs w:val="17"/>
          <w:color w:val="auto"/>
        </w:rPr>
        <w:t>long-term indebtedness. All of the Company’s debt is U.S. dollar-denominated. The 2022 Senior Secured Notes, the 2022 Notes, the 2024 Notes, the NSM Loan, the $50.0 million NSM Loan, the 2025 Logistics Senior Notes, and two Navios Logistics’ loans bear interest at a fixed rate; the balance of Navios Holdings’ debt bears interest at a floating rate as discussed in “Item 5.B Liquidity and Capital Resources”.</w:t>
      </w:r>
    </w:p>
    <w:p>
      <w:pPr>
        <w:spacing w:after="0" w:line="17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Changes in interest rates for our floating-rate loan facilities would affect their interest rate and related interest expense. As of December 31, 2020, the outstanding amount of the Company’s floating rate loan facilities was $181.9 million. A change in the LIBOR rate of 100 basis points would increase interest expense for the year ended December 31, 2020, by $2.6 million. The interest rate on the 2022 Senior Secured Notes, the 2022 Notes, the 2024 Notes, the NSM Loan, the $50.0 million NSM Loan, the 2025 Logistics Senior Notes, and two Navios Logistics’ loans are fixed and, therefore, changes in interest rates affect their fair value, which as of December 31, 2020 was $1,194.9 million, but do not affect their related interest expense.</w:t>
      </w:r>
    </w:p>
    <w:p>
      <w:pPr>
        <w:spacing w:after="0" w:line="16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For a detailed discussion of Navios Holdings’ debt instruments refer to section “Long-Term Debt Obligations and Credit Arrangements” included in Item 5.B. of this Annual Report.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20"/>
          </w:cols>
          <w:pgMar w:left="320" w:top="459" w:right="4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Inflation has had a minimal impact on vessel operating expenses and general and administrative expenses. Our management does not consider inflation to be a significant risk to direct expenses in the current and foreseeable economic environment.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12. Description of Securities Other than Equity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13. Defaults, Dividend Arrearages and Delinquencies</w:t>
      </w:r>
    </w:p>
    <w:p>
      <w:pPr>
        <w:spacing w:after="0" w:line="12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In February 2016, Navios Holdings announced the suspension of payment of quarterly dividends on the Company’s Series G and Series H preferred shares. On July 15, 2017, the Company reached six quarterly dividend payments in arrears relating to its Series G and Series H and as a result the respective dividend rate increased by 0.25%. As of the date of this Annual Report, the Company has reached 13 quarterly dividend payments in arrears relating to its Series G and Series H preferred shares.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14. Material Modifications to the Rights of Security Holders and Use of Proceeds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15. Controls and Procedures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 Disclosure Controls and Procedures</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Company’s management, with the participation of its Chief Executive Officer and Chief Financial Officer, conducted an evaluation, pursuant to Rule 13a-15 (e) promulgated under the Exchange Act, of the effectiveness of our disclosure controls and procedures as of December 31, 2020. Based on this evaluation, the Chief Executive Officer and Chief Financial Officer concluded that the disclosure controls and procedures were effective as of December 31, 2020.</w:t>
      </w:r>
    </w:p>
    <w:p>
      <w:pPr>
        <w:spacing w:after="0" w:line="18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Disclosure controls and procedures means controls and other procedures that are designed to ensure that information required to be disclosed by us in the reports that we file or submit under the Exchange Act is recorded, processed, summarized and reported, within the time periods specified in the SEC’s rules and forms and that such information required to be disclosed by us in the reports that we file or submit under the Exchange Act is accumulated and communicated to our management, including our principal executive and principal financial officers, or persons performing similar functions, as appropriate to allow timely decisions regarding required disclosures.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 Management’s Annual Report on Internal Control over Financial Reporting</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management of Navios Holdings is responsible for establishing and maintaining adequate internal control over financial reporting as defined in Rule 13a-15(f) and 15d-15(f) of the Exchange Act. Navios Holdings’ internal control system was designed to provide reasonable assurance regarding the reliability of financial reporting and the preparation of financial statements for external purposes in accordance with generally accepted accounting principles in the U.S.</w:t>
      </w:r>
    </w:p>
    <w:p>
      <w:pPr>
        <w:spacing w:after="0" w:line="187"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Navios Holdings’ management assessed the effectiveness of Navios Holdings’ internal control over financial reporting as of December 31, 2020. In making this assessment, it used the criteria set forth by the Committee of Sponsoring Organizations of the Treadway Commission (COSO) in Internal Control — Integrated Framework (2013). Based on its assessment, management concluded that, as of December 31, 2020, Navios Holdings’ internal control over financial reporting is effective based on those criteria.</w:t>
      </w:r>
    </w:p>
    <w:p>
      <w:pPr>
        <w:spacing w:after="0" w:line="187"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Navios Holdings’ independent registered public accounting firm has issued an attestation report on Navios Holdings’ internal control over financial reporting.</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080"/>
          </w:cols>
          <w:pgMar w:left="320" w:top="459" w:right="49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 Attestation Report of the Registered Public Accounting Firm</w:t>
      </w:r>
    </w:p>
    <w:p>
      <w:pPr>
        <w:spacing w:after="0" w:line="11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Navios Holdings’ independent registered public accounting firm has issued an audit report on Navios Holdings’ internal control over financial reporting. This report appears on Page F-2 of the Consolidated Financial Statements.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 Changes in Internal Control over Financial Reporting</w:t>
      </w:r>
    </w:p>
    <w:p>
      <w:pPr>
        <w:spacing w:after="0" w:line="117"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There have been no changes in internal controls over financial reporting (identified in connection with management’s evaluation of such internal controls over financial reporting) that occurred during the year covered by this Annual Report that have materially affected, or are reasonably likely to materially affect, Navios Holdings’ internal controls over financial reporting.</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 [Reserved]</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16A. Audit Committee financial expert</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Navios Holdings’ Audit Committee consists of three independent directors, Spyridon Magoulas, Efstathios Loizos and George Malanga. The Board of Directors has determined that Efstathios Loizos qualifies as “an audit committee financial expert” as defined in the instructions of Item 16A of Form 20-F. Mr. Loizos is independent under applicable NYSE and SEC standards.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16B. Code of Ethics</w:t>
      </w:r>
    </w:p>
    <w:p>
      <w:pPr>
        <w:spacing w:after="0" w:line="12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Navios Holdings has adopted a code of ethics, the Navios Code of Corporate Conduct and Ethics, applicable to officers, directors and employees of Navios Holdings that complies with applicable guidelines issued by the SEC. The Navios Code of Corporate Conduct and Ethics is available for review on Navios Holdings’ website at www.navios.com.</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16C. Principal Accountant Fees and Services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Fees</w:t>
      </w:r>
    </w:p>
    <w:p>
      <w:pPr>
        <w:spacing w:after="0" w:line="117"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Our principal accountants for fiscal years 2020 and 2019 were PricewaterhouseCoopers S.A. The audit fees for the audit of the years ended December 31, 2020 and 2019 were $1.5 million and $1.6 million, respectively.</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Audit Committee is responsible for the appointment, replacement, compensation, evaluation and oversight of the work of the independent auditors. As part of this responsibility, the audit committee pre-approves the audit and non-audit services performed by the independent auditors in order to assure that they do not impair the auditors’ independence from the Company. The Audit Committee may delegate, to one or more of its designated members, the authority to grant such pre-approvals. The decision of any member to whom such authority is delegated is be presented to the full Committee at each of its scheduled meetings.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All audit services and other services provided by PricewaterhouseCoopers S.A. were pre-approved by the Audit Committee.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Audit-Related Fees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were no audit-related fees billed in 2020 and 2019.</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 Fees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were no tax fees billed in 2020 and 2019.</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All Other Fees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were no other fees billed in 2020 and 2019.</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16D. Exemptions from the Listing Standards for Audit Committees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00"/>
          </w:cols>
          <w:pgMar w:left="320" w:top="459" w:right="47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16E. Purchases of Equity Securities by the Issuer and Affiliated Purchasers</w:t>
      </w:r>
    </w:p>
    <w:p>
      <w:pPr>
        <w:spacing w:after="0" w:line="121"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In March and April of 2019, Navios Holdings repurchased 10,930 Series H for a total of approximately $4.2 million of cash consideration and a total of approximately $4.7 million in aggregate principal amount of 2024 Notes, and 8,841 Series G for a total of approximately $4.4 million of cash consideration and a total of approximately $3.9 million principal amount of 2024 Notes, pursuant to tender offers. Please refer also to Note 17 to the Consolidated Financial Statements included herein.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16F. Changes in Registrant’s Certifying Accountant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16G. Corporate Governance</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Pursuant to an exception for foreign private issuers, we are not required to comply with the corporate governance practices followed by U.S. companies under the NYSE listing standards. However, we have voluntarily adopted all of the NYSE required practices, except that, as permitted under Marshall Islands law, we do not need or intend to obtain prior shareholder approval to adopt or re-use equity compensation plans, including our 2015 Equity Incentive Plan.</w:t>
      </w:r>
    </w:p>
    <w:p>
      <w:pPr>
        <w:spacing w:after="0" w:line="331"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16H.</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PART III</w:t>
      </w:r>
    </w:p>
    <w:p>
      <w:pPr>
        <w:spacing w:after="0" w:line="131"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Financial Statements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Item 18.</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18.</w:t>
      </w:r>
      <w:r>
        <w:rPr>
          <w:sz w:val="20"/>
          <w:szCs w:val="20"/>
          <w:color w:val="auto"/>
        </w:rPr>
        <w:tab/>
      </w:r>
      <w:r>
        <w:rPr>
          <w:rFonts w:ascii="Arial" w:cs="Arial" w:eastAsia="Arial" w:hAnsi="Arial"/>
          <w:sz w:val="16"/>
          <w:szCs w:val="16"/>
          <w:b w:val="1"/>
          <w:bCs w:val="1"/>
          <w:color w:val="auto"/>
        </w:rPr>
        <w:t>Financial Statements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financial information required by this Item is set forth on pages F-1 to F-74 and are filed as part of this annual report.</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040"/>
          </w:cols>
          <w:pgMar w:left="320" w:top="459" w:right="5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19. Exhibits</w:t>
      </w:r>
    </w:p>
    <w:p>
      <w:pPr>
        <w:spacing w:after="0" w:line="378" w:lineRule="exact"/>
        <w:rPr>
          <w:sz w:val="20"/>
          <w:szCs w:val="20"/>
          <w:color w:val="auto"/>
        </w:rPr>
      </w:pPr>
    </w:p>
    <w:p>
      <w:pPr>
        <w:ind w:left="900" w:right="780" w:hanging="737"/>
        <w:spacing w:after="0" w:line="27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1.1</w:t>
      </w:r>
      <w:r>
        <w:rPr>
          <w:sz w:val="20"/>
          <w:szCs w:val="20"/>
          <w:color w:val="auto"/>
        </w:rPr>
        <w:tab/>
      </w:r>
      <w:hyperlink r:id="rId176">
        <w:r>
          <w:rPr>
            <w:rFonts w:ascii="Arial" w:cs="Arial" w:eastAsia="Arial" w:hAnsi="Arial"/>
            <w:sz w:val="18"/>
            <w:szCs w:val="18"/>
            <w:u w:val="single" w:color="auto"/>
            <w:color w:val="0000EE"/>
          </w:rPr>
          <w:t>Amended and Restated Articles of Incorporation of Navios Maritime Holdings Inc. (Incorporated by reference to Exhibit 3.1 to the</w:t>
        </w:r>
      </w:hyperlink>
      <w:r>
        <w:rPr>
          <w:rFonts w:ascii="Arial" w:cs="Arial" w:eastAsia="Arial" w:hAnsi="Arial"/>
          <w:sz w:val="18"/>
          <w:szCs w:val="18"/>
          <w:u w:val="single" w:color="auto"/>
          <w:color w:val="0000EE"/>
        </w:rPr>
        <w:t xml:space="preserve"> </w:t>
      </w:r>
      <w:hyperlink r:id="rId176">
        <w:r>
          <w:rPr>
            <w:rFonts w:ascii="Arial" w:cs="Arial" w:eastAsia="Arial" w:hAnsi="Arial"/>
            <w:sz w:val="18"/>
            <w:szCs w:val="18"/>
            <w:u w:val="single" w:color="auto"/>
            <w:color w:val="0000EE"/>
          </w:rPr>
          <w:t>Registrant’s Registration Statement on Form F-1 (File No. 333-129382)).</w:t>
        </w:r>
      </w:hyperlink>
    </w:p>
    <w:p>
      <w:pPr>
        <w:spacing w:after="0" w:line="62" w:lineRule="exact"/>
        <w:rPr>
          <w:sz w:val="20"/>
          <w:szCs w:val="20"/>
          <w:color w:val="auto"/>
        </w:rPr>
      </w:pPr>
    </w:p>
    <w:p>
      <w:pPr>
        <w:ind w:left="160"/>
        <w:spacing w:after="0"/>
        <w:tabs>
          <w:tab w:leader="none" w:pos="880" w:val="left"/>
        </w:tabs>
        <w:rPr>
          <w:rFonts w:ascii="Arial" w:cs="Arial" w:eastAsia="Arial" w:hAnsi="Arial"/>
          <w:sz w:val="16"/>
          <w:szCs w:val="16"/>
          <w:u w:val="single" w:color="auto"/>
          <w:color w:val="0000EE"/>
        </w:rPr>
      </w:pPr>
      <w:r>
        <w:rPr>
          <w:rFonts w:ascii="Arial" w:cs="Arial" w:eastAsia="Arial" w:hAnsi="Arial"/>
          <w:sz w:val="18"/>
          <w:szCs w:val="18"/>
          <w:color w:val="auto"/>
        </w:rPr>
        <w:t>1.2</w:t>
      </w:r>
      <w:r>
        <w:rPr>
          <w:sz w:val="20"/>
          <w:szCs w:val="20"/>
          <w:color w:val="auto"/>
        </w:rPr>
        <w:tab/>
      </w:r>
      <w:hyperlink w:anchor="page238">
        <w:r>
          <w:rPr>
            <w:rFonts w:ascii="Arial" w:cs="Arial" w:eastAsia="Arial" w:hAnsi="Arial"/>
            <w:sz w:val="16"/>
            <w:szCs w:val="16"/>
            <w:u w:val="single" w:color="auto"/>
            <w:color w:val="0000EE"/>
          </w:rPr>
          <w:t>Amended and Restated Bylaws of Navios Maritime Holdings Inc.</w:t>
        </w:r>
      </w:hyperlink>
    </w:p>
    <w:p>
      <w:pPr>
        <w:spacing w:after="0" w:line="117" w:lineRule="exact"/>
        <w:rPr>
          <w:sz w:val="20"/>
          <w:szCs w:val="20"/>
          <w:color w:val="auto"/>
        </w:rPr>
      </w:pPr>
    </w:p>
    <w:p>
      <w:pPr>
        <w:ind w:left="900" w:right="520" w:hanging="737"/>
        <w:spacing w:after="0" w:line="27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1.3</w:t>
      </w:r>
      <w:r>
        <w:rPr>
          <w:sz w:val="20"/>
          <w:szCs w:val="20"/>
          <w:color w:val="auto"/>
        </w:rPr>
        <w:tab/>
      </w:r>
      <w:hyperlink r:id="rId177">
        <w:r>
          <w:rPr>
            <w:rFonts w:ascii="Arial" w:cs="Arial" w:eastAsia="Arial" w:hAnsi="Arial"/>
            <w:sz w:val="18"/>
            <w:szCs w:val="18"/>
            <w:u w:val="single" w:color="auto"/>
            <w:color w:val="0000EE"/>
          </w:rPr>
          <w:t>Articles of Amendment of Articles of Incorporation of Navios Maritime Holdings Inc. (Incorporated by reference to Exhibit99.1 to the</w:t>
        </w:r>
      </w:hyperlink>
      <w:r>
        <w:rPr>
          <w:rFonts w:ascii="Arial" w:cs="Arial" w:eastAsia="Arial" w:hAnsi="Arial"/>
          <w:sz w:val="18"/>
          <w:szCs w:val="18"/>
          <w:u w:val="single" w:color="auto"/>
          <w:color w:val="0000EE"/>
        </w:rPr>
        <w:t xml:space="preserve"> </w:t>
      </w:r>
      <w:hyperlink r:id="rId177">
        <w:r>
          <w:rPr>
            <w:rFonts w:ascii="Arial" w:cs="Arial" w:eastAsia="Arial" w:hAnsi="Arial"/>
            <w:sz w:val="18"/>
            <w:szCs w:val="18"/>
            <w:u w:val="single" w:color="auto"/>
            <w:color w:val="0000EE"/>
          </w:rPr>
          <w:t>Registrant’s Form 6-K, filed on January 17, 2007).</w:t>
        </w:r>
      </w:hyperlink>
    </w:p>
    <w:p>
      <w:pPr>
        <w:spacing w:after="0" w:line="62" w:lineRule="exact"/>
        <w:rPr>
          <w:sz w:val="20"/>
          <w:szCs w:val="20"/>
          <w:color w:val="auto"/>
        </w:rPr>
      </w:pPr>
    </w:p>
    <w:p>
      <w:pPr>
        <w:ind w:left="900" w:right="520" w:hanging="737"/>
        <w:spacing w:after="0" w:line="27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1.4</w:t>
      </w:r>
      <w:r>
        <w:rPr>
          <w:sz w:val="20"/>
          <w:szCs w:val="20"/>
          <w:color w:val="auto"/>
        </w:rPr>
        <w:tab/>
      </w:r>
      <w:hyperlink r:id="rId178">
        <w:r>
          <w:rPr>
            <w:rFonts w:ascii="Arial" w:cs="Arial" w:eastAsia="Arial" w:hAnsi="Arial"/>
            <w:sz w:val="18"/>
            <w:szCs w:val="18"/>
            <w:u w:val="single" w:color="auto"/>
            <w:color w:val="0000EE"/>
          </w:rPr>
          <w:t>Articles of Amendment of Articles of Incorporation of Navios Maritime Holdings Inc. (Incorporated by reference to Exhibit 1.1 to the</w:t>
        </w:r>
      </w:hyperlink>
      <w:r>
        <w:rPr>
          <w:rFonts w:ascii="Arial" w:cs="Arial" w:eastAsia="Arial" w:hAnsi="Arial"/>
          <w:sz w:val="18"/>
          <w:szCs w:val="18"/>
          <w:u w:val="single" w:color="auto"/>
          <w:color w:val="0000EE"/>
        </w:rPr>
        <w:t xml:space="preserve"> </w:t>
      </w:r>
      <w:hyperlink r:id="rId178">
        <w:r>
          <w:rPr>
            <w:rFonts w:ascii="Arial" w:cs="Arial" w:eastAsia="Arial" w:hAnsi="Arial"/>
            <w:sz w:val="18"/>
            <w:szCs w:val="18"/>
            <w:u w:val="single" w:color="auto"/>
            <w:color w:val="0000EE"/>
          </w:rPr>
          <w:t>Registrant’s Form 6-K, filed on December 28, 2018).</w:t>
        </w:r>
      </w:hyperlink>
    </w:p>
    <w:p>
      <w:pPr>
        <w:spacing w:after="0" w:line="62" w:lineRule="exact"/>
        <w:rPr>
          <w:sz w:val="20"/>
          <w:szCs w:val="20"/>
          <w:color w:val="auto"/>
        </w:rPr>
      </w:pPr>
    </w:p>
    <w:p>
      <w:pPr>
        <w:ind w:left="900" w:right="960" w:hanging="737"/>
        <w:spacing w:after="0" w:line="27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2.1</w:t>
      </w:r>
      <w:r>
        <w:rPr>
          <w:sz w:val="20"/>
          <w:szCs w:val="20"/>
          <w:color w:val="auto"/>
        </w:rPr>
        <w:tab/>
      </w:r>
      <w:hyperlink r:id="rId179">
        <w:r>
          <w:rPr>
            <w:rFonts w:ascii="Arial" w:cs="Arial" w:eastAsia="Arial" w:hAnsi="Arial"/>
            <w:sz w:val="18"/>
            <w:szCs w:val="18"/>
            <w:u w:val="single" w:color="auto"/>
            <w:color w:val="0000EE"/>
          </w:rPr>
          <w:t>Specimen Unit Certificate (Incorporated by reference to Exhibit 4.1 to the Registrant’s Registration Statement on Form F-1 (File</w:t>
        </w:r>
      </w:hyperlink>
      <w:r>
        <w:rPr>
          <w:rFonts w:ascii="Arial" w:cs="Arial" w:eastAsia="Arial" w:hAnsi="Arial"/>
          <w:sz w:val="18"/>
          <w:szCs w:val="18"/>
          <w:u w:val="single" w:color="auto"/>
          <w:color w:val="0000EE"/>
        </w:rPr>
        <w:t xml:space="preserve"> </w:t>
      </w:r>
      <w:hyperlink r:id="rId179">
        <w:r>
          <w:rPr>
            <w:rFonts w:ascii="Arial" w:cs="Arial" w:eastAsia="Arial" w:hAnsi="Arial"/>
            <w:sz w:val="18"/>
            <w:szCs w:val="18"/>
            <w:u w:val="single" w:color="auto"/>
            <w:color w:val="0000EE"/>
          </w:rPr>
          <w:t>No. 333-129382)).</w:t>
        </w:r>
      </w:hyperlink>
    </w:p>
    <w:p>
      <w:pPr>
        <w:spacing w:after="0" w:line="62" w:lineRule="exact"/>
        <w:rPr>
          <w:sz w:val="20"/>
          <w:szCs w:val="20"/>
          <w:color w:val="auto"/>
        </w:rPr>
      </w:pPr>
    </w:p>
    <w:p>
      <w:pPr>
        <w:ind w:left="900" w:right="120" w:hanging="737"/>
        <w:spacing w:after="0" w:line="27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2.2</w:t>
      </w:r>
      <w:r>
        <w:rPr>
          <w:sz w:val="20"/>
          <w:szCs w:val="20"/>
          <w:color w:val="auto"/>
        </w:rPr>
        <w:tab/>
      </w:r>
      <w:hyperlink r:id="rId180">
        <w:r>
          <w:rPr>
            <w:rFonts w:ascii="Arial" w:cs="Arial" w:eastAsia="Arial" w:hAnsi="Arial"/>
            <w:sz w:val="18"/>
            <w:szCs w:val="18"/>
            <w:u w:val="single" w:color="auto"/>
            <w:color w:val="0000EE"/>
          </w:rPr>
          <w:t>Specimen Common Stock Certificate. (Incorporated by reference to Exhibit 4.2 to the Registrant’s Registration Statement on Form F-1 (File</w:t>
        </w:r>
      </w:hyperlink>
      <w:r>
        <w:rPr>
          <w:rFonts w:ascii="Arial" w:cs="Arial" w:eastAsia="Arial" w:hAnsi="Arial"/>
          <w:sz w:val="18"/>
          <w:szCs w:val="18"/>
          <w:u w:val="single" w:color="auto"/>
          <w:color w:val="0000EE"/>
        </w:rPr>
        <w:t xml:space="preserve"> </w:t>
      </w:r>
      <w:hyperlink r:id="rId180">
        <w:r>
          <w:rPr>
            <w:rFonts w:ascii="Arial" w:cs="Arial" w:eastAsia="Arial" w:hAnsi="Arial"/>
            <w:sz w:val="18"/>
            <w:szCs w:val="18"/>
            <w:u w:val="single" w:color="auto"/>
            <w:color w:val="0000EE"/>
          </w:rPr>
          <w:t>No. 333-129382)).</w:t>
        </w:r>
      </w:hyperlink>
    </w:p>
    <w:p>
      <w:pPr>
        <w:spacing w:after="0" w:line="62" w:lineRule="exact"/>
        <w:rPr>
          <w:sz w:val="20"/>
          <w:szCs w:val="20"/>
          <w:color w:val="auto"/>
        </w:rPr>
      </w:pPr>
    </w:p>
    <w:p>
      <w:pPr>
        <w:ind w:left="900" w:right="480" w:hanging="737"/>
        <w:spacing w:after="0" w:line="27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2.3</w:t>
      </w:r>
      <w:r>
        <w:rPr>
          <w:sz w:val="20"/>
          <w:szCs w:val="20"/>
          <w:color w:val="auto"/>
        </w:rPr>
        <w:tab/>
      </w:r>
      <w:hyperlink r:id="rId181">
        <w:r>
          <w:rPr>
            <w:rFonts w:ascii="Arial" w:cs="Arial" w:eastAsia="Arial" w:hAnsi="Arial"/>
            <w:sz w:val="18"/>
            <w:szCs w:val="18"/>
            <w:u w:val="single" w:color="auto"/>
            <w:color w:val="0000EE"/>
          </w:rPr>
          <w:t>Certificate of Designations of Rights, Preferences and Privileges of Preferred Stock of Navios Maritime Holdings Inc. (Incorporated by</w:t>
        </w:r>
      </w:hyperlink>
      <w:r>
        <w:rPr>
          <w:rFonts w:ascii="Arial" w:cs="Arial" w:eastAsia="Arial" w:hAnsi="Arial"/>
          <w:sz w:val="18"/>
          <w:szCs w:val="18"/>
          <w:u w:val="single" w:color="auto"/>
          <w:color w:val="0000EE"/>
        </w:rPr>
        <w:t xml:space="preserve"> </w:t>
      </w:r>
      <w:hyperlink r:id="rId181">
        <w:r>
          <w:rPr>
            <w:rFonts w:ascii="Arial" w:cs="Arial" w:eastAsia="Arial" w:hAnsi="Arial"/>
            <w:sz w:val="18"/>
            <w:szCs w:val="18"/>
            <w:u w:val="single" w:color="auto"/>
            <w:color w:val="0000EE"/>
          </w:rPr>
          <w:t>reference to Exhibit 99.2 to the Registrant’s Form 6-K, filed on October 6, 2008).</w:t>
        </w:r>
      </w:hyperlink>
    </w:p>
    <w:p>
      <w:pPr>
        <w:spacing w:after="0" w:line="62" w:lineRule="exact"/>
        <w:rPr>
          <w:sz w:val="20"/>
          <w:szCs w:val="20"/>
          <w:color w:val="auto"/>
        </w:rPr>
      </w:pPr>
    </w:p>
    <w:p>
      <w:pPr>
        <w:ind w:left="900" w:right="180" w:hanging="737"/>
        <w:spacing w:after="0" w:line="27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2.4</w:t>
      </w:r>
      <w:r>
        <w:rPr>
          <w:sz w:val="20"/>
          <w:szCs w:val="20"/>
          <w:color w:val="auto"/>
        </w:rPr>
        <w:tab/>
      </w:r>
      <w:hyperlink r:id="rId182">
        <w:r>
          <w:rPr>
            <w:rFonts w:ascii="Arial" w:cs="Arial" w:eastAsia="Arial" w:hAnsi="Arial"/>
            <w:sz w:val="18"/>
            <w:szCs w:val="18"/>
            <w:u w:val="single" w:color="auto"/>
            <w:color w:val="0000EE"/>
          </w:rPr>
          <w:t>Certificate of Designation, Preferences and Rights of Series A Convertible Preferred Stock of Navios Maritime Holdings Inc. (Incorporated</w:t>
        </w:r>
      </w:hyperlink>
      <w:r>
        <w:rPr>
          <w:rFonts w:ascii="Arial" w:cs="Arial" w:eastAsia="Arial" w:hAnsi="Arial"/>
          <w:sz w:val="18"/>
          <w:szCs w:val="18"/>
          <w:u w:val="single" w:color="auto"/>
          <w:color w:val="0000EE"/>
        </w:rPr>
        <w:t xml:space="preserve"> </w:t>
      </w:r>
      <w:hyperlink r:id="rId182">
        <w:r>
          <w:rPr>
            <w:rFonts w:ascii="Arial" w:cs="Arial" w:eastAsia="Arial" w:hAnsi="Arial"/>
            <w:sz w:val="18"/>
            <w:szCs w:val="18"/>
            <w:u w:val="single" w:color="auto"/>
            <w:color w:val="0000EE"/>
          </w:rPr>
          <w:t>by reference to Exhibit 3.1 to the Registrant’s Form 6-K, filed on July 7, 2009).</w:t>
        </w:r>
      </w:hyperlink>
    </w:p>
    <w:p>
      <w:pPr>
        <w:spacing w:after="0" w:line="62" w:lineRule="exact"/>
        <w:rPr>
          <w:sz w:val="20"/>
          <w:szCs w:val="20"/>
          <w:color w:val="auto"/>
        </w:rPr>
      </w:pPr>
    </w:p>
    <w:p>
      <w:pPr>
        <w:ind w:left="900" w:right="180" w:hanging="737"/>
        <w:spacing w:after="0" w:line="27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2.5</w:t>
      </w:r>
      <w:r>
        <w:rPr>
          <w:sz w:val="20"/>
          <w:szCs w:val="20"/>
          <w:color w:val="auto"/>
        </w:rPr>
        <w:tab/>
      </w:r>
      <w:hyperlink r:id="rId183">
        <w:r>
          <w:rPr>
            <w:rFonts w:ascii="Arial" w:cs="Arial" w:eastAsia="Arial" w:hAnsi="Arial"/>
            <w:sz w:val="18"/>
            <w:szCs w:val="18"/>
            <w:u w:val="single" w:color="auto"/>
            <w:color w:val="0000EE"/>
          </w:rPr>
          <w:t>Certificate of Designation, Preferences and Rights of Series B Convertible Preferred Stock of Navios Maritime Holdings Inc. (Incorporated</w:t>
        </w:r>
      </w:hyperlink>
      <w:r>
        <w:rPr>
          <w:rFonts w:ascii="Arial" w:cs="Arial" w:eastAsia="Arial" w:hAnsi="Arial"/>
          <w:sz w:val="18"/>
          <w:szCs w:val="18"/>
          <w:u w:val="single" w:color="auto"/>
          <w:color w:val="0000EE"/>
        </w:rPr>
        <w:t xml:space="preserve"> </w:t>
      </w:r>
      <w:hyperlink r:id="rId183">
        <w:r>
          <w:rPr>
            <w:rFonts w:ascii="Arial" w:cs="Arial" w:eastAsia="Arial" w:hAnsi="Arial"/>
            <w:sz w:val="18"/>
            <w:szCs w:val="18"/>
            <w:u w:val="single" w:color="auto"/>
            <w:color w:val="0000EE"/>
          </w:rPr>
          <w:t>by reference to Exhibit 3.1 to the Registrant’s Form 6-K, filed on September 22, 2009).</w:t>
        </w:r>
      </w:hyperlink>
    </w:p>
    <w:p>
      <w:pPr>
        <w:spacing w:after="0" w:line="62" w:lineRule="exact"/>
        <w:rPr>
          <w:sz w:val="20"/>
          <w:szCs w:val="20"/>
          <w:color w:val="auto"/>
        </w:rPr>
      </w:pPr>
    </w:p>
    <w:p>
      <w:pPr>
        <w:ind w:left="900" w:right="180" w:hanging="737"/>
        <w:spacing w:after="0" w:line="27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2.6</w:t>
      </w:r>
      <w:r>
        <w:rPr>
          <w:sz w:val="20"/>
          <w:szCs w:val="20"/>
          <w:color w:val="auto"/>
        </w:rPr>
        <w:tab/>
      </w:r>
      <w:hyperlink r:id="rId184">
        <w:r>
          <w:rPr>
            <w:rFonts w:ascii="Arial" w:cs="Arial" w:eastAsia="Arial" w:hAnsi="Arial"/>
            <w:sz w:val="18"/>
            <w:szCs w:val="18"/>
            <w:u w:val="single" w:color="auto"/>
            <w:color w:val="0000EE"/>
          </w:rPr>
          <w:t>Certificate of Designation, Preferences and Rights of Series C Convertible Preferred Stock of Navios Maritime Holdings Inc. (Incorporated</w:t>
        </w:r>
      </w:hyperlink>
      <w:r>
        <w:rPr>
          <w:rFonts w:ascii="Arial" w:cs="Arial" w:eastAsia="Arial" w:hAnsi="Arial"/>
          <w:sz w:val="18"/>
          <w:szCs w:val="18"/>
          <w:u w:val="single" w:color="auto"/>
          <w:color w:val="0000EE"/>
        </w:rPr>
        <w:t xml:space="preserve"> </w:t>
      </w:r>
      <w:hyperlink r:id="rId184">
        <w:r>
          <w:rPr>
            <w:rFonts w:ascii="Arial" w:cs="Arial" w:eastAsia="Arial" w:hAnsi="Arial"/>
            <w:sz w:val="18"/>
            <w:szCs w:val="18"/>
            <w:u w:val="single" w:color="auto"/>
            <w:color w:val="0000EE"/>
          </w:rPr>
          <w:t>by reference to Exhibit 3.1 to the Registrant’s Form 6-K, filed on September 24, 2009).</w:t>
        </w:r>
      </w:hyperlink>
    </w:p>
    <w:p>
      <w:pPr>
        <w:spacing w:after="0" w:line="62" w:lineRule="exact"/>
        <w:rPr>
          <w:sz w:val="20"/>
          <w:szCs w:val="20"/>
          <w:color w:val="auto"/>
        </w:rPr>
      </w:pPr>
    </w:p>
    <w:p>
      <w:pPr>
        <w:ind w:left="900" w:right="180" w:hanging="737"/>
        <w:spacing w:after="0" w:line="27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2.7</w:t>
      </w:r>
      <w:r>
        <w:rPr>
          <w:sz w:val="20"/>
          <w:szCs w:val="20"/>
          <w:color w:val="auto"/>
        </w:rPr>
        <w:tab/>
      </w:r>
      <w:hyperlink r:id="rId185">
        <w:r>
          <w:rPr>
            <w:rFonts w:ascii="Arial" w:cs="Arial" w:eastAsia="Arial" w:hAnsi="Arial"/>
            <w:sz w:val="18"/>
            <w:szCs w:val="18"/>
            <w:u w:val="single" w:color="auto"/>
            <w:color w:val="0000EE"/>
          </w:rPr>
          <w:t>Certificate of Designation, Preferences and Rights of Series D Convertible Preferred Stock of Navios Maritime Holdings Inc. (Incorporated</w:t>
        </w:r>
      </w:hyperlink>
      <w:r>
        <w:rPr>
          <w:rFonts w:ascii="Arial" w:cs="Arial" w:eastAsia="Arial" w:hAnsi="Arial"/>
          <w:sz w:val="18"/>
          <w:szCs w:val="18"/>
          <w:u w:val="single" w:color="auto"/>
          <w:color w:val="0000EE"/>
        </w:rPr>
        <w:t xml:space="preserve"> </w:t>
      </w:r>
      <w:hyperlink r:id="rId185">
        <w:r>
          <w:rPr>
            <w:rFonts w:ascii="Arial" w:cs="Arial" w:eastAsia="Arial" w:hAnsi="Arial"/>
            <w:sz w:val="18"/>
            <w:szCs w:val="18"/>
            <w:u w:val="single" w:color="auto"/>
            <w:color w:val="0000EE"/>
          </w:rPr>
          <w:t>by reference to Exhibit 3.1 to the Registrant’s Form 6-K, filed on February 4, 2010).</w:t>
        </w:r>
      </w:hyperlink>
    </w:p>
    <w:p>
      <w:pPr>
        <w:spacing w:after="0" w:line="62" w:lineRule="exact"/>
        <w:rPr>
          <w:sz w:val="20"/>
          <w:szCs w:val="20"/>
          <w:color w:val="auto"/>
        </w:rPr>
      </w:pPr>
    </w:p>
    <w:p>
      <w:pPr>
        <w:ind w:left="900" w:right="20" w:hanging="737"/>
        <w:spacing w:after="0" w:line="286" w:lineRule="auto"/>
        <w:tabs>
          <w:tab w:leader="none" w:pos="880" w:val="left"/>
        </w:tabs>
        <w:rPr>
          <w:rFonts w:ascii="Arial" w:cs="Arial" w:eastAsia="Arial" w:hAnsi="Arial"/>
          <w:sz w:val="17"/>
          <w:szCs w:val="17"/>
          <w:u w:val="single" w:color="auto"/>
          <w:color w:val="0000EE"/>
        </w:rPr>
      </w:pPr>
      <w:r>
        <w:rPr>
          <w:rFonts w:ascii="Arial" w:cs="Arial" w:eastAsia="Arial" w:hAnsi="Arial"/>
          <w:sz w:val="18"/>
          <w:szCs w:val="18"/>
          <w:color w:val="auto"/>
        </w:rPr>
        <w:t>2.8</w:t>
      </w:r>
      <w:r>
        <w:rPr>
          <w:sz w:val="20"/>
          <w:szCs w:val="20"/>
          <w:color w:val="auto"/>
        </w:rPr>
        <w:tab/>
      </w:r>
      <w:hyperlink r:id="rId186">
        <w:r>
          <w:rPr>
            <w:rFonts w:ascii="Arial" w:cs="Arial" w:eastAsia="Arial" w:hAnsi="Arial"/>
            <w:sz w:val="17"/>
            <w:szCs w:val="17"/>
            <w:u w:val="single" w:color="auto"/>
            <w:color w:val="0000EE"/>
          </w:rPr>
          <w:t>Indenture relating to the 7.375% First Priority Ship Mortgage Notes due 2022, dated as of November29, 2013, among Navios Maritime</w:t>
        </w:r>
      </w:hyperlink>
      <w:r>
        <w:rPr>
          <w:rFonts w:ascii="Arial" w:cs="Arial" w:eastAsia="Arial" w:hAnsi="Arial"/>
          <w:sz w:val="17"/>
          <w:szCs w:val="17"/>
          <w:u w:val="single" w:color="auto"/>
          <w:color w:val="0000EE"/>
        </w:rPr>
        <w:t xml:space="preserve"> </w:t>
      </w:r>
      <w:hyperlink r:id="rId186">
        <w:r>
          <w:rPr>
            <w:rFonts w:ascii="Arial" w:cs="Arial" w:eastAsia="Arial" w:hAnsi="Arial"/>
            <w:sz w:val="17"/>
            <w:szCs w:val="17"/>
            <w:u w:val="single" w:color="auto"/>
            <w:color w:val="0000EE"/>
          </w:rPr>
          <w:t>Holdings Inc., Navios Logistics Finance II (US) Inc., the guarantors party thereto, and Wells Fargo Bank, National Association, as trustee and</w:t>
        </w:r>
      </w:hyperlink>
      <w:r>
        <w:rPr>
          <w:rFonts w:ascii="Arial" w:cs="Arial" w:eastAsia="Arial" w:hAnsi="Arial"/>
          <w:sz w:val="17"/>
          <w:szCs w:val="17"/>
          <w:u w:val="single" w:color="auto"/>
          <w:color w:val="0000EE"/>
        </w:rPr>
        <w:t xml:space="preserve"> </w:t>
      </w:r>
      <w:hyperlink r:id="rId186">
        <w:r>
          <w:rPr>
            <w:rFonts w:ascii="Arial" w:cs="Arial" w:eastAsia="Arial" w:hAnsi="Arial"/>
            <w:sz w:val="17"/>
            <w:szCs w:val="17"/>
            <w:u w:val="single" w:color="auto"/>
            <w:color w:val="0000EE"/>
          </w:rPr>
          <w:t>collateral trustee (Incorporated by reference to Exhibit 99.2 to the Registrant’s Form 6-K, filed on December 13, 2013).</w:t>
        </w:r>
      </w:hyperlink>
    </w:p>
    <w:p>
      <w:pPr>
        <w:spacing w:after="0" w:line="57" w:lineRule="exact"/>
        <w:rPr>
          <w:rFonts w:ascii="Arial" w:cs="Arial" w:eastAsia="Arial" w:hAnsi="Arial"/>
          <w:sz w:val="17"/>
          <w:szCs w:val="17"/>
          <w:u w:val="single" w:color="auto"/>
          <w:color w:val="0000EE"/>
        </w:rPr>
      </w:pPr>
    </w:p>
    <w:p>
      <w:pPr>
        <w:ind w:left="900" w:hanging="782"/>
        <w:spacing w:after="0" w:line="27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2.8.1</w:t>
      </w:r>
      <w:r>
        <w:rPr>
          <w:sz w:val="20"/>
          <w:szCs w:val="20"/>
          <w:color w:val="auto"/>
        </w:rPr>
        <w:tab/>
      </w:r>
      <w:hyperlink r:id="rId187">
        <w:r>
          <w:rPr>
            <w:rFonts w:ascii="Arial" w:cs="Arial" w:eastAsia="Arial" w:hAnsi="Arial"/>
            <w:sz w:val="18"/>
            <w:szCs w:val="18"/>
            <w:u w:val="single" w:color="auto"/>
            <w:color w:val="0000EE"/>
          </w:rPr>
          <w:t>First Supplemental Indenture relating to the 7.375% First Priority Ship Mortgage Notes due 2022, dated as of February20, 2014 (Incorporated</w:t>
        </w:r>
      </w:hyperlink>
      <w:r>
        <w:rPr>
          <w:rFonts w:ascii="Arial" w:cs="Arial" w:eastAsia="Arial" w:hAnsi="Arial"/>
          <w:sz w:val="18"/>
          <w:szCs w:val="18"/>
          <w:u w:val="single" w:color="auto"/>
          <w:color w:val="0000EE"/>
        </w:rPr>
        <w:t xml:space="preserve"> </w:t>
      </w:r>
      <w:hyperlink r:id="rId187">
        <w:r>
          <w:rPr>
            <w:rFonts w:ascii="Arial" w:cs="Arial" w:eastAsia="Arial" w:hAnsi="Arial"/>
            <w:sz w:val="18"/>
            <w:szCs w:val="18"/>
            <w:u w:val="single" w:color="auto"/>
            <w:color w:val="0000EE"/>
          </w:rPr>
          <w:t>by reference to Exhibit 10.3 to the Registrant’s Form 6-K, filed on March 3, 2014).</w:t>
        </w:r>
      </w:hyperlink>
    </w:p>
    <w:p>
      <w:pPr>
        <w:spacing w:after="0" w:line="62" w:lineRule="exact"/>
        <w:rPr>
          <w:sz w:val="20"/>
          <w:szCs w:val="20"/>
          <w:color w:val="auto"/>
        </w:rPr>
      </w:pPr>
    </w:p>
    <w:p>
      <w:pPr>
        <w:ind w:left="900" w:right="20" w:hanging="782"/>
        <w:spacing w:after="0" w:line="27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2.8.2</w:t>
      </w:r>
      <w:r>
        <w:rPr>
          <w:sz w:val="20"/>
          <w:szCs w:val="20"/>
          <w:color w:val="auto"/>
        </w:rPr>
        <w:tab/>
      </w:r>
      <w:hyperlink r:id="rId188">
        <w:r>
          <w:rPr>
            <w:rFonts w:ascii="Arial" w:cs="Arial" w:eastAsia="Arial" w:hAnsi="Arial"/>
            <w:sz w:val="18"/>
            <w:szCs w:val="18"/>
            <w:u w:val="single" w:color="auto"/>
            <w:color w:val="0000EE"/>
          </w:rPr>
          <w:t>Second Supplemental Indenture relating to the 7.375% First Priority Ship Mortgage Notes due 2022, dated as of June 24, 2014 (Incorporated</w:t>
        </w:r>
      </w:hyperlink>
      <w:r>
        <w:rPr>
          <w:rFonts w:ascii="Arial" w:cs="Arial" w:eastAsia="Arial" w:hAnsi="Arial"/>
          <w:sz w:val="18"/>
          <w:szCs w:val="18"/>
          <w:u w:val="single" w:color="auto"/>
          <w:color w:val="0000EE"/>
        </w:rPr>
        <w:t xml:space="preserve"> </w:t>
      </w:r>
      <w:hyperlink r:id="rId188">
        <w:r>
          <w:rPr>
            <w:rFonts w:ascii="Arial" w:cs="Arial" w:eastAsia="Arial" w:hAnsi="Arial"/>
            <w:sz w:val="18"/>
            <w:szCs w:val="18"/>
            <w:u w:val="single" w:color="auto"/>
            <w:color w:val="0000EE"/>
          </w:rPr>
          <w:t>by reference to Exhibit 10.2 to the Registrant’s Form 6-K, filed on July 23, 2014).</w:t>
        </w:r>
      </w:hyperlink>
    </w:p>
    <w:p>
      <w:pPr>
        <w:spacing w:after="0" w:line="62" w:lineRule="exact"/>
        <w:rPr>
          <w:sz w:val="20"/>
          <w:szCs w:val="20"/>
          <w:color w:val="auto"/>
        </w:rPr>
      </w:pPr>
    </w:p>
    <w:p>
      <w:pPr>
        <w:ind w:left="900" w:hanging="782"/>
        <w:spacing w:after="0" w:line="27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2.8.3</w:t>
      </w:r>
      <w:r>
        <w:rPr>
          <w:sz w:val="20"/>
          <w:szCs w:val="20"/>
          <w:color w:val="auto"/>
        </w:rPr>
        <w:tab/>
      </w:r>
      <w:hyperlink r:id="rId189">
        <w:r>
          <w:rPr>
            <w:rFonts w:ascii="Arial" w:cs="Arial" w:eastAsia="Arial" w:hAnsi="Arial"/>
            <w:sz w:val="18"/>
            <w:szCs w:val="18"/>
            <w:u w:val="single" w:color="auto"/>
            <w:color w:val="0000EE"/>
          </w:rPr>
          <w:t>Third Supplemental Indenture relating to the 7.375% First Priority Ship Mortgage Notes due 2022, dated as of October24, 2014 (Incorporated</w:t>
        </w:r>
      </w:hyperlink>
      <w:r>
        <w:rPr>
          <w:rFonts w:ascii="Arial" w:cs="Arial" w:eastAsia="Arial" w:hAnsi="Arial"/>
          <w:sz w:val="18"/>
          <w:szCs w:val="18"/>
          <w:u w:val="single" w:color="auto"/>
          <w:color w:val="0000EE"/>
        </w:rPr>
        <w:t xml:space="preserve"> </w:t>
      </w:r>
      <w:hyperlink r:id="rId189">
        <w:r>
          <w:rPr>
            <w:rFonts w:ascii="Arial" w:cs="Arial" w:eastAsia="Arial" w:hAnsi="Arial"/>
            <w:sz w:val="18"/>
            <w:szCs w:val="18"/>
            <w:u w:val="single" w:color="auto"/>
            <w:color w:val="0000EE"/>
          </w:rPr>
          <w:t>by reference to Exhibit 10.2 to the Registrant’s Form 6-K, filed on December 8, 2014).</w:t>
        </w:r>
      </w:hyperlink>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20"/>
          </w:cols>
          <w:pgMar w:left="320" w:top="459" w:right="4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840" w:hanging="890"/>
        <w:spacing w:after="0" w:line="308" w:lineRule="auto"/>
        <w:tabs>
          <w:tab w:leader="none" w:pos="980" w:val="left"/>
        </w:tabs>
        <w:rPr>
          <w:rFonts w:ascii="Arial" w:cs="Arial" w:eastAsia="Arial" w:hAnsi="Arial"/>
          <w:sz w:val="17"/>
          <w:szCs w:val="17"/>
          <w:u w:val="single" w:color="auto"/>
          <w:color w:val="0000EE"/>
        </w:rPr>
      </w:pPr>
      <w:r>
        <w:rPr>
          <w:rFonts w:ascii="Arial" w:cs="Arial" w:eastAsia="Arial" w:hAnsi="Arial"/>
          <w:sz w:val="18"/>
          <w:szCs w:val="18"/>
          <w:color w:val="auto"/>
        </w:rPr>
        <w:t>2.8.4</w:t>
      </w:r>
      <w:r>
        <w:rPr>
          <w:sz w:val="20"/>
          <w:szCs w:val="20"/>
          <w:color w:val="auto"/>
        </w:rPr>
        <w:tab/>
      </w:r>
      <w:hyperlink r:id="rId191">
        <w:r>
          <w:rPr>
            <w:rFonts w:ascii="Arial" w:cs="Arial" w:eastAsia="Arial" w:hAnsi="Arial"/>
            <w:sz w:val="17"/>
            <w:szCs w:val="17"/>
            <w:u w:val="single" w:color="auto"/>
            <w:color w:val="0000EE"/>
          </w:rPr>
          <w:t>Fourth Supplemental Indenture relating to the 7.375% First Priority Ship Mortgage Notes due 2022, dated as of October24, 2014</w:t>
        </w:r>
      </w:hyperlink>
      <w:r>
        <w:rPr>
          <w:rFonts w:ascii="Arial" w:cs="Arial" w:eastAsia="Arial" w:hAnsi="Arial"/>
          <w:sz w:val="17"/>
          <w:szCs w:val="17"/>
          <w:u w:val="single" w:color="auto"/>
          <w:color w:val="0000EE"/>
        </w:rPr>
        <w:t xml:space="preserve"> </w:t>
      </w:r>
      <w:hyperlink r:id="rId191">
        <w:r>
          <w:rPr>
            <w:rFonts w:ascii="Arial" w:cs="Arial" w:eastAsia="Arial" w:hAnsi="Arial"/>
            <w:sz w:val="17"/>
            <w:szCs w:val="17"/>
            <w:u w:val="single" w:color="auto"/>
            <w:color w:val="0000EE"/>
          </w:rPr>
          <w:t>(Incorporated by reference to Exhibit 10.3 to the Registrant’s Form 6-K, filed on February 25, 2016).</w:t>
        </w:r>
      </w:hyperlink>
    </w:p>
    <w:p>
      <w:pPr>
        <w:spacing w:after="0" w:line="38" w:lineRule="exact"/>
        <w:rPr>
          <w:sz w:val="20"/>
          <w:szCs w:val="20"/>
          <w:color w:val="auto"/>
        </w:rPr>
      </w:pPr>
    </w:p>
    <w:p>
      <w:pPr>
        <w:ind w:left="1000" w:right="980" w:hanging="890"/>
        <w:spacing w:after="0" w:line="308" w:lineRule="auto"/>
        <w:tabs>
          <w:tab w:leader="none" w:pos="980" w:val="left"/>
        </w:tabs>
        <w:rPr>
          <w:rFonts w:ascii="Arial" w:cs="Arial" w:eastAsia="Arial" w:hAnsi="Arial"/>
          <w:sz w:val="17"/>
          <w:szCs w:val="17"/>
          <w:u w:val="single" w:color="auto"/>
          <w:color w:val="0000EE"/>
        </w:rPr>
      </w:pPr>
      <w:r>
        <w:rPr>
          <w:rFonts w:ascii="Arial" w:cs="Arial" w:eastAsia="Arial" w:hAnsi="Arial"/>
          <w:sz w:val="18"/>
          <w:szCs w:val="18"/>
          <w:color w:val="auto"/>
        </w:rPr>
        <w:t>2.8.5</w:t>
      </w:r>
      <w:r>
        <w:rPr>
          <w:sz w:val="20"/>
          <w:szCs w:val="20"/>
          <w:color w:val="auto"/>
        </w:rPr>
        <w:tab/>
      </w:r>
      <w:hyperlink r:id="rId192">
        <w:r>
          <w:rPr>
            <w:rFonts w:ascii="Arial" w:cs="Arial" w:eastAsia="Arial" w:hAnsi="Arial"/>
            <w:sz w:val="17"/>
            <w:szCs w:val="17"/>
            <w:u w:val="single" w:color="auto"/>
            <w:color w:val="0000EE"/>
          </w:rPr>
          <w:t>Fifth Supplemental Indenture relating to the 7.375% First Priority Ship Mortgage Notes due 2022, dated as of March 17, 2017</w:t>
        </w:r>
      </w:hyperlink>
      <w:r>
        <w:rPr>
          <w:rFonts w:ascii="Arial" w:cs="Arial" w:eastAsia="Arial" w:hAnsi="Arial"/>
          <w:sz w:val="17"/>
          <w:szCs w:val="17"/>
          <w:u w:val="single" w:color="auto"/>
          <w:color w:val="0000EE"/>
        </w:rPr>
        <w:t xml:space="preserve"> </w:t>
      </w:r>
      <w:hyperlink r:id="rId192">
        <w:r>
          <w:rPr>
            <w:rFonts w:ascii="Arial" w:cs="Arial" w:eastAsia="Arial" w:hAnsi="Arial"/>
            <w:sz w:val="17"/>
            <w:szCs w:val="17"/>
            <w:u w:val="single" w:color="auto"/>
            <w:color w:val="0000EE"/>
          </w:rPr>
          <w:t>(Incorporated by reference to Exhibit 10.5 to the Registrant’s Form 6-K, filed on December 20, 2018).</w:t>
        </w:r>
      </w:hyperlink>
    </w:p>
    <w:p>
      <w:pPr>
        <w:spacing w:after="0" w:line="38" w:lineRule="exact"/>
        <w:rPr>
          <w:sz w:val="20"/>
          <w:szCs w:val="20"/>
          <w:color w:val="auto"/>
        </w:rPr>
      </w:pPr>
    </w:p>
    <w:p>
      <w:pPr>
        <w:ind w:left="1000" w:right="960" w:hanging="890"/>
        <w:spacing w:after="0" w:line="308" w:lineRule="auto"/>
        <w:tabs>
          <w:tab w:leader="none" w:pos="980" w:val="left"/>
        </w:tabs>
        <w:rPr>
          <w:rFonts w:ascii="Arial" w:cs="Arial" w:eastAsia="Arial" w:hAnsi="Arial"/>
          <w:sz w:val="17"/>
          <w:szCs w:val="17"/>
          <w:u w:val="single" w:color="auto"/>
          <w:color w:val="0000EE"/>
        </w:rPr>
      </w:pPr>
      <w:r>
        <w:rPr>
          <w:rFonts w:ascii="Arial" w:cs="Arial" w:eastAsia="Arial" w:hAnsi="Arial"/>
          <w:sz w:val="18"/>
          <w:szCs w:val="18"/>
          <w:color w:val="auto"/>
        </w:rPr>
        <w:t>2.8.6</w:t>
      </w:r>
      <w:r>
        <w:rPr>
          <w:sz w:val="20"/>
          <w:szCs w:val="20"/>
          <w:color w:val="auto"/>
        </w:rPr>
        <w:tab/>
      </w:r>
      <w:hyperlink r:id="rId193">
        <w:r>
          <w:rPr>
            <w:rFonts w:ascii="Arial" w:cs="Arial" w:eastAsia="Arial" w:hAnsi="Arial"/>
            <w:sz w:val="17"/>
            <w:szCs w:val="17"/>
            <w:u w:val="single" w:color="auto"/>
            <w:color w:val="0000EE"/>
          </w:rPr>
          <w:t>Sixth Supplemental Indenture relating to the 7.375% First Priority Ship Mortgage Notes due 2022, dated as of March 12, 2018</w:t>
        </w:r>
      </w:hyperlink>
      <w:r>
        <w:rPr>
          <w:rFonts w:ascii="Arial" w:cs="Arial" w:eastAsia="Arial" w:hAnsi="Arial"/>
          <w:sz w:val="17"/>
          <w:szCs w:val="17"/>
          <w:u w:val="single" w:color="auto"/>
          <w:color w:val="0000EE"/>
        </w:rPr>
        <w:t xml:space="preserve"> </w:t>
      </w:r>
      <w:hyperlink r:id="rId193">
        <w:r>
          <w:rPr>
            <w:rFonts w:ascii="Arial" w:cs="Arial" w:eastAsia="Arial" w:hAnsi="Arial"/>
            <w:sz w:val="17"/>
            <w:szCs w:val="17"/>
            <w:u w:val="single" w:color="auto"/>
            <w:color w:val="0000EE"/>
          </w:rPr>
          <w:t>(Incorporated by reference to Exhibit 10.6 to the Registrant’s Form 6-K, filed on December 20, 2018).</w:t>
        </w:r>
      </w:hyperlink>
    </w:p>
    <w:p>
      <w:pPr>
        <w:spacing w:after="0" w:line="38" w:lineRule="exact"/>
        <w:rPr>
          <w:sz w:val="20"/>
          <w:szCs w:val="20"/>
          <w:color w:val="auto"/>
        </w:rPr>
      </w:pPr>
    </w:p>
    <w:p>
      <w:pPr>
        <w:ind w:left="1000" w:right="640" w:hanging="890"/>
        <w:spacing w:after="0" w:line="277"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2.8.7</w:t>
      </w:r>
      <w:r>
        <w:rPr>
          <w:sz w:val="20"/>
          <w:szCs w:val="20"/>
          <w:color w:val="auto"/>
        </w:rPr>
        <w:tab/>
      </w:r>
      <w:hyperlink r:id="rId194">
        <w:r>
          <w:rPr>
            <w:rFonts w:ascii="Arial" w:cs="Arial" w:eastAsia="Arial" w:hAnsi="Arial"/>
            <w:sz w:val="18"/>
            <w:szCs w:val="18"/>
            <w:u w:val="single" w:color="auto"/>
            <w:color w:val="0000EE"/>
          </w:rPr>
          <w:t>Seventh Supplemental Indenture relating to the 7.375% First Priority Ship Mortgage Notes due 2022, dated as of October 31, 2018</w:t>
        </w:r>
      </w:hyperlink>
      <w:r>
        <w:rPr>
          <w:rFonts w:ascii="Arial" w:cs="Arial" w:eastAsia="Arial" w:hAnsi="Arial"/>
          <w:sz w:val="18"/>
          <w:szCs w:val="18"/>
          <w:u w:val="single" w:color="auto"/>
          <w:color w:val="0000EE"/>
        </w:rPr>
        <w:t xml:space="preserve"> </w:t>
      </w:r>
      <w:hyperlink r:id="rId194">
        <w:r>
          <w:rPr>
            <w:rFonts w:ascii="Arial" w:cs="Arial" w:eastAsia="Arial" w:hAnsi="Arial"/>
            <w:sz w:val="18"/>
            <w:szCs w:val="18"/>
            <w:u w:val="single" w:color="auto"/>
            <w:color w:val="0000EE"/>
          </w:rPr>
          <w:t>(Incorporated by reference to Exhibit 10.7 to the Registrant’s Form 6-K, filed on December 20, 2018).</w:t>
        </w:r>
      </w:hyperlink>
    </w:p>
    <w:p>
      <w:pPr>
        <w:spacing w:after="0" w:line="62" w:lineRule="exact"/>
        <w:rPr>
          <w:sz w:val="20"/>
          <w:szCs w:val="20"/>
          <w:color w:val="auto"/>
        </w:rPr>
      </w:pPr>
    </w:p>
    <w:p>
      <w:pPr>
        <w:ind w:left="1000" w:right="400" w:hanging="890"/>
        <w:spacing w:after="0" w:line="277"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2.8.8</w:t>
      </w:r>
      <w:r>
        <w:rPr>
          <w:sz w:val="20"/>
          <w:szCs w:val="20"/>
          <w:color w:val="auto"/>
        </w:rPr>
        <w:tab/>
      </w:r>
      <w:hyperlink r:id="rId195">
        <w:r>
          <w:rPr>
            <w:rFonts w:ascii="Arial" w:cs="Arial" w:eastAsia="Arial" w:hAnsi="Arial"/>
            <w:sz w:val="18"/>
            <w:szCs w:val="18"/>
            <w:u w:val="single" w:color="auto"/>
            <w:color w:val="0000EE"/>
          </w:rPr>
          <w:t>Eleventh Supplemental Indenture relating to the 7.375% First Priority Ship Mortgage Notes due 2022, dated as of November 17, 2020</w:t>
        </w:r>
      </w:hyperlink>
      <w:r>
        <w:rPr>
          <w:rFonts w:ascii="Arial" w:cs="Arial" w:eastAsia="Arial" w:hAnsi="Arial"/>
          <w:sz w:val="18"/>
          <w:szCs w:val="18"/>
          <w:u w:val="single" w:color="auto"/>
          <w:color w:val="0000EE"/>
        </w:rPr>
        <w:t xml:space="preserve"> </w:t>
      </w:r>
      <w:hyperlink r:id="rId195">
        <w:r>
          <w:rPr>
            <w:rFonts w:ascii="Arial" w:cs="Arial" w:eastAsia="Arial" w:hAnsi="Arial"/>
            <w:sz w:val="18"/>
            <w:szCs w:val="18"/>
            <w:u w:val="single" w:color="auto"/>
            <w:color w:val="0000EE"/>
          </w:rPr>
          <w:t>(Incorporated by reference to Exhibit 10.1 to the Registrant’s Form 6-K, filed on November 17, 2020).</w:t>
        </w:r>
      </w:hyperlink>
    </w:p>
    <w:p>
      <w:pPr>
        <w:spacing w:after="0" w:line="62" w:lineRule="exact"/>
        <w:rPr>
          <w:sz w:val="20"/>
          <w:szCs w:val="20"/>
          <w:color w:val="auto"/>
        </w:rPr>
      </w:pPr>
    </w:p>
    <w:p>
      <w:pPr>
        <w:jc w:val="both"/>
        <w:ind w:left="1000" w:right="260" w:hanging="845"/>
        <w:spacing w:after="0" w:line="286" w:lineRule="auto"/>
        <w:tabs>
          <w:tab w:leader="none" w:pos="980" w:val="left"/>
        </w:tabs>
        <w:rPr>
          <w:rFonts w:ascii="Arial" w:cs="Arial" w:eastAsia="Arial" w:hAnsi="Arial"/>
          <w:sz w:val="17"/>
          <w:szCs w:val="17"/>
          <w:u w:val="single" w:color="auto"/>
          <w:color w:val="0000EE"/>
        </w:rPr>
      </w:pPr>
      <w:r>
        <w:rPr>
          <w:rFonts w:ascii="Arial" w:cs="Arial" w:eastAsia="Arial" w:hAnsi="Arial"/>
          <w:sz w:val="18"/>
          <w:szCs w:val="18"/>
          <w:color w:val="auto"/>
        </w:rPr>
        <w:t>2.9</w:t>
      </w:r>
      <w:r>
        <w:rPr>
          <w:sz w:val="20"/>
          <w:szCs w:val="20"/>
          <w:color w:val="auto"/>
        </w:rPr>
        <w:tab/>
      </w:r>
      <w:hyperlink r:id="rId196">
        <w:r>
          <w:rPr>
            <w:rFonts w:ascii="Arial" w:cs="Arial" w:eastAsia="Arial" w:hAnsi="Arial"/>
            <w:sz w:val="17"/>
            <w:szCs w:val="17"/>
            <w:u w:val="single" w:color="auto"/>
            <w:color w:val="0000EE"/>
          </w:rPr>
          <w:t>Indenture relating to the 11.25% Senior Secured Notes due 2022, dated as of November21, 2017, among Navios Maritime Holdings Inc.,</w:t>
        </w:r>
      </w:hyperlink>
      <w:r>
        <w:rPr>
          <w:rFonts w:ascii="Arial" w:cs="Arial" w:eastAsia="Arial" w:hAnsi="Arial"/>
          <w:sz w:val="17"/>
          <w:szCs w:val="17"/>
          <w:u w:val="single" w:color="auto"/>
          <w:color w:val="0000EE"/>
        </w:rPr>
        <w:t xml:space="preserve"> </w:t>
      </w:r>
      <w:hyperlink r:id="rId196">
        <w:r>
          <w:rPr>
            <w:rFonts w:ascii="Arial" w:cs="Arial" w:eastAsia="Arial" w:hAnsi="Arial"/>
            <w:sz w:val="17"/>
            <w:szCs w:val="17"/>
            <w:u w:val="single" w:color="auto"/>
            <w:color w:val="0000EE"/>
          </w:rPr>
          <w:t>Navios Logistics Finance II (US) Inc., the guarantors party thereto, and Wells Fargo Bank, National Association, as trustee and collateral</w:t>
        </w:r>
      </w:hyperlink>
      <w:r>
        <w:rPr>
          <w:rFonts w:ascii="Arial" w:cs="Arial" w:eastAsia="Arial" w:hAnsi="Arial"/>
          <w:sz w:val="17"/>
          <w:szCs w:val="17"/>
          <w:u w:val="single" w:color="auto"/>
          <w:color w:val="0000EE"/>
        </w:rPr>
        <w:t xml:space="preserve"> </w:t>
      </w:r>
      <w:hyperlink r:id="rId196">
        <w:r>
          <w:rPr>
            <w:rFonts w:ascii="Arial" w:cs="Arial" w:eastAsia="Arial" w:hAnsi="Arial"/>
            <w:sz w:val="17"/>
            <w:szCs w:val="17"/>
            <w:u w:val="single" w:color="auto"/>
            <w:color w:val="0000EE"/>
          </w:rPr>
          <w:t>trustee (Incorporated by reference to Exhibit 99.2 to the Registrant’s Form 6-K, filed on November 21, 2017).</w:t>
        </w:r>
      </w:hyperlink>
    </w:p>
    <w:p>
      <w:pPr>
        <w:spacing w:after="0" w:line="57" w:lineRule="exact"/>
        <w:rPr>
          <w:rFonts w:ascii="Arial" w:cs="Arial" w:eastAsia="Arial" w:hAnsi="Arial"/>
          <w:sz w:val="17"/>
          <w:szCs w:val="17"/>
          <w:u w:val="single" w:color="auto"/>
          <w:color w:val="0000EE"/>
        </w:rPr>
      </w:pPr>
    </w:p>
    <w:p>
      <w:pPr>
        <w:ind w:left="1000" w:hanging="890"/>
        <w:spacing w:after="0" w:line="277"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2.9.1</w:t>
      </w:r>
      <w:r>
        <w:rPr>
          <w:sz w:val="20"/>
          <w:szCs w:val="20"/>
          <w:color w:val="auto"/>
        </w:rPr>
        <w:tab/>
      </w:r>
      <w:hyperlink r:id="rId197">
        <w:r>
          <w:rPr>
            <w:rFonts w:ascii="Arial" w:cs="Arial" w:eastAsia="Arial" w:hAnsi="Arial"/>
            <w:sz w:val="18"/>
            <w:szCs w:val="18"/>
            <w:u w:val="single" w:color="auto"/>
            <w:color w:val="0000EE"/>
          </w:rPr>
          <w:t>First Supplemental Indenture relating to the 11.25% Senior Secured Notes due 2022, dated as of March 12, 2018 (Incorporated by reference</w:t>
        </w:r>
      </w:hyperlink>
      <w:r>
        <w:rPr>
          <w:rFonts w:ascii="Arial" w:cs="Arial" w:eastAsia="Arial" w:hAnsi="Arial"/>
          <w:sz w:val="18"/>
          <w:szCs w:val="18"/>
          <w:u w:val="single" w:color="auto"/>
          <w:color w:val="0000EE"/>
        </w:rPr>
        <w:t xml:space="preserve"> </w:t>
      </w:r>
      <w:hyperlink r:id="rId197">
        <w:r>
          <w:rPr>
            <w:rFonts w:ascii="Arial" w:cs="Arial" w:eastAsia="Arial" w:hAnsi="Arial"/>
            <w:sz w:val="18"/>
            <w:szCs w:val="18"/>
            <w:u w:val="single" w:color="auto"/>
            <w:color w:val="0000EE"/>
          </w:rPr>
          <w:t>to Exhibit 10.3 to the Registrant’s Form 6-K, filed on December 20, 2018).</w:t>
        </w:r>
      </w:hyperlink>
    </w:p>
    <w:p>
      <w:pPr>
        <w:spacing w:after="0" w:line="62" w:lineRule="exact"/>
        <w:rPr>
          <w:sz w:val="20"/>
          <w:szCs w:val="20"/>
          <w:color w:val="auto"/>
        </w:rPr>
      </w:pPr>
    </w:p>
    <w:p>
      <w:pPr>
        <w:ind w:left="1000" w:right="400" w:hanging="890"/>
        <w:spacing w:after="0" w:line="277"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2.9.2</w:t>
      </w:r>
      <w:r>
        <w:rPr>
          <w:sz w:val="20"/>
          <w:szCs w:val="20"/>
          <w:color w:val="auto"/>
        </w:rPr>
        <w:tab/>
      </w:r>
      <w:hyperlink r:id="rId198">
        <w:r>
          <w:rPr>
            <w:rFonts w:ascii="Arial" w:cs="Arial" w:eastAsia="Arial" w:hAnsi="Arial"/>
            <w:sz w:val="18"/>
            <w:szCs w:val="18"/>
            <w:u w:val="single" w:color="auto"/>
            <w:color w:val="0000EE"/>
          </w:rPr>
          <w:t>Second Supplemental Indenture relating to the 11.25% Senior Secured Notes due 2022, dated as of October 31, 2018 (Incorporated by</w:t>
        </w:r>
      </w:hyperlink>
      <w:r>
        <w:rPr>
          <w:rFonts w:ascii="Arial" w:cs="Arial" w:eastAsia="Arial" w:hAnsi="Arial"/>
          <w:sz w:val="18"/>
          <w:szCs w:val="18"/>
          <w:u w:val="single" w:color="auto"/>
          <w:color w:val="0000EE"/>
        </w:rPr>
        <w:t xml:space="preserve"> </w:t>
      </w:r>
      <w:hyperlink r:id="rId198">
        <w:r>
          <w:rPr>
            <w:rFonts w:ascii="Arial" w:cs="Arial" w:eastAsia="Arial" w:hAnsi="Arial"/>
            <w:sz w:val="18"/>
            <w:szCs w:val="18"/>
            <w:u w:val="single" w:color="auto"/>
            <w:color w:val="0000EE"/>
          </w:rPr>
          <w:t>reference to Exhibit 10.4 to the Registrant’s Form 6-K, filed on December 20, 2018).</w:t>
        </w:r>
      </w:hyperlink>
    </w:p>
    <w:p>
      <w:pPr>
        <w:spacing w:after="0" w:line="62" w:lineRule="exact"/>
        <w:rPr>
          <w:sz w:val="20"/>
          <w:szCs w:val="20"/>
          <w:color w:val="auto"/>
        </w:rPr>
      </w:pPr>
    </w:p>
    <w:p>
      <w:pPr>
        <w:ind w:left="1000" w:right="680" w:hanging="890"/>
        <w:spacing w:after="0" w:line="277"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2.9.3</w:t>
      </w:r>
      <w:r>
        <w:rPr>
          <w:sz w:val="20"/>
          <w:szCs w:val="20"/>
          <w:color w:val="auto"/>
        </w:rPr>
        <w:tab/>
      </w:r>
      <w:hyperlink r:id="rId199">
        <w:r>
          <w:rPr>
            <w:rFonts w:ascii="Arial" w:cs="Arial" w:eastAsia="Arial" w:hAnsi="Arial"/>
            <w:sz w:val="18"/>
            <w:szCs w:val="18"/>
            <w:u w:val="single" w:color="auto"/>
            <w:color w:val="0000EE"/>
          </w:rPr>
          <w:t>Sixth Supplemental Indenture relating to the 11.25% Senior Secured Notes due 2022, dated as of October 1, 2020 (Incorporated by</w:t>
        </w:r>
      </w:hyperlink>
      <w:r>
        <w:rPr>
          <w:rFonts w:ascii="Arial" w:cs="Arial" w:eastAsia="Arial" w:hAnsi="Arial"/>
          <w:sz w:val="18"/>
          <w:szCs w:val="18"/>
          <w:u w:val="single" w:color="auto"/>
          <w:color w:val="0000EE"/>
        </w:rPr>
        <w:t xml:space="preserve"> </w:t>
      </w:r>
      <w:hyperlink r:id="rId199">
        <w:r>
          <w:rPr>
            <w:rFonts w:ascii="Arial" w:cs="Arial" w:eastAsia="Arial" w:hAnsi="Arial"/>
            <w:sz w:val="18"/>
            <w:szCs w:val="18"/>
            <w:u w:val="single" w:color="auto"/>
            <w:color w:val="0000EE"/>
          </w:rPr>
          <w:t>reference to Exhibit 99.2 to the Registrant’s Form 6-K, filed on October 1, 2020).</w:t>
        </w:r>
      </w:hyperlink>
    </w:p>
    <w:p>
      <w:pPr>
        <w:spacing w:after="0" w:line="62" w:lineRule="exact"/>
        <w:rPr>
          <w:sz w:val="20"/>
          <w:szCs w:val="20"/>
          <w:color w:val="auto"/>
        </w:rPr>
      </w:pPr>
    </w:p>
    <w:p>
      <w:pPr>
        <w:jc w:val="both"/>
        <w:ind w:left="1000" w:right="80" w:hanging="890"/>
        <w:spacing w:after="0" w:line="263"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2.9.4</w:t>
      </w:r>
      <w:r>
        <w:rPr>
          <w:sz w:val="20"/>
          <w:szCs w:val="20"/>
          <w:color w:val="auto"/>
        </w:rPr>
        <w:tab/>
      </w:r>
      <w:hyperlink r:id="rId200">
        <w:r>
          <w:rPr>
            <w:rFonts w:ascii="Arial" w:cs="Arial" w:eastAsia="Arial" w:hAnsi="Arial"/>
            <w:sz w:val="18"/>
            <w:szCs w:val="18"/>
            <w:u w:val="single" w:color="auto"/>
            <w:color w:val="0000EE"/>
          </w:rPr>
          <w:t>Consent Agreement relating to the 11.25% Senior Secured Notes due 2022, dated October 1, 2020, among Navios Maritime Holdings Inc.,</w:t>
        </w:r>
      </w:hyperlink>
      <w:r>
        <w:rPr>
          <w:rFonts w:ascii="Arial" w:cs="Arial" w:eastAsia="Arial" w:hAnsi="Arial"/>
          <w:sz w:val="18"/>
          <w:szCs w:val="18"/>
          <w:u w:val="single" w:color="auto"/>
          <w:color w:val="0000EE"/>
        </w:rPr>
        <w:t xml:space="preserve"> </w:t>
      </w:r>
      <w:hyperlink r:id="rId200">
        <w:r>
          <w:rPr>
            <w:rFonts w:ascii="Arial" w:cs="Arial" w:eastAsia="Arial" w:hAnsi="Arial"/>
            <w:sz w:val="18"/>
            <w:szCs w:val="18"/>
            <w:u w:val="single" w:color="auto"/>
            <w:color w:val="0000EE"/>
          </w:rPr>
          <w:t>Navios Maritime Finance II (US) Inc. and the Consenting Noteholders (Incorporated by reference to Exhibit 99.1 to the Registrant’s Form</w:t>
        </w:r>
      </w:hyperlink>
      <w:r>
        <w:rPr>
          <w:rFonts w:ascii="Arial" w:cs="Arial" w:eastAsia="Arial" w:hAnsi="Arial"/>
          <w:sz w:val="18"/>
          <w:szCs w:val="18"/>
          <w:u w:val="single" w:color="auto"/>
          <w:color w:val="0000EE"/>
        </w:rPr>
        <w:t xml:space="preserve"> </w:t>
      </w:r>
      <w:hyperlink r:id="rId200">
        <w:r>
          <w:rPr>
            <w:rFonts w:ascii="Arial" w:cs="Arial" w:eastAsia="Arial" w:hAnsi="Arial"/>
            <w:sz w:val="18"/>
            <w:szCs w:val="18"/>
            <w:u w:val="single" w:color="auto"/>
            <w:color w:val="0000EE"/>
          </w:rPr>
          <w:t>6-K, filed on October 1, 2020).</w:t>
        </w:r>
      </w:hyperlink>
    </w:p>
    <w:p>
      <w:pPr>
        <w:spacing w:after="0" w:line="76" w:lineRule="exact"/>
        <w:rPr>
          <w:rFonts w:ascii="Arial" w:cs="Arial" w:eastAsia="Arial" w:hAnsi="Arial"/>
          <w:sz w:val="18"/>
          <w:szCs w:val="18"/>
          <w:u w:val="single" w:color="auto"/>
          <w:color w:val="0000EE"/>
        </w:rPr>
      </w:pPr>
    </w:p>
    <w:p>
      <w:pPr>
        <w:ind w:left="1000" w:right="120" w:hanging="890"/>
        <w:spacing w:after="0" w:line="277"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2.9.5</w:t>
      </w:r>
      <w:r>
        <w:rPr>
          <w:sz w:val="20"/>
          <w:szCs w:val="20"/>
          <w:color w:val="auto"/>
        </w:rPr>
        <w:tab/>
      </w:r>
      <w:hyperlink r:id="rId201">
        <w:r>
          <w:rPr>
            <w:rFonts w:ascii="Arial" w:cs="Arial" w:eastAsia="Arial" w:hAnsi="Arial"/>
            <w:sz w:val="18"/>
            <w:szCs w:val="18"/>
            <w:u w:val="single" w:color="auto"/>
            <w:color w:val="0000EE"/>
          </w:rPr>
          <w:t>Seventh Supplemental Indenture relating to the 11.25% Senior Secured Notes due 2022, dated as of November 17, 2020, (Incorporated by</w:t>
        </w:r>
      </w:hyperlink>
      <w:r>
        <w:rPr>
          <w:rFonts w:ascii="Arial" w:cs="Arial" w:eastAsia="Arial" w:hAnsi="Arial"/>
          <w:sz w:val="18"/>
          <w:szCs w:val="18"/>
          <w:u w:val="single" w:color="auto"/>
          <w:color w:val="0000EE"/>
        </w:rPr>
        <w:t xml:space="preserve"> </w:t>
      </w:r>
      <w:hyperlink r:id="rId201">
        <w:r>
          <w:rPr>
            <w:rFonts w:ascii="Arial" w:cs="Arial" w:eastAsia="Arial" w:hAnsi="Arial"/>
            <w:sz w:val="18"/>
            <w:szCs w:val="18"/>
            <w:u w:val="single" w:color="auto"/>
            <w:color w:val="0000EE"/>
          </w:rPr>
          <w:t>reference to Exhibit 10.2 to the Registrant’s Form 6-K, filed on November 17, 2020).</w:t>
        </w:r>
      </w:hyperlink>
    </w:p>
    <w:p>
      <w:pPr>
        <w:spacing w:after="0" w:line="62" w:lineRule="exact"/>
        <w:rPr>
          <w:sz w:val="20"/>
          <w:szCs w:val="20"/>
          <w:color w:val="auto"/>
        </w:rPr>
      </w:pPr>
    </w:p>
    <w:p>
      <w:pPr>
        <w:ind w:left="1000" w:right="100" w:hanging="845"/>
        <w:spacing w:after="0" w:line="263"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2.10</w:t>
      </w:r>
      <w:r>
        <w:rPr>
          <w:sz w:val="20"/>
          <w:szCs w:val="20"/>
          <w:color w:val="auto"/>
        </w:rPr>
        <w:tab/>
      </w:r>
      <w:hyperlink r:id="rId202">
        <w:r>
          <w:rPr>
            <w:rFonts w:ascii="Arial" w:cs="Arial" w:eastAsia="Arial" w:hAnsi="Arial"/>
            <w:sz w:val="18"/>
            <w:szCs w:val="18"/>
            <w:u w:val="single" w:color="auto"/>
            <w:color w:val="0000EE"/>
          </w:rPr>
          <w:t>Indenture relating to the 9.75% Senior Notes due 2024, dated as of March 1, 2019, among Navios Maritime Holdings Inc., the issuer party</w:t>
        </w:r>
      </w:hyperlink>
      <w:r>
        <w:rPr>
          <w:rFonts w:ascii="Arial" w:cs="Arial" w:eastAsia="Arial" w:hAnsi="Arial"/>
          <w:sz w:val="18"/>
          <w:szCs w:val="18"/>
          <w:u w:val="single" w:color="auto"/>
          <w:color w:val="0000EE"/>
        </w:rPr>
        <w:t xml:space="preserve"> </w:t>
      </w:r>
      <w:hyperlink r:id="rId202">
        <w:r>
          <w:rPr>
            <w:rFonts w:ascii="Arial" w:cs="Arial" w:eastAsia="Arial" w:hAnsi="Arial"/>
            <w:sz w:val="18"/>
            <w:szCs w:val="18"/>
            <w:u w:val="single" w:color="auto"/>
            <w:color w:val="0000EE"/>
          </w:rPr>
          <w:t>thereto, and Wilmington Trust, National Association, as trustee (Incorporated by reference to Exhibit 4.43 to the Registrant’s Form 10-K,</w:t>
        </w:r>
      </w:hyperlink>
      <w:r>
        <w:rPr>
          <w:rFonts w:ascii="Arial" w:cs="Arial" w:eastAsia="Arial" w:hAnsi="Arial"/>
          <w:sz w:val="18"/>
          <w:szCs w:val="18"/>
          <w:u w:val="single" w:color="auto"/>
          <w:color w:val="0000EE"/>
        </w:rPr>
        <w:t xml:space="preserve"> </w:t>
      </w:r>
      <w:hyperlink r:id="rId202">
        <w:r>
          <w:rPr>
            <w:rFonts w:ascii="Arial" w:cs="Arial" w:eastAsia="Arial" w:hAnsi="Arial"/>
            <w:sz w:val="18"/>
            <w:szCs w:val="18"/>
            <w:u w:val="single" w:color="auto"/>
            <w:color w:val="0000EE"/>
          </w:rPr>
          <w:t>filed on April 21, 2020).</w:t>
        </w:r>
      </w:hyperlink>
    </w:p>
    <w:p>
      <w:pPr>
        <w:spacing w:after="0" w:line="76" w:lineRule="exact"/>
        <w:rPr>
          <w:rFonts w:ascii="Arial" w:cs="Arial" w:eastAsia="Arial" w:hAnsi="Arial"/>
          <w:sz w:val="18"/>
          <w:szCs w:val="18"/>
          <w:u w:val="single" w:color="auto"/>
          <w:color w:val="0000EE"/>
        </w:rPr>
      </w:pPr>
    </w:p>
    <w:p>
      <w:pPr>
        <w:ind w:left="160"/>
        <w:spacing w:after="0"/>
        <w:tabs>
          <w:tab w:leader="none" w:pos="980" w:val="left"/>
        </w:tabs>
        <w:rPr>
          <w:rFonts w:ascii="Arial" w:cs="Arial" w:eastAsia="Arial" w:hAnsi="Arial"/>
          <w:sz w:val="16"/>
          <w:szCs w:val="16"/>
          <w:u w:val="single" w:color="auto"/>
          <w:color w:val="0000EE"/>
        </w:rPr>
      </w:pPr>
      <w:r>
        <w:rPr>
          <w:rFonts w:ascii="Arial" w:cs="Arial" w:eastAsia="Arial" w:hAnsi="Arial"/>
          <w:sz w:val="18"/>
          <w:szCs w:val="18"/>
          <w:color w:val="auto"/>
        </w:rPr>
        <w:t>2.10.1</w:t>
      </w:r>
      <w:r>
        <w:rPr>
          <w:sz w:val="20"/>
          <w:szCs w:val="20"/>
          <w:color w:val="auto"/>
        </w:rPr>
        <w:tab/>
      </w:r>
      <w:hyperlink r:id="rId203">
        <w:r>
          <w:rPr>
            <w:rFonts w:ascii="Arial" w:cs="Arial" w:eastAsia="Arial" w:hAnsi="Arial"/>
            <w:sz w:val="16"/>
            <w:szCs w:val="16"/>
            <w:u w:val="single" w:color="auto"/>
            <w:color w:val="0000EE"/>
          </w:rPr>
          <w:t>First Supplemental Indenture relating to the 9.75% Senior Notes due 2024, dated as of April 18, 2019 (Incorporated by reference to Exhibit</w:t>
        </w:r>
      </w:hyperlink>
    </w:p>
    <w:p>
      <w:pPr>
        <w:spacing w:after="0" w:line="23" w:lineRule="exact"/>
        <w:rPr>
          <w:rFonts w:ascii="Arial" w:cs="Arial" w:eastAsia="Arial" w:hAnsi="Arial"/>
          <w:sz w:val="18"/>
          <w:szCs w:val="18"/>
          <w:u w:val="single" w:color="auto"/>
          <w:color w:val="0000EE"/>
        </w:rPr>
      </w:pPr>
    </w:p>
    <w:p>
      <w:pPr>
        <w:ind w:left="1000"/>
        <w:spacing w:after="0"/>
        <w:rPr>
          <w:rFonts w:ascii="Arial" w:cs="Arial" w:eastAsia="Arial" w:hAnsi="Arial"/>
          <w:sz w:val="18"/>
          <w:szCs w:val="18"/>
          <w:u w:val="single" w:color="auto"/>
          <w:color w:val="0000EE"/>
        </w:rPr>
      </w:pPr>
      <w:hyperlink r:id="rId203">
        <w:r>
          <w:rPr>
            <w:rFonts w:ascii="Arial" w:cs="Arial" w:eastAsia="Arial" w:hAnsi="Arial"/>
            <w:sz w:val="18"/>
            <w:szCs w:val="18"/>
            <w:u w:val="single" w:color="auto"/>
            <w:color w:val="0000EE"/>
          </w:rPr>
          <w:t>4.44 to the Registrant’s Form 10-K, filed on April 21, 2020).</w:t>
        </w:r>
      </w:hyperlink>
    </w:p>
    <w:p>
      <w:pPr>
        <w:spacing w:after="0" w:line="103" w:lineRule="exact"/>
        <w:rPr>
          <w:rFonts w:ascii="Arial" w:cs="Arial" w:eastAsia="Arial" w:hAnsi="Arial"/>
          <w:sz w:val="18"/>
          <w:szCs w:val="18"/>
          <w:u w:val="single" w:color="auto"/>
          <w:color w:val="0000EE"/>
        </w:rPr>
      </w:pPr>
    </w:p>
    <w:p>
      <w:pPr>
        <w:ind w:left="1000" w:right="220" w:hanging="845"/>
        <w:spacing w:after="0" w:line="259"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2.11</w:t>
      </w:r>
      <w:r>
        <w:rPr>
          <w:sz w:val="20"/>
          <w:szCs w:val="20"/>
          <w:color w:val="auto"/>
        </w:rPr>
        <w:tab/>
      </w:r>
      <w:hyperlink r:id="rId204">
        <w:r>
          <w:rPr>
            <w:rFonts w:ascii="Arial" w:cs="Arial" w:eastAsia="Arial" w:hAnsi="Arial"/>
            <w:sz w:val="18"/>
            <w:szCs w:val="18"/>
            <w:u w:val="single" w:color="auto"/>
            <w:color w:val="0000EE"/>
          </w:rPr>
          <w:t>Form of Amended and Restated Deposit Agreement, by and among Navios Maritime Holdings Inc., Citibank, N.A., and the holders from</w:t>
        </w:r>
      </w:hyperlink>
      <w:r>
        <w:rPr>
          <w:rFonts w:ascii="Arial" w:cs="Arial" w:eastAsia="Arial" w:hAnsi="Arial"/>
          <w:sz w:val="18"/>
          <w:szCs w:val="18"/>
          <w:u w:val="single" w:color="auto"/>
          <w:color w:val="0000EE"/>
        </w:rPr>
        <w:t xml:space="preserve"> </w:t>
      </w:r>
      <w:hyperlink r:id="rId204">
        <w:r>
          <w:rPr>
            <w:rFonts w:ascii="Arial" w:cs="Arial" w:eastAsia="Arial" w:hAnsi="Arial"/>
            <w:sz w:val="18"/>
            <w:szCs w:val="18"/>
            <w:u w:val="single" w:color="auto"/>
            <w:color w:val="0000EE"/>
          </w:rPr>
          <w:t>time to time of the American Depositary Shares described therein, relating to the 8.75% Series G Cumulative Redeemable Perpetual</w:t>
        </w:r>
      </w:hyperlink>
      <w:r>
        <w:rPr>
          <w:rFonts w:ascii="Arial" w:cs="Arial" w:eastAsia="Arial" w:hAnsi="Arial"/>
          <w:sz w:val="18"/>
          <w:szCs w:val="18"/>
          <w:u w:val="single" w:color="auto"/>
          <w:color w:val="0000EE"/>
        </w:rPr>
        <w:t xml:space="preserve"> </w:t>
      </w:r>
      <w:hyperlink r:id="rId204">
        <w:r>
          <w:rPr>
            <w:rFonts w:ascii="Arial" w:cs="Arial" w:eastAsia="Arial" w:hAnsi="Arial"/>
            <w:sz w:val="18"/>
            <w:szCs w:val="18"/>
            <w:u w:val="single" w:color="auto"/>
            <w:color w:val="0000EE"/>
          </w:rPr>
          <w:t>Preferred Stock (Incorporated by reference to Exhibit 99.(a) to the Registrant’s Registration Statement on Form F-6, filed on March 26,</w:t>
        </w:r>
      </w:hyperlink>
      <w:r>
        <w:rPr>
          <w:rFonts w:ascii="Arial" w:cs="Arial" w:eastAsia="Arial" w:hAnsi="Arial"/>
          <w:sz w:val="18"/>
          <w:szCs w:val="18"/>
          <w:u w:val="single" w:color="auto"/>
          <w:color w:val="0000EE"/>
        </w:rPr>
        <w:t xml:space="preserve"> </w:t>
      </w:r>
      <w:hyperlink r:id="rId204">
        <w:r>
          <w:rPr>
            <w:rFonts w:ascii="Arial" w:cs="Arial" w:eastAsia="Arial" w:hAnsi="Arial"/>
            <w:sz w:val="18"/>
            <w:szCs w:val="18"/>
            <w:u w:val="single" w:color="auto"/>
            <w:color w:val="0000EE"/>
          </w:rPr>
          <w:t>2021).</w:t>
        </w:r>
      </w:hyperlink>
    </w:p>
    <w:p>
      <w:pPr>
        <w:spacing w:after="0" w:line="119" w:lineRule="exact"/>
        <w:rPr>
          <w:rFonts w:ascii="Arial" w:cs="Arial" w:eastAsia="Arial" w:hAnsi="Arial"/>
          <w:sz w:val="18"/>
          <w:szCs w:val="18"/>
          <w:u w:val="single" w:color="auto"/>
          <w:color w:val="0000EE"/>
        </w:rPr>
      </w:pPr>
    </w:p>
    <w:p>
      <w:pPr>
        <w:jc w:val="center"/>
        <w:ind w:right="-1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20"/>
          </w:cols>
          <w:pgMar w:left="320" w:top="459" w:right="4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00" w:right="160" w:hanging="737"/>
        <w:spacing w:after="0" w:line="263"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2.12</w:t>
      </w:r>
      <w:r>
        <w:rPr>
          <w:sz w:val="20"/>
          <w:szCs w:val="20"/>
          <w:color w:val="auto"/>
        </w:rPr>
        <w:tab/>
      </w:r>
      <w:hyperlink r:id="rId206">
        <w:r>
          <w:rPr>
            <w:rFonts w:ascii="Arial" w:cs="Arial" w:eastAsia="Arial" w:hAnsi="Arial"/>
            <w:sz w:val="18"/>
            <w:szCs w:val="18"/>
            <w:u w:val="single" w:color="auto"/>
            <w:color w:val="0000EE"/>
          </w:rPr>
          <w:t>Certificate of Designation of 8.75% Series G Cumulative Redeemable Perpetual Preferred Stock of Navios Maritime Holdings Inc.</w:t>
        </w:r>
      </w:hyperlink>
      <w:r>
        <w:rPr>
          <w:rFonts w:ascii="Arial" w:cs="Arial" w:eastAsia="Arial" w:hAnsi="Arial"/>
          <w:sz w:val="18"/>
          <w:szCs w:val="18"/>
          <w:u w:val="single" w:color="auto"/>
          <w:color w:val="0000EE"/>
        </w:rPr>
        <w:t xml:space="preserve"> </w:t>
      </w:r>
      <w:hyperlink r:id="rId206">
        <w:r>
          <w:rPr>
            <w:rFonts w:ascii="Arial" w:cs="Arial" w:eastAsia="Arial" w:hAnsi="Arial"/>
            <w:sz w:val="18"/>
            <w:szCs w:val="18"/>
            <w:u w:val="single" w:color="auto"/>
            <w:color w:val="0000EE"/>
          </w:rPr>
          <w:t>(Incorporated by reference to Exhibit 3.3 to the Registrant’s Registration Statement on Form 8-A (File No. 001-33311), filed on January 24,</w:t>
        </w:r>
      </w:hyperlink>
      <w:r>
        <w:rPr>
          <w:rFonts w:ascii="Arial" w:cs="Arial" w:eastAsia="Arial" w:hAnsi="Arial"/>
          <w:sz w:val="18"/>
          <w:szCs w:val="18"/>
          <w:u w:val="single" w:color="auto"/>
          <w:color w:val="0000EE"/>
        </w:rPr>
        <w:t xml:space="preserve"> </w:t>
      </w:r>
      <w:hyperlink r:id="rId206">
        <w:r>
          <w:rPr>
            <w:rFonts w:ascii="Arial" w:cs="Arial" w:eastAsia="Arial" w:hAnsi="Arial"/>
            <w:sz w:val="18"/>
            <w:szCs w:val="18"/>
            <w:u w:val="single" w:color="auto"/>
            <w:color w:val="0000EE"/>
          </w:rPr>
          <w:t>2014).</w:t>
        </w:r>
      </w:hyperlink>
    </w:p>
    <w:p>
      <w:pPr>
        <w:spacing w:after="0" w:line="76" w:lineRule="exact"/>
        <w:rPr>
          <w:rFonts w:ascii="Arial" w:cs="Arial" w:eastAsia="Arial" w:hAnsi="Arial"/>
          <w:sz w:val="18"/>
          <w:szCs w:val="18"/>
          <w:u w:val="single" w:color="auto"/>
          <w:color w:val="0000EE"/>
        </w:rPr>
      </w:pPr>
    </w:p>
    <w:p>
      <w:pPr>
        <w:ind w:left="900" w:right="20" w:hanging="737"/>
        <w:spacing w:after="0" w:line="27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2.13</w:t>
      </w:r>
      <w:r>
        <w:rPr>
          <w:sz w:val="20"/>
          <w:szCs w:val="20"/>
          <w:color w:val="auto"/>
        </w:rPr>
        <w:tab/>
      </w:r>
      <w:hyperlink r:id="rId207">
        <w:r>
          <w:rPr>
            <w:rFonts w:ascii="Arial" w:cs="Arial" w:eastAsia="Arial" w:hAnsi="Arial"/>
            <w:sz w:val="18"/>
            <w:szCs w:val="18"/>
            <w:u w:val="single" w:color="auto"/>
            <w:color w:val="0000EE"/>
          </w:rPr>
          <w:t>Form of American Depositary Receipt representing the American Depositary Shares (Incorporated by reference to Exhibit A to Exhibit 4.1 to</w:t>
        </w:r>
      </w:hyperlink>
      <w:r>
        <w:rPr>
          <w:rFonts w:ascii="Arial" w:cs="Arial" w:eastAsia="Arial" w:hAnsi="Arial"/>
          <w:sz w:val="18"/>
          <w:szCs w:val="18"/>
          <w:u w:val="single" w:color="auto"/>
          <w:color w:val="0000EE"/>
        </w:rPr>
        <w:t xml:space="preserve"> </w:t>
      </w:r>
      <w:hyperlink r:id="rId207">
        <w:r>
          <w:rPr>
            <w:rFonts w:ascii="Arial" w:cs="Arial" w:eastAsia="Arial" w:hAnsi="Arial"/>
            <w:sz w:val="18"/>
            <w:szCs w:val="18"/>
            <w:u w:val="single" w:color="auto"/>
            <w:color w:val="0000EE"/>
          </w:rPr>
          <w:t>the Registrant’s Registration Statement on Form 8-A (File No. 001-33311), filed on January 24, 2014).</w:t>
        </w:r>
      </w:hyperlink>
    </w:p>
    <w:p>
      <w:pPr>
        <w:spacing w:after="0" w:line="62" w:lineRule="exact"/>
        <w:rPr>
          <w:sz w:val="20"/>
          <w:szCs w:val="20"/>
          <w:color w:val="auto"/>
        </w:rPr>
      </w:pPr>
    </w:p>
    <w:p>
      <w:pPr>
        <w:ind w:left="160"/>
        <w:spacing w:after="0"/>
        <w:tabs>
          <w:tab w:leader="none" w:pos="880" w:val="left"/>
        </w:tabs>
        <w:rPr>
          <w:rFonts w:ascii="Arial" w:cs="Arial" w:eastAsia="Arial" w:hAnsi="Arial"/>
          <w:sz w:val="16"/>
          <w:szCs w:val="16"/>
          <w:u w:val="single" w:color="auto"/>
          <w:color w:val="0000EE"/>
        </w:rPr>
      </w:pPr>
      <w:r>
        <w:rPr>
          <w:rFonts w:ascii="Arial" w:cs="Arial" w:eastAsia="Arial" w:hAnsi="Arial"/>
          <w:sz w:val="18"/>
          <w:szCs w:val="18"/>
          <w:color w:val="auto"/>
        </w:rPr>
        <w:t>2.14</w:t>
      </w:r>
      <w:r>
        <w:rPr>
          <w:sz w:val="20"/>
          <w:szCs w:val="20"/>
          <w:color w:val="auto"/>
        </w:rPr>
        <w:tab/>
      </w:r>
      <w:hyperlink r:id="rId208">
        <w:r>
          <w:rPr>
            <w:rFonts w:ascii="Arial" w:cs="Arial" w:eastAsia="Arial" w:hAnsi="Arial"/>
            <w:sz w:val="16"/>
            <w:szCs w:val="16"/>
            <w:u w:val="single" w:color="auto"/>
            <w:color w:val="0000EE"/>
          </w:rPr>
          <w:t>Form of Certificate representing the 8.75% Series G Cumulative Redeemable Perpetual Preferred Stock (Incorporated by reference to Exhibit</w:t>
        </w:r>
      </w:hyperlink>
    </w:p>
    <w:p>
      <w:pPr>
        <w:spacing w:after="0" w:line="23" w:lineRule="exact"/>
        <w:rPr>
          <w:sz w:val="20"/>
          <w:szCs w:val="20"/>
          <w:color w:val="auto"/>
        </w:rPr>
      </w:pPr>
    </w:p>
    <w:p>
      <w:pPr>
        <w:ind w:left="900"/>
        <w:spacing w:after="0"/>
        <w:rPr>
          <w:rFonts w:ascii="Arial" w:cs="Arial" w:eastAsia="Arial" w:hAnsi="Arial"/>
          <w:sz w:val="18"/>
          <w:szCs w:val="18"/>
          <w:u w:val="single" w:color="auto"/>
          <w:color w:val="0000EE"/>
        </w:rPr>
      </w:pPr>
      <w:hyperlink r:id="rId208">
        <w:r>
          <w:rPr>
            <w:rFonts w:ascii="Arial" w:cs="Arial" w:eastAsia="Arial" w:hAnsi="Arial"/>
            <w:sz w:val="18"/>
            <w:szCs w:val="18"/>
            <w:u w:val="single" w:color="auto"/>
            <w:color w:val="0000EE"/>
          </w:rPr>
          <w:t>4.3 to the Registrant’s Registration Statement on Form 8-A (File No. 001-33311), filed on January 24, 2014).</w:t>
        </w:r>
      </w:hyperlink>
    </w:p>
    <w:p>
      <w:pPr>
        <w:spacing w:after="0" w:line="103" w:lineRule="exact"/>
        <w:rPr>
          <w:sz w:val="20"/>
          <w:szCs w:val="20"/>
          <w:color w:val="auto"/>
        </w:rPr>
      </w:pPr>
    </w:p>
    <w:p>
      <w:pPr>
        <w:ind w:left="900" w:right="340" w:hanging="737"/>
        <w:spacing w:after="0" w:line="259"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2.15</w:t>
      </w:r>
      <w:r>
        <w:rPr>
          <w:sz w:val="20"/>
          <w:szCs w:val="20"/>
          <w:color w:val="auto"/>
        </w:rPr>
        <w:tab/>
      </w:r>
      <w:hyperlink r:id="rId209">
        <w:r>
          <w:rPr>
            <w:rFonts w:ascii="Arial" w:cs="Arial" w:eastAsia="Arial" w:hAnsi="Arial"/>
            <w:sz w:val="18"/>
            <w:szCs w:val="18"/>
            <w:u w:val="single" w:color="auto"/>
            <w:color w:val="0000EE"/>
          </w:rPr>
          <w:t>Form of Amended and Restated Deposit Agreement, by and among Navios Maritime Holdings Inc., Citibank, N.A., and the holders from</w:t>
        </w:r>
      </w:hyperlink>
      <w:r>
        <w:rPr>
          <w:rFonts w:ascii="Arial" w:cs="Arial" w:eastAsia="Arial" w:hAnsi="Arial"/>
          <w:sz w:val="18"/>
          <w:szCs w:val="18"/>
          <w:u w:val="single" w:color="auto"/>
          <w:color w:val="0000EE"/>
        </w:rPr>
        <w:t xml:space="preserve"> </w:t>
      </w:r>
      <w:hyperlink r:id="rId209">
        <w:r>
          <w:rPr>
            <w:rFonts w:ascii="Arial" w:cs="Arial" w:eastAsia="Arial" w:hAnsi="Arial"/>
            <w:sz w:val="18"/>
            <w:szCs w:val="18"/>
            <w:u w:val="single" w:color="auto"/>
            <w:color w:val="0000EE"/>
          </w:rPr>
          <w:t>time to time of the American Depositary Shares described therein, relating to the 8.625% Series H Cumulative Redeemable Perpetual</w:t>
        </w:r>
      </w:hyperlink>
      <w:r>
        <w:rPr>
          <w:rFonts w:ascii="Arial" w:cs="Arial" w:eastAsia="Arial" w:hAnsi="Arial"/>
          <w:sz w:val="18"/>
          <w:szCs w:val="18"/>
          <w:u w:val="single" w:color="auto"/>
          <w:color w:val="0000EE"/>
        </w:rPr>
        <w:t xml:space="preserve"> </w:t>
      </w:r>
      <w:hyperlink r:id="rId209">
        <w:r>
          <w:rPr>
            <w:rFonts w:ascii="Arial" w:cs="Arial" w:eastAsia="Arial" w:hAnsi="Arial"/>
            <w:sz w:val="18"/>
            <w:szCs w:val="18"/>
            <w:u w:val="single" w:color="auto"/>
            <w:color w:val="0000EE"/>
          </w:rPr>
          <w:t>Preferred Stock (Incorporated by reference to Exhibit 99.(a) to the Registrant’s Registration Statement on Form F-6, filed on March 26,</w:t>
        </w:r>
      </w:hyperlink>
      <w:r>
        <w:rPr>
          <w:rFonts w:ascii="Arial" w:cs="Arial" w:eastAsia="Arial" w:hAnsi="Arial"/>
          <w:sz w:val="18"/>
          <w:szCs w:val="18"/>
          <w:u w:val="single" w:color="auto"/>
          <w:color w:val="0000EE"/>
        </w:rPr>
        <w:t xml:space="preserve"> </w:t>
      </w:r>
      <w:hyperlink r:id="rId209">
        <w:r>
          <w:rPr>
            <w:rFonts w:ascii="Arial" w:cs="Arial" w:eastAsia="Arial" w:hAnsi="Arial"/>
            <w:sz w:val="18"/>
            <w:szCs w:val="18"/>
            <w:u w:val="single" w:color="auto"/>
            <w:color w:val="0000EE"/>
          </w:rPr>
          <w:t>2021).</w:t>
        </w:r>
      </w:hyperlink>
    </w:p>
    <w:p>
      <w:pPr>
        <w:spacing w:after="0" w:line="79" w:lineRule="exact"/>
        <w:rPr>
          <w:rFonts w:ascii="Arial" w:cs="Arial" w:eastAsia="Arial" w:hAnsi="Arial"/>
          <w:sz w:val="18"/>
          <w:szCs w:val="18"/>
          <w:u w:val="single" w:color="auto"/>
          <w:color w:val="0000EE"/>
        </w:rPr>
      </w:pPr>
    </w:p>
    <w:p>
      <w:pPr>
        <w:ind w:left="160"/>
        <w:spacing w:after="0"/>
        <w:tabs>
          <w:tab w:leader="none" w:pos="880" w:val="left"/>
        </w:tabs>
        <w:rPr>
          <w:rFonts w:ascii="Arial" w:cs="Arial" w:eastAsia="Arial" w:hAnsi="Arial"/>
          <w:sz w:val="16"/>
          <w:szCs w:val="16"/>
          <w:u w:val="single" w:color="auto"/>
          <w:color w:val="0000EE"/>
        </w:rPr>
      </w:pPr>
      <w:r>
        <w:rPr>
          <w:rFonts w:ascii="Arial" w:cs="Arial" w:eastAsia="Arial" w:hAnsi="Arial"/>
          <w:sz w:val="18"/>
          <w:szCs w:val="18"/>
          <w:color w:val="auto"/>
        </w:rPr>
        <w:t>2.16</w:t>
      </w:r>
      <w:r>
        <w:rPr>
          <w:sz w:val="20"/>
          <w:szCs w:val="20"/>
          <w:color w:val="auto"/>
        </w:rPr>
        <w:tab/>
      </w:r>
      <w:hyperlink r:id="rId210">
        <w:r>
          <w:rPr>
            <w:rFonts w:ascii="Arial" w:cs="Arial" w:eastAsia="Arial" w:hAnsi="Arial"/>
            <w:sz w:val="16"/>
            <w:szCs w:val="16"/>
            <w:u w:val="single" w:color="auto"/>
            <w:color w:val="0000EE"/>
          </w:rPr>
          <w:t>Certificate of Designation of 8.625% Series H Cumulative Redeemable Perpetual Preferred Stock of Navios Maritime Holdings Inc.</w:t>
        </w:r>
      </w:hyperlink>
    </w:p>
    <w:p>
      <w:pPr>
        <w:spacing w:after="0" w:line="23" w:lineRule="exact"/>
        <w:rPr>
          <w:rFonts w:ascii="Arial" w:cs="Arial" w:eastAsia="Arial" w:hAnsi="Arial"/>
          <w:sz w:val="18"/>
          <w:szCs w:val="18"/>
          <w:u w:val="single" w:color="auto"/>
          <w:color w:val="0000EE"/>
        </w:rPr>
      </w:pPr>
    </w:p>
    <w:p>
      <w:pPr>
        <w:ind w:left="900"/>
        <w:spacing w:after="0"/>
        <w:rPr>
          <w:rFonts w:ascii="Arial" w:cs="Arial" w:eastAsia="Arial" w:hAnsi="Arial"/>
          <w:sz w:val="16"/>
          <w:szCs w:val="16"/>
          <w:u w:val="single" w:color="auto"/>
          <w:color w:val="0000EE"/>
        </w:rPr>
      </w:pPr>
      <w:hyperlink r:id="rId210">
        <w:r>
          <w:rPr>
            <w:rFonts w:ascii="Arial" w:cs="Arial" w:eastAsia="Arial" w:hAnsi="Arial"/>
            <w:sz w:val="16"/>
            <w:szCs w:val="16"/>
            <w:u w:val="single" w:color="auto"/>
            <w:color w:val="0000EE"/>
          </w:rPr>
          <w:t>(Incorporated by reference to Exhibit 3.3 to the Registrant’s Registration Statement on Form 8-A (File No. 001-33311), filed on July 7, 2014).</w:t>
        </w:r>
      </w:hyperlink>
    </w:p>
    <w:p>
      <w:pPr>
        <w:spacing w:after="0" w:line="126" w:lineRule="exact"/>
        <w:rPr>
          <w:rFonts w:ascii="Arial" w:cs="Arial" w:eastAsia="Arial" w:hAnsi="Arial"/>
          <w:sz w:val="18"/>
          <w:szCs w:val="18"/>
          <w:u w:val="single" w:color="auto"/>
          <w:color w:val="0000EE"/>
        </w:rPr>
      </w:pPr>
    </w:p>
    <w:p>
      <w:pPr>
        <w:ind w:left="900" w:right="520" w:hanging="737"/>
        <w:spacing w:after="0" w:line="308" w:lineRule="auto"/>
        <w:tabs>
          <w:tab w:leader="none" w:pos="880" w:val="left"/>
        </w:tabs>
        <w:rPr>
          <w:rFonts w:ascii="Arial" w:cs="Arial" w:eastAsia="Arial" w:hAnsi="Arial"/>
          <w:sz w:val="17"/>
          <w:szCs w:val="17"/>
          <w:u w:val="single" w:color="auto"/>
          <w:color w:val="0000EE"/>
        </w:rPr>
      </w:pPr>
      <w:r>
        <w:rPr>
          <w:rFonts w:ascii="Arial" w:cs="Arial" w:eastAsia="Arial" w:hAnsi="Arial"/>
          <w:sz w:val="18"/>
          <w:szCs w:val="18"/>
          <w:color w:val="auto"/>
        </w:rPr>
        <w:t>2.17</w:t>
      </w:r>
      <w:r>
        <w:rPr>
          <w:sz w:val="20"/>
          <w:szCs w:val="20"/>
          <w:color w:val="auto"/>
        </w:rPr>
        <w:tab/>
      </w:r>
      <w:hyperlink r:id="rId211">
        <w:r>
          <w:rPr>
            <w:rFonts w:ascii="Arial" w:cs="Arial" w:eastAsia="Arial" w:hAnsi="Arial"/>
            <w:sz w:val="17"/>
            <w:szCs w:val="17"/>
            <w:u w:val="single" w:color="auto"/>
            <w:color w:val="0000EE"/>
          </w:rPr>
          <w:t>Form of Certificate representing the 8.625% Series H Cumulative Redeemable Perpetual Preferred Stock (Incorporated by reference to</w:t>
        </w:r>
      </w:hyperlink>
      <w:r>
        <w:rPr>
          <w:rFonts w:ascii="Arial" w:cs="Arial" w:eastAsia="Arial" w:hAnsi="Arial"/>
          <w:sz w:val="17"/>
          <w:szCs w:val="17"/>
          <w:u w:val="single" w:color="auto"/>
          <w:color w:val="0000EE"/>
        </w:rPr>
        <w:t xml:space="preserve"> </w:t>
      </w:r>
      <w:hyperlink r:id="rId211">
        <w:r>
          <w:rPr>
            <w:rFonts w:ascii="Arial" w:cs="Arial" w:eastAsia="Arial" w:hAnsi="Arial"/>
            <w:sz w:val="17"/>
            <w:szCs w:val="17"/>
            <w:u w:val="single" w:color="auto"/>
            <w:color w:val="0000EE"/>
          </w:rPr>
          <w:t>Exhibit 4.3 to the Registrant’s Registration Statement on Form 8-A (File No. 001-33311), filed on July 7, 2014).</w:t>
        </w:r>
      </w:hyperlink>
    </w:p>
    <w:p>
      <w:pPr>
        <w:spacing w:after="0" w:line="38" w:lineRule="exact"/>
        <w:rPr>
          <w:sz w:val="20"/>
          <w:szCs w:val="20"/>
          <w:color w:val="auto"/>
        </w:rPr>
      </w:pPr>
    </w:p>
    <w:p>
      <w:pPr>
        <w:ind w:left="900" w:right="660" w:hanging="737"/>
        <w:spacing w:after="0" w:line="263"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2.18</w:t>
      </w:r>
      <w:r>
        <w:rPr>
          <w:sz w:val="20"/>
          <w:szCs w:val="20"/>
          <w:color w:val="auto"/>
        </w:rPr>
        <w:tab/>
      </w:r>
      <w:hyperlink r:id="rId212">
        <w:r>
          <w:rPr>
            <w:rFonts w:ascii="Arial" w:cs="Arial" w:eastAsia="Arial" w:hAnsi="Arial"/>
            <w:sz w:val="18"/>
            <w:szCs w:val="18"/>
            <w:u w:val="single" w:color="auto"/>
            <w:color w:val="0000EE"/>
          </w:rPr>
          <w:t>Stockholders Rights Agreement dated as of February19, 2019 by and between Navios Maritime Holdings Inc. and Continental Stock</w:t>
        </w:r>
      </w:hyperlink>
      <w:r>
        <w:rPr>
          <w:rFonts w:ascii="Arial" w:cs="Arial" w:eastAsia="Arial" w:hAnsi="Arial"/>
          <w:sz w:val="18"/>
          <w:szCs w:val="18"/>
          <w:u w:val="single" w:color="auto"/>
          <w:color w:val="0000EE"/>
        </w:rPr>
        <w:t xml:space="preserve"> </w:t>
      </w:r>
      <w:hyperlink r:id="rId212">
        <w:r>
          <w:rPr>
            <w:rFonts w:ascii="Arial" w:cs="Arial" w:eastAsia="Arial" w:hAnsi="Arial"/>
            <w:sz w:val="18"/>
            <w:szCs w:val="18"/>
            <w:u w:val="single" w:color="auto"/>
            <w:color w:val="0000EE"/>
          </w:rPr>
          <w:t>Transfer&amp; Trust Company (Incorporated by reference to Exhibit 10.2 to the Registrant’s Registration Statement on Form 8-A (File</w:t>
        </w:r>
      </w:hyperlink>
      <w:r>
        <w:rPr>
          <w:rFonts w:ascii="Arial" w:cs="Arial" w:eastAsia="Arial" w:hAnsi="Arial"/>
          <w:sz w:val="18"/>
          <w:szCs w:val="18"/>
          <w:u w:val="single" w:color="auto"/>
          <w:color w:val="0000EE"/>
        </w:rPr>
        <w:t xml:space="preserve"> </w:t>
      </w:r>
      <w:hyperlink r:id="rId212">
        <w:r>
          <w:rPr>
            <w:rFonts w:ascii="Arial" w:cs="Arial" w:eastAsia="Arial" w:hAnsi="Arial"/>
            <w:sz w:val="18"/>
            <w:szCs w:val="18"/>
            <w:u w:val="single" w:color="auto"/>
            <w:color w:val="0000EE"/>
          </w:rPr>
          <w:t>No.001-33311), filed on February 19, 2019).</w:t>
        </w:r>
      </w:hyperlink>
    </w:p>
    <w:p>
      <w:pPr>
        <w:spacing w:after="0" w:line="76" w:lineRule="exact"/>
        <w:rPr>
          <w:rFonts w:ascii="Arial" w:cs="Arial" w:eastAsia="Arial" w:hAnsi="Arial"/>
          <w:sz w:val="18"/>
          <w:szCs w:val="18"/>
          <w:u w:val="single" w:color="auto"/>
          <w:color w:val="0000EE"/>
        </w:rPr>
      </w:pPr>
    </w:p>
    <w:p>
      <w:pPr>
        <w:ind w:left="160"/>
        <w:spacing w:after="0"/>
        <w:tabs>
          <w:tab w:leader="none" w:pos="880" w:val="left"/>
        </w:tabs>
        <w:rPr>
          <w:rFonts w:ascii="Arial" w:cs="Arial" w:eastAsia="Arial" w:hAnsi="Arial"/>
          <w:sz w:val="16"/>
          <w:szCs w:val="16"/>
          <w:u w:val="single" w:color="auto"/>
          <w:color w:val="0000EE"/>
        </w:rPr>
      </w:pPr>
      <w:r>
        <w:rPr>
          <w:rFonts w:ascii="Arial" w:cs="Arial" w:eastAsia="Arial" w:hAnsi="Arial"/>
          <w:sz w:val="18"/>
          <w:szCs w:val="18"/>
          <w:color w:val="auto"/>
        </w:rPr>
        <w:t>2.19</w:t>
      </w:r>
      <w:r>
        <w:rPr>
          <w:sz w:val="20"/>
          <w:szCs w:val="20"/>
          <w:color w:val="auto"/>
        </w:rPr>
        <w:tab/>
      </w:r>
      <w:hyperlink w:anchor="page251">
        <w:r>
          <w:rPr>
            <w:rFonts w:ascii="Arial" w:cs="Arial" w:eastAsia="Arial" w:hAnsi="Arial"/>
            <w:sz w:val="16"/>
            <w:szCs w:val="16"/>
            <w:u w:val="single" w:color="auto"/>
            <w:color w:val="0000EE"/>
          </w:rPr>
          <w:t>Description of the rights of each class of securities registered under Section 12 of the Exchange Act.</w:t>
        </w:r>
      </w:hyperlink>
    </w:p>
    <w:p>
      <w:pPr>
        <w:spacing w:after="0" w:line="117" w:lineRule="exact"/>
        <w:rPr>
          <w:rFonts w:ascii="Arial" w:cs="Arial" w:eastAsia="Arial" w:hAnsi="Arial"/>
          <w:sz w:val="18"/>
          <w:szCs w:val="18"/>
          <w:u w:val="single" w:color="auto"/>
          <w:color w:val="0000EE"/>
        </w:rPr>
      </w:pPr>
    </w:p>
    <w:p>
      <w:pPr>
        <w:ind w:left="900" w:right="120" w:hanging="737"/>
        <w:spacing w:after="0" w:line="263"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4.1</w:t>
      </w:r>
      <w:r>
        <w:rPr>
          <w:sz w:val="20"/>
          <w:szCs w:val="20"/>
          <w:color w:val="auto"/>
        </w:rPr>
        <w:tab/>
      </w:r>
      <w:hyperlink r:id="rId213">
        <w:r>
          <w:rPr>
            <w:rFonts w:ascii="Arial" w:cs="Arial" w:eastAsia="Arial" w:hAnsi="Arial"/>
            <w:sz w:val="18"/>
            <w:szCs w:val="18"/>
            <w:u w:val="single" w:color="auto"/>
            <w:color w:val="0000EE"/>
          </w:rPr>
          <w:t>Amendment to Omnibus Agreement, dated June 29, 2009, by and among Navios Maritime Holdings Inc., Navios GP L.L.C., Navios</w:t>
        </w:r>
      </w:hyperlink>
      <w:r>
        <w:rPr>
          <w:rFonts w:ascii="Arial" w:cs="Arial" w:eastAsia="Arial" w:hAnsi="Arial"/>
          <w:sz w:val="18"/>
          <w:szCs w:val="18"/>
          <w:u w:val="single" w:color="auto"/>
          <w:color w:val="0000EE"/>
        </w:rPr>
        <w:t xml:space="preserve"> </w:t>
      </w:r>
      <w:hyperlink r:id="rId213">
        <w:r>
          <w:rPr>
            <w:rFonts w:ascii="Arial" w:cs="Arial" w:eastAsia="Arial" w:hAnsi="Arial"/>
            <w:sz w:val="18"/>
            <w:szCs w:val="18"/>
            <w:u w:val="single" w:color="auto"/>
            <w:color w:val="0000EE"/>
          </w:rPr>
          <w:t>Maritime Operating L.L.C. and Navios Maritime Partners L.P. (Incorporated by reference to Exhibit 10.2 to the Registrant’s Form 6-K, filed</w:t>
        </w:r>
      </w:hyperlink>
      <w:r>
        <w:rPr>
          <w:rFonts w:ascii="Arial" w:cs="Arial" w:eastAsia="Arial" w:hAnsi="Arial"/>
          <w:sz w:val="18"/>
          <w:szCs w:val="18"/>
          <w:u w:val="single" w:color="auto"/>
          <w:color w:val="0000EE"/>
        </w:rPr>
        <w:t xml:space="preserve"> </w:t>
      </w:r>
      <w:hyperlink r:id="rId213">
        <w:r>
          <w:rPr>
            <w:rFonts w:ascii="Arial" w:cs="Arial" w:eastAsia="Arial" w:hAnsi="Arial"/>
            <w:sz w:val="18"/>
            <w:szCs w:val="18"/>
            <w:u w:val="single" w:color="auto"/>
            <w:color w:val="0000EE"/>
          </w:rPr>
          <w:t>on July 7, 2009).</w:t>
        </w:r>
      </w:hyperlink>
    </w:p>
    <w:p>
      <w:pPr>
        <w:spacing w:after="0" w:line="76" w:lineRule="exact"/>
        <w:rPr>
          <w:rFonts w:ascii="Arial" w:cs="Arial" w:eastAsia="Arial" w:hAnsi="Arial"/>
          <w:sz w:val="18"/>
          <w:szCs w:val="18"/>
          <w:u w:val="single" w:color="auto"/>
          <w:color w:val="0000EE"/>
        </w:rPr>
      </w:pPr>
    </w:p>
    <w:p>
      <w:pPr>
        <w:ind w:left="900" w:right="260" w:hanging="737"/>
        <w:spacing w:after="0" w:line="27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4.2</w:t>
      </w:r>
      <w:r>
        <w:rPr>
          <w:sz w:val="20"/>
          <w:szCs w:val="20"/>
          <w:color w:val="auto"/>
        </w:rPr>
        <w:tab/>
      </w:r>
      <w:hyperlink r:id="rId214">
        <w:r>
          <w:rPr>
            <w:rFonts w:ascii="Arial" w:cs="Arial" w:eastAsia="Arial" w:hAnsi="Arial"/>
            <w:sz w:val="18"/>
            <w:szCs w:val="18"/>
            <w:u w:val="single" w:color="auto"/>
            <w:color w:val="0000EE"/>
          </w:rPr>
          <w:t>Administrative Services Agreement, dated April 12, 2011, between Navios South American Logistics Inc. and Navios Maritime Holdings</w:t>
        </w:r>
      </w:hyperlink>
      <w:r>
        <w:rPr>
          <w:rFonts w:ascii="Arial" w:cs="Arial" w:eastAsia="Arial" w:hAnsi="Arial"/>
          <w:sz w:val="18"/>
          <w:szCs w:val="18"/>
          <w:u w:val="single" w:color="auto"/>
          <w:color w:val="0000EE"/>
        </w:rPr>
        <w:t xml:space="preserve"> </w:t>
      </w:r>
      <w:hyperlink r:id="rId214">
        <w:r>
          <w:rPr>
            <w:rFonts w:ascii="Arial" w:cs="Arial" w:eastAsia="Arial" w:hAnsi="Arial"/>
            <w:sz w:val="18"/>
            <w:szCs w:val="18"/>
            <w:u w:val="single" w:color="auto"/>
            <w:color w:val="0000EE"/>
          </w:rPr>
          <w:t>Inc. (Incorporated by reference to Exhibit 10.3 to the Registrant’s Form 6-K, filed on May 25, 2011).</w:t>
        </w:r>
      </w:hyperlink>
    </w:p>
    <w:p>
      <w:pPr>
        <w:spacing w:after="0" w:line="62" w:lineRule="exact"/>
        <w:rPr>
          <w:sz w:val="20"/>
          <w:szCs w:val="20"/>
          <w:color w:val="auto"/>
        </w:rPr>
      </w:pPr>
    </w:p>
    <w:p>
      <w:pPr>
        <w:ind w:left="900" w:right="700" w:hanging="737"/>
        <w:spacing w:after="0" w:line="308" w:lineRule="auto"/>
        <w:tabs>
          <w:tab w:leader="none" w:pos="880" w:val="left"/>
        </w:tabs>
        <w:rPr>
          <w:rFonts w:ascii="Arial" w:cs="Arial" w:eastAsia="Arial" w:hAnsi="Arial"/>
          <w:sz w:val="17"/>
          <w:szCs w:val="17"/>
          <w:u w:val="single" w:color="auto"/>
          <w:color w:val="0000EE"/>
        </w:rPr>
      </w:pPr>
      <w:r>
        <w:rPr>
          <w:rFonts w:ascii="Arial" w:cs="Arial" w:eastAsia="Arial" w:hAnsi="Arial"/>
          <w:sz w:val="18"/>
          <w:szCs w:val="18"/>
          <w:color w:val="auto"/>
        </w:rPr>
        <w:t>4.3</w:t>
      </w:r>
      <w:r>
        <w:rPr>
          <w:sz w:val="20"/>
          <w:szCs w:val="20"/>
          <w:color w:val="auto"/>
        </w:rPr>
        <w:tab/>
      </w:r>
      <w:hyperlink r:id="rId215">
        <w:r>
          <w:rPr>
            <w:rFonts w:ascii="Arial" w:cs="Arial" w:eastAsia="Arial" w:hAnsi="Arial"/>
            <w:sz w:val="17"/>
            <w:szCs w:val="17"/>
            <w:u w:val="single" w:color="auto"/>
            <w:color w:val="0000EE"/>
          </w:rPr>
          <w:t>Management Agreement, dated August 29, 2019, by and between Navios Maritime Holdings Inc and Navios Shipmanagements Inc</w:t>
        </w:r>
      </w:hyperlink>
      <w:r>
        <w:rPr>
          <w:rFonts w:ascii="Arial" w:cs="Arial" w:eastAsia="Arial" w:hAnsi="Arial"/>
          <w:sz w:val="17"/>
          <w:szCs w:val="17"/>
          <w:u w:val="single" w:color="auto"/>
          <w:color w:val="0000EE"/>
        </w:rPr>
        <w:t xml:space="preserve"> </w:t>
      </w:r>
      <w:hyperlink r:id="rId215">
        <w:r>
          <w:rPr>
            <w:rFonts w:ascii="Arial" w:cs="Arial" w:eastAsia="Arial" w:hAnsi="Arial"/>
            <w:sz w:val="17"/>
            <w:szCs w:val="17"/>
            <w:u w:val="single" w:color="auto"/>
            <w:color w:val="0000EE"/>
          </w:rPr>
          <w:t>(Incorporated by reference to Exhibit 99.2 to the Registrant’s Form 6-K, filed September 4, 2019).</w:t>
        </w:r>
      </w:hyperlink>
    </w:p>
    <w:p>
      <w:pPr>
        <w:spacing w:after="0" w:line="38" w:lineRule="exact"/>
        <w:rPr>
          <w:sz w:val="20"/>
          <w:szCs w:val="20"/>
          <w:color w:val="auto"/>
        </w:rPr>
      </w:pPr>
    </w:p>
    <w:p>
      <w:pPr>
        <w:ind w:left="900" w:right="220" w:hanging="737"/>
        <w:spacing w:after="0" w:line="27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4.4</w:t>
      </w:r>
      <w:r>
        <w:rPr>
          <w:sz w:val="20"/>
          <w:szCs w:val="20"/>
          <w:color w:val="auto"/>
        </w:rPr>
        <w:tab/>
      </w:r>
      <w:hyperlink r:id="rId216">
        <w:r>
          <w:rPr>
            <w:rFonts w:ascii="Arial" w:cs="Arial" w:eastAsia="Arial" w:hAnsi="Arial"/>
            <w:sz w:val="18"/>
            <w:szCs w:val="18"/>
            <w:u w:val="single" w:color="auto"/>
            <w:color w:val="0000EE"/>
          </w:rPr>
          <w:t>Administrative Services Agreement, dated August 29, 2019, by and between Navios Maritime Holdings Inc. and Navios Shipmanagement</w:t>
        </w:r>
      </w:hyperlink>
      <w:r>
        <w:rPr>
          <w:rFonts w:ascii="Arial" w:cs="Arial" w:eastAsia="Arial" w:hAnsi="Arial"/>
          <w:sz w:val="18"/>
          <w:szCs w:val="18"/>
          <w:u w:val="single" w:color="auto"/>
          <w:color w:val="0000EE"/>
        </w:rPr>
        <w:t xml:space="preserve"> </w:t>
      </w:r>
      <w:hyperlink r:id="rId216">
        <w:r>
          <w:rPr>
            <w:rFonts w:ascii="Arial" w:cs="Arial" w:eastAsia="Arial" w:hAnsi="Arial"/>
            <w:sz w:val="18"/>
            <w:szCs w:val="18"/>
            <w:u w:val="single" w:color="auto"/>
            <w:color w:val="0000EE"/>
          </w:rPr>
          <w:t>Inc. (Incorporated by reference to Exhibit 99.3 to the Registrant’s Form 6-K, filed September 4, 2019).</w:t>
        </w:r>
      </w:hyperlink>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20"/>
          </w:cols>
          <w:pgMar w:left="320" w:top="459" w:right="4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840" w:type="dxa"/>
            <w:vAlign w:val="bottom"/>
          </w:tcPr>
          <w:p>
            <w:pPr>
              <w:spacing w:after="0"/>
              <w:rPr>
                <w:sz w:val="20"/>
                <w:szCs w:val="20"/>
                <w:color w:val="auto"/>
              </w:rPr>
            </w:pPr>
            <w:r>
              <w:rPr>
                <w:rFonts w:ascii="Arial" w:cs="Arial" w:eastAsia="Arial" w:hAnsi="Arial"/>
                <w:sz w:val="18"/>
                <w:szCs w:val="18"/>
                <w:color w:val="auto"/>
              </w:rPr>
              <w:t>4.5</w:t>
            </w:r>
          </w:p>
        </w:tc>
        <w:tc>
          <w:tcPr>
            <w:tcW w:w="9800" w:type="dxa"/>
            <w:vAlign w:val="bottom"/>
            <w:tcBorders>
              <w:bottom w:val="single" w:sz="8" w:color="0000EE"/>
            </w:tcBorders>
            <w:gridSpan w:val="22"/>
          </w:tcPr>
          <w:p>
            <w:pPr>
              <w:spacing w:after="0"/>
              <w:rPr>
                <w:rFonts w:ascii="Arial" w:cs="Arial" w:eastAsia="Arial" w:hAnsi="Arial"/>
                <w:sz w:val="18"/>
                <w:szCs w:val="18"/>
                <w:color w:val="0000EE"/>
                <w:w w:val="91"/>
              </w:rPr>
            </w:pPr>
            <w:hyperlink r:id="rId218">
              <w:r>
                <w:rPr>
                  <w:rFonts w:ascii="Arial" w:cs="Arial" w:eastAsia="Arial" w:hAnsi="Arial"/>
                  <w:sz w:val="18"/>
                  <w:szCs w:val="18"/>
                  <w:color w:val="0000EE"/>
                  <w:w w:val="91"/>
                </w:rPr>
                <w:t>Shareholders’ Agreement, dated as of June 17, 2010, between Navios South American Logistics Inc., Navios Corporation and Grandall</w:t>
              </w:r>
            </w:hyperlink>
          </w:p>
        </w:tc>
        <w:tc>
          <w:tcPr>
            <w:tcW w:w="280" w:type="dxa"/>
            <w:vAlign w:val="bottom"/>
            <w:gridSpan w:val="7"/>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10080" w:type="dxa"/>
            <w:vAlign w:val="bottom"/>
            <w:gridSpan w:val="29"/>
          </w:tcPr>
          <w:p>
            <w:pPr>
              <w:spacing w:after="0" w:line="196" w:lineRule="exact"/>
              <w:rPr>
                <w:rFonts w:ascii="Arial" w:cs="Arial" w:eastAsia="Arial" w:hAnsi="Arial"/>
                <w:sz w:val="18"/>
                <w:szCs w:val="18"/>
                <w:color w:val="0000EE"/>
                <w:w w:val="93"/>
              </w:rPr>
            </w:pPr>
            <w:hyperlink r:id="rId218">
              <w:r>
                <w:rPr>
                  <w:rFonts w:ascii="Arial" w:cs="Arial" w:eastAsia="Arial" w:hAnsi="Arial"/>
                  <w:sz w:val="18"/>
                  <w:szCs w:val="18"/>
                  <w:color w:val="0000EE"/>
                  <w:w w:val="93"/>
                </w:rPr>
                <w:t>Investment S.A (Incorporated by reference to Exhibit 4.1 to Navios South American Logistics Inc.’s Registration Statement on Form F-4</w:t>
              </w:r>
            </w:hyperlink>
          </w:p>
        </w:tc>
      </w:tr>
      <w:tr>
        <w:trPr>
          <w:trHeight w:val="196"/>
        </w:trPr>
        <w:tc>
          <w:tcPr>
            <w:tcW w:w="840" w:type="dxa"/>
            <w:vAlign w:val="bottom"/>
          </w:tcPr>
          <w:p>
            <w:pPr>
              <w:spacing w:after="0"/>
              <w:rPr>
                <w:sz w:val="17"/>
                <w:szCs w:val="17"/>
                <w:color w:val="auto"/>
              </w:rPr>
            </w:pPr>
          </w:p>
        </w:tc>
        <w:tc>
          <w:tcPr>
            <w:tcW w:w="42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r:id="rId218">
              <w:r>
                <w:rPr>
                  <w:rFonts w:ascii="Arial" w:cs="Arial" w:eastAsia="Arial" w:hAnsi="Arial"/>
                  <w:sz w:val="18"/>
                  <w:szCs w:val="18"/>
                  <w:color w:val="0000EE"/>
                  <w:w w:val="91"/>
                </w:rPr>
                <w:t>(Registration No. 333-179250), filed on January 31, 2012).</w:t>
              </w:r>
            </w:hyperlink>
          </w:p>
        </w:tc>
        <w:tc>
          <w:tcPr>
            <w:tcW w:w="5600" w:type="dxa"/>
            <w:vAlign w:val="bottom"/>
            <w:tcBorders>
              <w:top w:val="single" w:sz="8" w:color="0000EE"/>
            </w:tcBorders>
            <w:gridSpan w:val="19"/>
          </w:tcPr>
          <w:p>
            <w:pPr>
              <w:spacing w:after="0"/>
              <w:rPr>
                <w:sz w:val="17"/>
                <w:szCs w:val="17"/>
                <w:color w:val="auto"/>
              </w:rPr>
            </w:pPr>
          </w:p>
        </w:tc>
        <w:tc>
          <w:tcPr>
            <w:tcW w:w="220" w:type="dxa"/>
            <w:vAlign w:val="bottom"/>
            <w:gridSpan w:val="5"/>
          </w:tcPr>
          <w:p>
            <w:pPr>
              <w:spacing w:after="0"/>
              <w:rPr>
                <w:sz w:val="17"/>
                <w:szCs w:val="17"/>
                <w:color w:val="auto"/>
              </w:rPr>
            </w:pPr>
          </w:p>
        </w:tc>
      </w:tr>
      <w:tr>
        <w:trPr>
          <w:trHeight w:val="304"/>
        </w:trPr>
        <w:tc>
          <w:tcPr>
            <w:tcW w:w="840" w:type="dxa"/>
            <w:vAlign w:val="bottom"/>
          </w:tcPr>
          <w:p>
            <w:pPr>
              <w:spacing w:after="0"/>
              <w:rPr>
                <w:sz w:val="20"/>
                <w:szCs w:val="20"/>
                <w:color w:val="auto"/>
              </w:rPr>
            </w:pPr>
            <w:r>
              <w:rPr>
                <w:rFonts w:ascii="Arial" w:cs="Arial" w:eastAsia="Arial" w:hAnsi="Arial"/>
                <w:sz w:val="18"/>
                <w:szCs w:val="18"/>
                <w:color w:val="auto"/>
              </w:rPr>
              <w:t>4.6</w:t>
            </w:r>
          </w:p>
        </w:tc>
        <w:tc>
          <w:tcPr>
            <w:tcW w:w="10080" w:type="dxa"/>
            <w:vAlign w:val="bottom"/>
            <w:tcBorders>
              <w:bottom w:val="single" w:sz="8" w:color="0000EE"/>
            </w:tcBorders>
            <w:gridSpan w:val="29"/>
          </w:tcPr>
          <w:p>
            <w:pPr>
              <w:spacing w:after="0"/>
              <w:rPr>
                <w:rFonts w:ascii="Arial" w:cs="Arial" w:eastAsia="Arial" w:hAnsi="Arial"/>
                <w:sz w:val="18"/>
                <w:szCs w:val="18"/>
                <w:color w:val="0000EE"/>
                <w:w w:val="91"/>
              </w:rPr>
            </w:pPr>
            <w:hyperlink r:id="rId219">
              <w:r>
                <w:rPr>
                  <w:rFonts w:ascii="Arial" w:cs="Arial" w:eastAsia="Arial" w:hAnsi="Arial"/>
                  <w:sz w:val="18"/>
                  <w:szCs w:val="18"/>
                  <w:color w:val="0000EE"/>
                  <w:w w:val="91"/>
                </w:rPr>
                <w:t>Shareholders’ Agreement, dated as of November 19, 2019, between Navios South American Logistics Inc., Navios Maritime Holdings Inc.</w:t>
              </w:r>
            </w:hyperlink>
          </w:p>
        </w:tc>
      </w:tr>
      <w:tr>
        <w:trPr>
          <w:trHeight w:val="196"/>
        </w:trPr>
        <w:tc>
          <w:tcPr>
            <w:tcW w:w="840" w:type="dxa"/>
            <w:vAlign w:val="bottom"/>
          </w:tcPr>
          <w:p>
            <w:pPr>
              <w:spacing w:after="0"/>
              <w:rPr>
                <w:sz w:val="17"/>
                <w:szCs w:val="17"/>
                <w:color w:val="auto"/>
              </w:rPr>
            </w:pPr>
          </w:p>
        </w:tc>
        <w:tc>
          <w:tcPr>
            <w:tcW w:w="890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219">
              <w:r>
                <w:rPr>
                  <w:rFonts w:ascii="Arial" w:cs="Arial" w:eastAsia="Arial" w:hAnsi="Arial"/>
                  <w:sz w:val="18"/>
                  <w:szCs w:val="18"/>
                  <w:color w:val="0000EE"/>
                  <w:w w:val="91"/>
                </w:rPr>
                <w:t>and Peers Business S.A (Incorporated by reference to Exhibit 4.45 to the Registrant’s Form 10-K, filed on April 21, 2020).</w:t>
              </w:r>
            </w:hyperlink>
          </w:p>
        </w:tc>
        <w:tc>
          <w:tcPr>
            <w:tcW w:w="1180" w:type="dxa"/>
            <w:vAlign w:val="bottom"/>
            <w:gridSpan w:val="17"/>
          </w:tcPr>
          <w:p>
            <w:pPr>
              <w:spacing w:after="0"/>
              <w:rPr>
                <w:sz w:val="17"/>
                <w:szCs w:val="17"/>
                <w:color w:val="auto"/>
              </w:rPr>
            </w:pPr>
          </w:p>
        </w:tc>
      </w:tr>
      <w:tr>
        <w:trPr>
          <w:trHeight w:val="304"/>
        </w:trPr>
        <w:tc>
          <w:tcPr>
            <w:tcW w:w="840" w:type="dxa"/>
            <w:vAlign w:val="bottom"/>
          </w:tcPr>
          <w:p>
            <w:pPr>
              <w:spacing w:after="0"/>
              <w:rPr>
                <w:sz w:val="20"/>
                <w:szCs w:val="20"/>
                <w:color w:val="auto"/>
              </w:rPr>
            </w:pPr>
            <w:r>
              <w:rPr>
                <w:rFonts w:ascii="Arial" w:cs="Arial" w:eastAsia="Arial" w:hAnsi="Arial"/>
                <w:sz w:val="18"/>
                <w:szCs w:val="18"/>
                <w:color w:val="auto"/>
              </w:rPr>
              <w:t>4.7</w:t>
            </w:r>
          </w:p>
        </w:tc>
        <w:tc>
          <w:tcPr>
            <w:tcW w:w="10080" w:type="dxa"/>
            <w:vAlign w:val="bottom"/>
            <w:gridSpan w:val="29"/>
          </w:tcPr>
          <w:p>
            <w:pPr>
              <w:spacing w:after="0"/>
              <w:rPr>
                <w:rFonts w:ascii="Arial" w:cs="Arial" w:eastAsia="Arial" w:hAnsi="Arial"/>
                <w:sz w:val="18"/>
                <w:szCs w:val="18"/>
                <w:color w:val="0000EE"/>
                <w:w w:val="94"/>
              </w:rPr>
            </w:pPr>
            <w:hyperlink r:id="rId220">
              <w:r>
                <w:rPr>
                  <w:rFonts w:ascii="Arial" w:cs="Arial" w:eastAsia="Arial" w:hAnsi="Arial"/>
                  <w:sz w:val="18"/>
                  <w:szCs w:val="18"/>
                  <w:color w:val="0000EE"/>
                  <w:w w:val="94"/>
                </w:rPr>
                <w:t xml:space="preserve">Facility Agreement No. 242 in respect of a loan up to </w:t>
              </w:r>
              <w:r>
                <w:rPr>
                  <w:rFonts w:ascii="Arial" w:cs="Arial" w:eastAsia="Arial" w:hAnsi="Arial"/>
                  <w:sz w:val="18"/>
                  <w:szCs w:val="18"/>
                  <w:u w:val="single" w:color="auto"/>
                  <w:color w:val="0000EE"/>
                  <w:w w:val="94"/>
                </w:rPr>
                <w:t>$</w:t>
              </w:r>
              <w:r>
                <w:rPr>
                  <w:rFonts w:ascii="Arial" w:cs="Arial" w:eastAsia="Arial" w:hAnsi="Arial"/>
                  <w:sz w:val="18"/>
                  <w:szCs w:val="18"/>
                  <w:color w:val="0000EE"/>
                  <w:w w:val="94"/>
                </w:rPr>
                <w:t>23.0 million, dated August 19, 2011, between Solange Shipping Ltd. and Credit</w:t>
              </w:r>
            </w:hyperlink>
          </w:p>
        </w:tc>
      </w:tr>
      <w:tr>
        <w:trPr>
          <w:trHeight w:val="196"/>
        </w:trPr>
        <w:tc>
          <w:tcPr>
            <w:tcW w:w="840" w:type="dxa"/>
            <w:vAlign w:val="bottom"/>
          </w:tcPr>
          <w:p>
            <w:pPr>
              <w:spacing w:after="0"/>
              <w:rPr>
                <w:sz w:val="17"/>
                <w:szCs w:val="17"/>
                <w:color w:val="auto"/>
              </w:rPr>
            </w:pPr>
          </w:p>
        </w:tc>
        <w:tc>
          <w:tcPr>
            <w:tcW w:w="9760" w:type="dxa"/>
            <w:vAlign w:val="bottom"/>
            <w:tcBorders>
              <w:top w:val="single" w:sz="8" w:color="0000EE"/>
            </w:tcBorders>
            <w:gridSpan w:val="21"/>
          </w:tcPr>
          <w:p>
            <w:pPr>
              <w:spacing w:after="0" w:line="196" w:lineRule="exact"/>
              <w:rPr>
                <w:rFonts w:ascii="Arial" w:cs="Arial" w:eastAsia="Arial" w:hAnsi="Arial"/>
                <w:sz w:val="18"/>
                <w:szCs w:val="18"/>
                <w:color w:val="0000EE"/>
                <w:w w:val="93"/>
              </w:rPr>
            </w:pPr>
            <w:hyperlink r:id="rId220">
              <w:r>
                <w:rPr>
                  <w:rFonts w:ascii="Arial" w:cs="Arial" w:eastAsia="Arial" w:hAnsi="Arial"/>
                  <w:sz w:val="18"/>
                  <w:szCs w:val="18"/>
                  <w:color w:val="0000EE"/>
                  <w:w w:val="93"/>
                </w:rPr>
                <w:t>Agricole Corporate and Investment Bank (formerly Emporiki Bank of Greece S.A.) (Incorporated by reference to Exhibit 10.1 to the</w:t>
              </w:r>
            </w:hyperlink>
          </w:p>
        </w:tc>
        <w:tc>
          <w:tcPr>
            <w:tcW w:w="320" w:type="dxa"/>
            <w:vAlign w:val="bottom"/>
            <w:gridSpan w:val="8"/>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95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220">
              <w:r>
                <w:rPr>
                  <w:rFonts w:ascii="Arial" w:cs="Arial" w:eastAsia="Arial" w:hAnsi="Arial"/>
                  <w:sz w:val="18"/>
                  <w:szCs w:val="18"/>
                  <w:color w:val="0000EE"/>
                </w:rPr>
                <w:t>Registrant’s Form 6-K, filed on August 25, 2011).</w:t>
              </w:r>
            </w:hyperlink>
          </w:p>
        </w:tc>
        <w:tc>
          <w:tcPr>
            <w:tcW w:w="520" w:type="dxa"/>
            <w:vAlign w:val="bottom"/>
            <w:gridSpan w:val="13"/>
          </w:tcPr>
          <w:p>
            <w:pPr>
              <w:spacing w:after="0"/>
              <w:rPr>
                <w:sz w:val="17"/>
                <w:szCs w:val="17"/>
                <w:color w:val="auto"/>
              </w:rPr>
            </w:pPr>
          </w:p>
        </w:tc>
      </w:tr>
      <w:tr>
        <w:trPr>
          <w:trHeight w:val="20"/>
        </w:trPr>
        <w:tc>
          <w:tcPr>
            <w:tcW w:w="840" w:type="dxa"/>
            <w:vAlign w:val="bottom"/>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4"/>
        </w:trPr>
        <w:tc>
          <w:tcPr>
            <w:tcW w:w="840" w:type="dxa"/>
            <w:vAlign w:val="bottom"/>
          </w:tcPr>
          <w:p>
            <w:pPr>
              <w:spacing w:after="0"/>
              <w:rPr>
                <w:sz w:val="20"/>
                <w:szCs w:val="20"/>
                <w:color w:val="auto"/>
              </w:rPr>
            </w:pPr>
            <w:r>
              <w:rPr>
                <w:rFonts w:ascii="Arial" w:cs="Arial" w:eastAsia="Arial" w:hAnsi="Arial"/>
                <w:sz w:val="18"/>
                <w:szCs w:val="18"/>
                <w:color w:val="auto"/>
              </w:rPr>
              <w:t>4.8</w:t>
            </w:r>
          </w:p>
        </w:tc>
        <w:tc>
          <w:tcPr>
            <w:tcW w:w="9580" w:type="dxa"/>
            <w:vAlign w:val="bottom"/>
            <w:tcBorders>
              <w:bottom w:val="single" w:sz="8" w:color="0000EE"/>
            </w:tcBorders>
            <w:gridSpan w:val="17"/>
          </w:tcPr>
          <w:p>
            <w:pPr>
              <w:spacing w:after="0"/>
              <w:rPr>
                <w:rFonts w:ascii="Arial" w:cs="Arial" w:eastAsia="Arial" w:hAnsi="Arial"/>
                <w:sz w:val="18"/>
                <w:szCs w:val="18"/>
                <w:color w:val="0000EE"/>
                <w:w w:val="91"/>
              </w:rPr>
            </w:pPr>
            <w:hyperlink r:id="rId221">
              <w:r>
                <w:rPr>
                  <w:rFonts w:ascii="Arial" w:cs="Arial" w:eastAsia="Arial" w:hAnsi="Arial"/>
                  <w:sz w:val="18"/>
                  <w:szCs w:val="18"/>
                  <w:color w:val="0000EE"/>
                  <w:w w:val="91"/>
                </w:rPr>
                <w:t xml:space="preserve">Facility agreement in respect of a loan of up to </w:t>
              </w:r>
              <w:r>
                <w:rPr>
                  <w:rFonts w:ascii="Arial" w:cs="Arial" w:eastAsia="Arial" w:hAnsi="Arial"/>
                  <w:sz w:val="18"/>
                  <w:szCs w:val="18"/>
                  <w:u w:val="single" w:color="auto"/>
                  <w:color w:val="0000EE"/>
                  <w:w w:val="91"/>
                </w:rPr>
                <w:t>$</w:t>
              </w:r>
              <w:r>
                <w:rPr>
                  <w:rFonts w:ascii="Arial" w:cs="Arial" w:eastAsia="Arial" w:hAnsi="Arial"/>
                  <w:sz w:val="18"/>
                  <w:szCs w:val="18"/>
                  <w:color w:val="0000EE"/>
                  <w:w w:val="91"/>
                </w:rPr>
                <w:t>23.0 million, dated December 29, 2011, between Mandora Shipping Ltd. and Credit</w:t>
              </w:r>
            </w:hyperlink>
          </w:p>
        </w:tc>
        <w:tc>
          <w:tcPr>
            <w:tcW w:w="500" w:type="dxa"/>
            <w:vAlign w:val="bottom"/>
            <w:gridSpan w:val="12"/>
          </w:tcPr>
          <w:p>
            <w:pPr>
              <w:spacing w:after="0"/>
              <w:rPr>
                <w:sz w:val="24"/>
                <w:szCs w:val="24"/>
                <w:color w:val="auto"/>
              </w:rPr>
            </w:pPr>
          </w:p>
        </w:tc>
      </w:tr>
      <w:tr>
        <w:trPr>
          <w:trHeight w:val="196"/>
        </w:trPr>
        <w:tc>
          <w:tcPr>
            <w:tcW w:w="840" w:type="dxa"/>
            <w:vAlign w:val="bottom"/>
          </w:tcPr>
          <w:p>
            <w:pPr>
              <w:spacing w:after="0"/>
              <w:rPr>
                <w:sz w:val="17"/>
                <w:szCs w:val="17"/>
                <w:color w:val="auto"/>
              </w:rPr>
            </w:pPr>
          </w:p>
        </w:tc>
        <w:tc>
          <w:tcPr>
            <w:tcW w:w="10080" w:type="dxa"/>
            <w:vAlign w:val="bottom"/>
            <w:gridSpan w:val="29"/>
          </w:tcPr>
          <w:p>
            <w:pPr>
              <w:spacing w:after="0" w:line="196" w:lineRule="exact"/>
              <w:rPr>
                <w:rFonts w:ascii="Arial" w:cs="Arial" w:eastAsia="Arial" w:hAnsi="Arial"/>
                <w:sz w:val="18"/>
                <w:szCs w:val="18"/>
                <w:color w:val="0000EE"/>
                <w:w w:val="97"/>
              </w:rPr>
            </w:pPr>
            <w:hyperlink r:id="rId221">
              <w:r>
                <w:rPr>
                  <w:rFonts w:ascii="Arial" w:cs="Arial" w:eastAsia="Arial" w:hAnsi="Arial"/>
                  <w:sz w:val="18"/>
                  <w:szCs w:val="18"/>
                  <w:color w:val="0000EE"/>
                  <w:w w:val="97"/>
                </w:rPr>
                <w:t>Agricole Corporate and Investment Bank (formerly Emporiki Bank of Greece S.A.) (Incorporated by reference to Exhibit 10.1 to the</w:t>
              </w:r>
            </w:hyperlink>
          </w:p>
        </w:tc>
      </w:tr>
      <w:tr>
        <w:trPr>
          <w:trHeight w:val="196"/>
        </w:trPr>
        <w:tc>
          <w:tcPr>
            <w:tcW w:w="840" w:type="dxa"/>
            <w:vAlign w:val="bottom"/>
          </w:tcPr>
          <w:p>
            <w:pPr>
              <w:spacing w:after="0"/>
              <w:rPr>
                <w:sz w:val="17"/>
                <w:szCs w:val="17"/>
                <w:color w:val="auto"/>
              </w:rPr>
            </w:pPr>
          </w:p>
        </w:tc>
        <w:tc>
          <w:tcPr>
            <w:tcW w:w="36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r:id="rId221">
              <w:r>
                <w:rPr>
                  <w:rFonts w:ascii="Arial" w:cs="Arial" w:eastAsia="Arial" w:hAnsi="Arial"/>
                  <w:sz w:val="18"/>
                  <w:szCs w:val="18"/>
                  <w:color w:val="0000EE"/>
                  <w:w w:val="91"/>
                </w:rPr>
                <w:t>Registrant’s Form 6-K, filed on January 26, 2012).</w:t>
              </w:r>
            </w:hyperlink>
          </w:p>
        </w:tc>
        <w:tc>
          <w:tcPr>
            <w:tcW w:w="5900" w:type="dxa"/>
            <w:vAlign w:val="bottom"/>
            <w:tcBorders>
              <w:top w:val="single" w:sz="8" w:color="0000EE"/>
            </w:tcBorders>
            <w:gridSpan w:val="13"/>
          </w:tcPr>
          <w:p>
            <w:pPr>
              <w:spacing w:after="0"/>
              <w:rPr>
                <w:sz w:val="17"/>
                <w:szCs w:val="17"/>
                <w:color w:val="auto"/>
              </w:rPr>
            </w:pPr>
          </w:p>
        </w:tc>
        <w:tc>
          <w:tcPr>
            <w:tcW w:w="520" w:type="dxa"/>
            <w:vAlign w:val="bottom"/>
            <w:gridSpan w:val="13"/>
          </w:tcPr>
          <w:p>
            <w:pPr>
              <w:spacing w:after="0"/>
              <w:rPr>
                <w:sz w:val="17"/>
                <w:szCs w:val="17"/>
                <w:color w:val="auto"/>
              </w:rPr>
            </w:pPr>
          </w:p>
        </w:tc>
      </w:tr>
      <w:tr>
        <w:trPr>
          <w:trHeight w:val="304"/>
        </w:trPr>
        <w:tc>
          <w:tcPr>
            <w:tcW w:w="840" w:type="dxa"/>
            <w:vAlign w:val="bottom"/>
          </w:tcPr>
          <w:p>
            <w:pPr>
              <w:spacing w:after="0"/>
              <w:rPr>
                <w:sz w:val="20"/>
                <w:szCs w:val="20"/>
                <w:color w:val="auto"/>
              </w:rPr>
            </w:pPr>
            <w:r>
              <w:rPr>
                <w:rFonts w:ascii="Arial" w:cs="Arial" w:eastAsia="Arial" w:hAnsi="Arial"/>
                <w:sz w:val="18"/>
                <w:szCs w:val="18"/>
                <w:color w:val="auto"/>
              </w:rPr>
              <w:t>4.9</w:t>
            </w:r>
          </w:p>
        </w:tc>
        <w:tc>
          <w:tcPr>
            <w:tcW w:w="9720" w:type="dxa"/>
            <w:vAlign w:val="bottom"/>
            <w:tcBorders>
              <w:bottom w:val="single" w:sz="8" w:color="0000EE"/>
            </w:tcBorders>
            <w:gridSpan w:val="20"/>
          </w:tcPr>
          <w:p>
            <w:pPr>
              <w:spacing w:after="0"/>
              <w:rPr>
                <w:rFonts w:ascii="Arial" w:cs="Arial" w:eastAsia="Arial" w:hAnsi="Arial"/>
                <w:sz w:val="18"/>
                <w:szCs w:val="18"/>
                <w:color w:val="0000EE"/>
                <w:w w:val="92"/>
              </w:rPr>
            </w:pPr>
            <w:hyperlink r:id="rId222">
              <w:r>
                <w:rPr>
                  <w:rFonts w:ascii="Arial" w:cs="Arial" w:eastAsia="Arial" w:hAnsi="Arial"/>
                  <w:sz w:val="18"/>
                  <w:szCs w:val="18"/>
                  <w:color w:val="0000EE"/>
                  <w:w w:val="92"/>
                </w:rPr>
                <w:t xml:space="preserve">Facility agreement for a </w:t>
              </w:r>
              <w:r>
                <w:rPr>
                  <w:rFonts w:ascii="Arial" w:cs="Arial" w:eastAsia="Arial" w:hAnsi="Arial"/>
                  <w:sz w:val="18"/>
                  <w:szCs w:val="18"/>
                  <w:u w:val="single" w:color="auto"/>
                  <w:color w:val="0000EE"/>
                  <w:w w:val="92"/>
                </w:rPr>
                <w:t>$</w:t>
              </w:r>
              <w:r>
                <w:rPr>
                  <w:rFonts w:ascii="Arial" w:cs="Arial" w:eastAsia="Arial" w:hAnsi="Arial"/>
                  <w:sz w:val="18"/>
                  <w:szCs w:val="18"/>
                  <w:color w:val="0000EE"/>
                  <w:w w:val="92"/>
                </w:rPr>
                <w:t>42.0 million term loan facility, dated March 23, 2012, by and between Astra Maritime Corporation, Serenity</w:t>
              </w:r>
            </w:hyperlink>
          </w:p>
        </w:tc>
        <w:tc>
          <w:tcPr>
            <w:tcW w:w="360" w:type="dxa"/>
            <w:vAlign w:val="bottom"/>
            <w:gridSpan w:val="9"/>
          </w:tcPr>
          <w:p>
            <w:pPr>
              <w:spacing w:after="0"/>
              <w:rPr>
                <w:sz w:val="24"/>
                <w:szCs w:val="24"/>
                <w:color w:val="auto"/>
              </w:rPr>
            </w:pPr>
          </w:p>
        </w:tc>
      </w:tr>
      <w:tr>
        <w:trPr>
          <w:trHeight w:val="196"/>
        </w:trPr>
        <w:tc>
          <w:tcPr>
            <w:tcW w:w="840" w:type="dxa"/>
            <w:vAlign w:val="bottom"/>
          </w:tcPr>
          <w:p>
            <w:pPr>
              <w:spacing w:after="0"/>
              <w:rPr>
                <w:sz w:val="17"/>
                <w:szCs w:val="17"/>
                <w:color w:val="auto"/>
              </w:rPr>
            </w:pPr>
          </w:p>
        </w:tc>
        <w:tc>
          <w:tcPr>
            <w:tcW w:w="9900" w:type="dxa"/>
            <w:vAlign w:val="bottom"/>
            <w:tcBorders>
              <w:bottom w:val="single" w:sz="8" w:color="0000EE"/>
            </w:tcBorders>
            <w:gridSpan w:val="26"/>
          </w:tcPr>
          <w:p>
            <w:pPr>
              <w:spacing w:after="0" w:line="196" w:lineRule="exact"/>
              <w:rPr>
                <w:rFonts w:ascii="Arial" w:cs="Arial" w:eastAsia="Arial" w:hAnsi="Arial"/>
                <w:sz w:val="18"/>
                <w:szCs w:val="18"/>
                <w:color w:val="0000EE"/>
                <w:w w:val="92"/>
              </w:rPr>
            </w:pPr>
            <w:hyperlink r:id="rId222">
              <w:r>
                <w:rPr>
                  <w:rFonts w:ascii="Arial" w:cs="Arial" w:eastAsia="Arial" w:hAnsi="Arial"/>
                  <w:sz w:val="18"/>
                  <w:szCs w:val="18"/>
                  <w:color w:val="0000EE"/>
                  <w:w w:val="92"/>
                </w:rPr>
                <w:t>Shipping Enterprises Inc., DVB Bank SE, Credit Agricole Corporate and Investment Bank (formerly Emporiki Bank of Greece S.A.) and</w:t>
              </w:r>
            </w:hyperlink>
          </w:p>
        </w:tc>
        <w:tc>
          <w:tcPr>
            <w:tcW w:w="180" w:type="dxa"/>
            <w:vAlign w:val="bottom"/>
            <w:gridSpan w:val="3"/>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982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222">
              <w:r>
                <w:rPr>
                  <w:rFonts w:ascii="Arial" w:cs="Arial" w:eastAsia="Arial" w:hAnsi="Arial"/>
                  <w:sz w:val="18"/>
                  <w:szCs w:val="18"/>
                  <w:color w:val="0000EE"/>
                  <w:w w:val="91"/>
                </w:rPr>
                <w:t>Norddeutsche Landesbank Girozentrale (Incorporated by reference to Exhibit 10.1 to the Registrant’s Form 6-K, filed on April 6, 2012).</w:t>
              </w:r>
            </w:hyperlink>
          </w:p>
        </w:tc>
        <w:tc>
          <w:tcPr>
            <w:tcW w:w="260" w:type="dxa"/>
            <w:vAlign w:val="bottom"/>
            <w:gridSpan w:val="6"/>
          </w:tcPr>
          <w:p>
            <w:pPr>
              <w:spacing w:after="0"/>
              <w:rPr>
                <w:sz w:val="17"/>
                <w:szCs w:val="17"/>
                <w:color w:val="auto"/>
              </w:rPr>
            </w:pPr>
          </w:p>
        </w:tc>
      </w:tr>
      <w:tr>
        <w:trPr>
          <w:trHeight w:val="304"/>
        </w:trPr>
        <w:tc>
          <w:tcPr>
            <w:tcW w:w="840" w:type="dxa"/>
            <w:vAlign w:val="bottom"/>
          </w:tcPr>
          <w:p>
            <w:pPr>
              <w:spacing w:after="0"/>
              <w:rPr>
                <w:sz w:val="20"/>
                <w:szCs w:val="20"/>
                <w:color w:val="auto"/>
              </w:rPr>
            </w:pPr>
            <w:r>
              <w:rPr>
                <w:rFonts w:ascii="Arial" w:cs="Arial" w:eastAsia="Arial" w:hAnsi="Arial"/>
                <w:sz w:val="18"/>
                <w:szCs w:val="18"/>
                <w:color w:val="auto"/>
              </w:rPr>
              <w:t>4.10</w:t>
            </w:r>
          </w:p>
        </w:tc>
        <w:tc>
          <w:tcPr>
            <w:tcW w:w="9120" w:type="dxa"/>
            <w:vAlign w:val="bottom"/>
            <w:tcBorders>
              <w:bottom w:val="single" w:sz="8" w:color="0000EE"/>
            </w:tcBorders>
            <w:gridSpan w:val="13"/>
          </w:tcPr>
          <w:p>
            <w:pPr>
              <w:spacing w:after="0"/>
              <w:rPr>
                <w:rFonts w:ascii="Arial" w:cs="Arial" w:eastAsia="Arial" w:hAnsi="Arial"/>
                <w:sz w:val="18"/>
                <w:szCs w:val="18"/>
                <w:color w:val="0000EE"/>
                <w:w w:val="92"/>
              </w:rPr>
            </w:pPr>
            <w:hyperlink r:id="rId223">
              <w:r>
                <w:rPr>
                  <w:rFonts w:ascii="Arial" w:cs="Arial" w:eastAsia="Arial" w:hAnsi="Arial"/>
                  <w:sz w:val="18"/>
                  <w:szCs w:val="18"/>
                  <w:color w:val="0000EE"/>
                  <w:w w:val="92"/>
                </w:rPr>
                <w:t xml:space="preserve">Facility Agreement for a </w:t>
              </w:r>
              <w:r>
                <w:rPr>
                  <w:rFonts w:ascii="Arial" w:cs="Arial" w:eastAsia="Arial" w:hAnsi="Arial"/>
                  <w:sz w:val="18"/>
                  <w:szCs w:val="18"/>
                  <w:u w:val="single" w:color="auto"/>
                  <w:color w:val="0000EE"/>
                  <w:w w:val="92"/>
                </w:rPr>
                <w:t>$</w:t>
              </w:r>
              <w:r>
                <w:rPr>
                  <w:rFonts w:ascii="Arial" w:cs="Arial" w:eastAsia="Arial" w:hAnsi="Arial"/>
                  <w:sz w:val="18"/>
                  <w:szCs w:val="18"/>
                  <w:color w:val="0000EE"/>
                  <w:w w:val="92"/>
                </w:rPr>
                <w:t>40.0 million term loan facility, dated September 19, 2013, between Kleimar NV and DVB Bank SE</w:t>
              </w:r>
            </w:hyperlink>
          </w:p>
        </w:tc>
        <w:tc>
          <w:tcPr>
            <w:tcW w:w="960" w:type="dxa"/>
            <w:vAlign w:val="bottom"/>
            <w:gridSpan w:val="16"/>
          </w:tcPr>
          <w:p>
            <w:pPr>
              <w:spacing w:after="0"/>
              <w:rPr>
                <w:sz w:val="24"/>
                <w:szCs w:val="24"/>
                <w:color w:val="auto"/>
              </w:rPr>
            </w:pPr>
          </w:p>
        </w:tc>
      </w:tr>
      <w:tr>
        <w:trPr>
          <w:trHeight w:val="196"/>
        </w:trPr>
        <w:tc>
          <w:tcPr>
            <w:tcW w:w="840" w:type="dxa"/>
            <w:vAlign w:val="bottom"/>
          </w:tcPr>
          <w:p>
            <w:pPr>
              <w:spacing w:after="0"/>
              <w:rPr>
                <w:sz w:val="17"/>
                <w:szCs w:val="17"/>
                <w:color w:val="auto"/>
              </w:rPr>
            </w:pPr>
          </w:p>
        </w:tc>
        <w:tc>
          <w:tcPr>
            <w:tcW w:w="712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223">
              <w:r>
                <w:rPr>
                  <w:rFonts w:ascii="Arial" w:cs="Arial" w:eastAsia="Arial" w:hAnsi="Arial"/>
                  <w:sz w:val="18"/>
                  <w:szCs w:val="18"/>
                  <w:color w:val="0000EE"/>
                  <w:w w:val="91"/>
                </w:rPr>
                <w:t>(Incorporated by reference to Exhibit 10.1 to the Registrant’s Form 6-K, filed on October 8, 2013).</w:t>
              </w:r>
            </w:hyperlink>
          </w:p>
        </w:tc>
        <w:tc>
          <w:tcPr>
            <w:tcW w:w="2960" w:type="dxa"/>
            <w:vAlign w:val="bottom"/>
            <w:gridSpan w:val="23"/>
          </w:tcPr>
          <w:p>
            <w:pPr>
              <w:spacing w:after="0"/>
              <w:rPr>
                <w:sz w:val="17"/>
                <w:szCs w:val="17"/>
                <w:color w:val="auto"/>
              </w:rPr>
            </w:pPr>
          </w:p>
        </w:tc>
      </w:tr>
      <w:tr>
        <w:trPr>
          <w:trHeight w:val="304"/>
        </w:trPr>
        <w:tc>
          <w:tcPr>
            <w:tcW w:w="840" w:type="dxa"/>
            <w:vAlign w:val="bottom"/>
          </w:tcPr>
          <w:p>
            <w:pPr>
              <w:spacing w:after="0"/>
              <w:rPr>
                <w:sz w:val="20"/>
                <w:szCs w:val="20"/>
                <w:color w:val="auto"/>
              </w:rPr>
            </w:pPr>
            <w:r>
              <w:rPr>
                <w:rFonts w:ascii="Arial" w:cs="Arial" w:eastAsia="Arial" w:hAnsi="Arial"/>
                <w:sz w:val="18"/>
                <w:szCs w:val="18"/>
                <w:color w:val="auto"/>
              </w:rPr>
              <w:t>4.11</w:t>
            </w:r>
          </w:p>
        </w:tc>
        <w:tc>
          <w:tcPr>
            <w:tcW w:w="9680" w:type="dxa"/>
            <w:vAlign w:val="bottom"/>
            <w:tcBorders>
              <w:bottom w:val="single" w:sz="8" w:color="0000EE"/>
            </w:tcBorders>
            <w:gridSpan w:val="18"/>
          </w:tcPr>
          <w:p>
            <w:pPr>
              <w:spacing w:after="0"/>
              <w:rPr>
                <w:rFonts w:ascii="Arial" w:cs="Arial" w:eastAsia="Arial" w:hAnsi="Arial"/>
                <w:sz w:val="18"/>
                <w:szCs w:val="18"/>
                <w:color w:val="0000EE"/>
                <w:w w:val="92"/>
              </w:rPr>
            </w:pPr>
            <w:hyperlink r:id="rId224">
              <w:r>
                <w:rPr>
                  <w:rFonts w:ascii="Arial" w:cs="Arial" w:eastAsia="Arial" w:hAnsi="Arial"/>
                  <w:sz w:val="18"/>
                  <w:szCs w:val="18"/>
                  <w:color w:val="0000EE"/>
                  <w:w w:val="92"/>
                </w:rPr>
                <w:t xml:space="preserve">Facility Agreement relating to a facility of up to </w:t>
              </w:r>
              <w:r>
                <w:rPr>
                  <w:rFonts w:ascii="Arial" w:cs="Arial" w:eastAsia="Arial" w:hAnsi="Arial"/>
                  <w:sz w:val="18"/>
                  <w:szCs w:val="18"/>
                  <w:u w:val="single" w:color="auto"/>
                  <w:color w:val="0000EE"/>
                  <w:w w:val="92"/>
                </w:rPr>
                <w:t>$</w:t>
              </w:r>
              <w:r>
                <w:rPr>
                  <w:rFonts w:ascii="Arial" w:cs="Arial" w:eastAsia="Arial" w:hAnsi="Arial"/>
                  <w:sz w:val="18"/>
                  <w:szCs w:val="18"/>
                  <w:color w:val="0000EE"/>
                  <w:w w:val="92"/>
                </w:rPr>
                <w:t>18,253,968.25, dated December 21, 2017, between Kleimar NV. and DVB Bank SE</w:t>
              </w:r>
            </w:hyperlink>
          </w:p>
        </w:tc>
        <w:tc>
          <w:tcPr>
            <w:tcW w:w="400" w:type="dxa"/>
            <w:vAlign w:val="bottom"/>
            <w:gridSpan w:val="11"/>
          </w:tcPr>
          <w:p>
            <w:pPr>
              <w:spacing w:after="0"/>
              <w:rPr>
                <w:sz w:val="24"/>
                <w:szCs w:val="24"/>
                <w:color w:val="auto"/>
              </w:rPr>
            </w:pPr>
          </w:p>
        </w:tc>
      </w:tr>
      <w:tr>
        <w:trPr>
          <w:trHeight w:val="196"/>
        </w:trPr>
        <w:tc>
          <w:tcPr>
            <w:tcW w:w="840" w:type="dxa"/>
            <w:vAlign w:val="bottom"/>
          </w:tcPr>
          <w:p>
            <w:pPr>
              <w:spacing w:after="0"/>
              <w:rPr>
                <w:sz w:val="17"/>
                <w:szCs w:val="17"/>
                <w:color w:val="auto"/>
              </w:rPr>
            </w:pPr>
          </w:p>
        </w:tc>
        <w:tc>
          <w:tcPr>
            <w:tcW w:w="10080" w:type="dxa"/>
            <w:vAlign w:val="bottom"/>
            <w:gridSpan w:val="29"/>
          </w:tcPr>
          <w:p>
            <w:pPr>
              <w:spacing w:after="0" w:line="196" w:lineRule="exact"/>
              <w:rPr>
                <w:rFonts w:ascii="Arial" w:cs="Arial" w:eastAsia="Arial" w:hAnsi="Arial"/>
                <w:sz w:val="18"/>
                <w:szCs w:val="18"/>
                <w:color w:val="0000EE"/>
              </w:rPr>
            </w:pPr>
            <w:hyperlink r:id="rId224">
              <w:r>
                <w:rPr>
                  <w:rFonts w:ascii="Arial" w:cs="Arial" w:eastAsia="Arial" w:hAnsi="Arial"/>
                  <w:sz w:val="18"/>
                  <w:szCs w:val="18"/>
                  <w:color w:val="0000EE"/>
                </w:rPr>
                <w:t>(Incorporated by reference to Exhibit 10.1 to the Registrant’s Form 6-K, filed on January 17, 2018).</w:t>
              </w:r>
            </w:hyperlink>
          </w:p>
        </w:tc>
      </w:tr>
      <w:tr>
        <w:trPr>
          <w:trHeight w:val="20"/>
        </w:trPr>
        <w:tc>
          <w:tcPr>
            <w:tcW w:w="840" w:type="dxa"/>
            <w:vAlign w:val="bottom"/>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2600" w:type="dxa"/>
            <w:vAlign w:val="bottom"/>
            <w:gridSpan w:val="3"/>
            <w:shd w:val="clear" w:color="auto" w:fill="0000EE"/>
          </w:tcPr>
          <w:p>
            <w:pPr>
              <w:spacing w:after="0" w:line="20" w:lineRule="exact"/>
              <w:rPr>
                <w:sz w:val="1"/>
                <w:szCs w:val="1"/>
                <w:color w:val="auto"/>
              </w:rPr>
            </w:pPr>
          </w:p>
        </w:tc>
        <w:tc>
          <w:tcPr>
            <w:tcW w:w="3120" w:type="dxa"/>
            <w:vAlign w:val="bottom"/>
            <w:gridSpan w:val="3"/>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4"/>
        </w:trPr>
        <w:tc>
          <w:tcPr>
            <w:tcW w:w="840" w:type="dxa"/>
            <w:vAlign w:val="bottom"/>
          </w:tcPr>
          <w:p>
            <w:pPr>
              <w:spacing w:after="0"/>
              <w:rPr>
                <w:sz w:val="20"/>
                <w:szCs w:val="20"/>
                <w:color w:val="auto"/>
              </w:rPr>
            </w:pPr>
            <w:r>
              <w:rPr>
                <w:rFonts w:ascii="Arial" w:cs="Arial" w:eastAsia="Arial" w:hAnsi="Arial"/>
                <w:sz w:val="18"/>
                <w:szCs w:val="18"/>
                <w:color w:val="auto"/>
              </w:rPr>
              <w:t>4.12</w:t>
            </w:r>
          </w:p>
        </w:tc>
        <w:tc>
          <w:tcPr>
            <w:tcW w:w="10080" w:type="dxa"/>
            <w:vAlign w:val="bottom"/>
            <w:gridSpan w:val="29"/>
          </w:tcPr>
          <w:p>
            <w:pPr>
              <w:spacing w:after="0"/>
              <w:rPr>
                <w:rFonts w:ascii="Arial" w:cs="Arial" w:eastAsia="Arial" w:hAnsi="Arial"/>
                <w:sz w:val="18"/>
                <w:szCs w:val="18"/>
                <w:color w:val="0000EE"/>
                <w:w w:val="92"/>
              </w:rPr>
            </w:pPr>
            <w:hyperlink r:id="rId225">
              <w:r>
                <w:rPr>
                  <w:rFonts w:ascii="Arial" w:cs="Arial" w:eastAsia="Arial" w:hAnsi="Arial"/>
                  <w:sz w:val="18"/>
                  <w:szCs w:val="18"/>
                  <w:color w:val="0000EE"/>
                  <w:w w:val="92"/>
                </w:rPr>
                <w:t xml:space="preserve">Loan Agreement in respect of a loan of up to </w:t>
              </w:r>
              <w:r>
                <w:rPr>
                  <w:rFonts w:ascii="Arial" w:cs="Arial" w:eastAsia="Arial" w:hAnsi="Arial"/>
                  <w:sz w:val="18"/>
                  <w:szCs w:val="18"/>
                  <w:u w:val="single" w:color="auto"/>
                  <w:color w:val="0000EE"/>
                  <w:w w:val="92"/>
                </w:rPr>
                <w:t>$</w:t>
              </w:r>
              <w:r>
                <w:rPr>
                  <w:rFonts w:ascii="Arial" w:cs="Arial" w:eastAsia="Arial" w:hAnsi="Arial"/>
                  <w:sz w:val="18"/>
                  <w:szCs w:val="18"/>
                  <w:color w:val="0000EE"/>
                  <w:w w:val="92"/>
                </w:rPr>
                <w:t>31.0 million, dated November 6, 2014, between Lavender Shipping Corporation and Alpha</w:t>
              </w:r>
            </w:hyperlink>
          </w:p>
        </w:tc>
      </w:tr>
      <w:tr>
        <w:trPr>
          <w:trHeight w:val="196"/>
        </w:trPr>
        <w:tc>
          <w:tcPr>
            <w:tcW w:w="840" w:type="dxa"/>
            <w:vAlign w:val="bottom"/>
          </w:tcPr>
          <w:p>
            <w:pPr>
              <w:spacing w:after="0"/>
              <w:rPr>
                <w:sz w:val="17"/>
                <w:szCs w:val="17"/>
                <w:color w:val="auto"/>
              </w:rPr>
            </w:pPr>
          </w:p>
        </w:tc>
        <w:tc>
          <w:tcPr>
            <w:tcW w:w="80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r:id="rId225">
              <w:r>
                <w:rPr>
                  <w:rFonts w:ascii="Arial" w:cs="Arial" w:eastAsia="Arial" w:hAnsi="Arial"/>
                  <w:sz w:val="18"/>
                  <w:szCs w:val="18"/>
                  <w:color w:val="0000EE"/>
                  <w:w w:val="91"/>
                </w:rPr>
                <w:t>Bank A.E. (Incorporated by reference to Exhibit 10.1 to the Registrant’s Form 6-K, filed on December 8, 2014).</w:t>
              </w:r>
            </w:hyperlink>
          </w:p>
        </w:tc>
        <w:tc>
          <w:tcPr>
            <w:tcW w:w="1900" w:type="dxa"/>
            <w:vAlign w:val="bottom"/>
            <w:tcBorders>
              <w:top w:val="single" w:sz="8" w:color="0000EE"/>
            </w:tcBorders>
            <w:gridSpan w:val="19"/>
          </w:tcPr>
          <w:p>
            <w:pPr>
              <w:spacing w:after="0"/>
              <w:rPr>
                <w:sz w:val="17"/>
                <w:szCs w:val="17"/>
                <w:color w:val="auto"/>
              </w:rPr>
            </w:pPr>
          </w:p>
        </w:tc>
        <w:tc>
          <w:tcPr>
            <w:tcW w:w="100" w:type="dxa"/>
            <w:vAlign w:val="bottom"/>
          </w:tcPr>
          <w:p>
            <w:pPr>
              <w:spacing w:after="0"/>
              <w:rPr>
                <w:sz w:val="17"/>
                <w:szCs w:val="17"/>
                <w:color w:val="auto"/>
              </w:rPr>
            </w:pPr>
          </w:p>
        </w:tc>
      </w:tr>
      <w:tr>
        <w:trPr>
          <w:trHeight w:val="304"/>
        </w:trPr>
        <w:tc>
          <w:tcPr>
            <w:tcW w:w="840" w:type="dxa"/>
            <w:vAlign w:val="bottom"/>
          </w:tcPr>
          <w:p>
            <w:pPr>
              <w:spacing w:after="0"/>
              <w:rPr>
                <w:sz w:val="20"/>
                <w:szCs w:val="20"/>
                <w:color w:val="auto"/>
              </w:rPr>
            </w:pPr>
            <w:r>
              <w:rPr>
                <w:rFonts w:ascii="Arial" w:cs="Arial" w:eastAsia="Arial" w:hAnsi="Arial"/>
                <w:sz w:val="18"/>
                <w:szCs w:val="18"/>
                <w:color w:val="auto"/>
              </w:rPr>
              <w:t>4.13</w:t>
            </w:r>
          </w:p>
        </w:tc>
        <w:tc>
          <w:tcPr>
            <w:tcW w:w="9940" w:type="dxa"/>
            <w:vAlign w:val="bottom"/>
            <w:tcBorders>
              <w:bottom w:val="single" w:sz="8" w:color="0000EE"/>
            </w:tcBorders>
            <w:gridSpan w:val="27"/>
          </w:tcPr>
          <w:p>
            <w:pPr>
              <w:spacing w:after="0"/>
              <w:rPr>
                <w:rFonts w:ascii="Arial" w:cs="Arial" w:eastAsia="Arial" w:hAnsi="Arial"/>
                <w:sz w:val="18"/>
                <w:szCs w:val="18"/>
                <w:color w:val="0000EE"/>
                <w:w w:val="90"/>
              </w:rPr>
            </w:pPr>
            <w:hyperlink r:id="rId226">
              <w:r>
                <w:rPr>
                  <w:rFonts w:ascii="Arial" w:cs="Arial" w:eastAsia="Arial" w:hAnsi="Arial"/>
                  <w:sz w:val="18"/>
                  <w:szCs w:val="18"/>
                  <w:color w:val="0000EE"/>
                  <w:w w:val="90"/>
                </w:rPr>
                <w:t xml:space="preserve">Loan Agreement for a Loan of up to </w:t>
              </w:r>
              <w:r>
                <w:rPr>
                  <w:rFonts w:ascii="Arial" w:cs="Arial" w:eastAsia="Arial" w:hAnsi="Arial"/>
                  <w:sz w:val="18"/>
                  <w:szCs w:val="18"/>
                  <w:u w:val="single" w:color="auto"/>
                  <w:color w:val="0000EE"/>
                  <w:w w:val="90"/>
                </w:rPr>
                <w:t>$</w:t>
              </w:r>
              <w:r>
                <w:rPr>
                  <w:rFonts w:ascii="Arial" w:cs="Arial" w:eastAsia="Arial" w:hAnsi="Arial"/>
                  <w:sz w:val="18"/>
                  <w:szCs w:val="18"/>
                  <w:color w:val="0000EE"/>
                  <w:w w:val="90"/>
                </w:rPr>
                <w:t>16.125 million, dated as of November 3, 2016, by and between Nostos Shipmanagement Corp. and</w:t>
              </w:r>
            </w:hyperlink>
          </w:p>
        </w:tc>
        <w:tc>
          <w:tcPr>
            <w:tcW w:w="140" w:type="dxa"/>
            <w:vAlign w:val="bottom"/>
            <w:gridSpan w:val="2"/>
          </w:tcPr>
          <w:p>
            <w:pPr>
              <w:spacing w:after="0"/>
              <w:rPr>
                <w:sz w:val="24"/>
                <w:szCs w:val="24"/>
                <w:color w:val="auto"/>
              </w:rPr>
            </w:pPr>
          </w:p>
        </w:tc>
      </w:tr>
      <w:tr>
        <w:trPr>
          <w:trHeight w:val="196"/>
        </w:trPr>
        <w:tc>
          <w:tcPr>
            <w:tcW w:w="840" w:type="dxa"/>
            <w:vAlign w:val="bottom"/>
          </w:tcPr>
          <w:p>
            <w:pPr>
              <w:spacing w:after="0"/>
              <w:rPr>
                <w:sz w:val="17"/>
                <w:szCs w:val="17"/>
                <w:color w:val="auto"/>
              </w:rPr>
            </w:pPr>
          </w:p>
        </w:tc>
        <w:tc>
          <w:tcPr>
            <w:tcW w:w="852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226">
              <w:r>
                <w:rPr>
                  <w:rFonts w:ascii="Arial" w:cs="Arial" w:eastAsia="Arial" w:hAnsi="Arial"/>
                  <w:sz w:val="18"/>
                  <w:szCs w:val="18"/>
                  <w:color w:val="0000EE"/>
                  <w:w w:val="91"/>
                </w:rPr>
                <w:t>Alpha Bank A.E (Incorporated by reference to Exhibit 10.1 to the Registrant’s Form 6-K, filed on December 1, 2016).</w:t>
              </w:r>
            </w:hyperlink>
          </w:p>
        </w:tc>
        <w:tc>
          <w:tcPr>
            <w:tcW w:w="1560" w:type="dxa"/>
            <w:vAlign w:val="bottom"/>
            <w:gridSpan w:val="19"/>
          </w:tcPr>
          <w:p>
            <w:pPr>
              <w:spacing w:after="0"/>
              <w:rPr>
                <w:sz w:val="17"/>
                <w:szCs w:val="17"/>
                <w:color w:val="auto"/>
              </w:rPr>
            </w:pPr>
          </w:p>
        </w:tc>
      </w:tr>
      <w:tr>
        <w:trPr>
          <w:trHeight w:val="304"/>
        </w:trPr>
        <w:tc>
          <w:tcPr>
            <w:tcW w:w="840" w:type="dxa"/>
            <w:vAlign w:val="bottom"/>
          </w:tcPr>
          <w:p>
            <w:pPr>
              <w:spacing w:after="0"/>
              <w:rPr>
                <w:sz w:val="20"/>
                <w:szCs w:val="20"/>
                <w:color w:val="auto"/>
              </w:rPr>
            </w:pPr>
            <w:r>
              <w:rPr>
                <w:rFonts w:ascii="Arial" w:cs="Arial" w:eastAsia="Arial" w:hAnsi="Arial"/>
                <w:sz w:val="18"/>
                <w:szCs w:val="18"/>
                <w:color w:val="auto"/>
              </w:rPr>
              <w:t>4.14</w:t>
            </w:r>
          </w:p>
        </w:tc>
        <w:tc>
          <w:tcPr>
            <w:tcW w:w="10080" w:type="dxa"/>
            <w:vAlign w:val="bottom"/>
            <w:gridSpan w:val="29"/>
          </w:tcPr>
          <w:p>
            <w:pPr>
              <w:spacing w:after="0"/>
              <w:rPr>
                <w:rFonts w:ascii="Arial" w:cs="Arial" w:eastAsia="Arial" w:hAnsi="Arial"/>
                <w:sz w:val="18"/>
                <w:szCs w:val="18"/>
                <w:color w:val="0000EE"/>
                <w:w w:val="94"/>
              </w:rPr>
            </w:pPr>
            <w:hyperlink r:id="rId227">
              <w:r>
                <w:rPr>
                  <w:rFonts w:ascii="Arial" w:cs="Arial" w:eastAsia="Arial" w:hAnsi="Arial"/>
                  <w:sz w:val="18"/>
                  <w:szCs w:val="18"/>
                  <w:color w:val="0000EE"/>
                  <w:w w:val="94"/>
                </w:rPr>
                <w:t xml:space="preserve">Facility Agreement dated May 23, 2017 for a loan facility of up to </w:t>
              </w:r>
              <w:r>
                <w:rPr>
                  <w:rFonts w:ascii="Arial" w:cs="Arial" w:eastAsia="Arial" w:hAnsi="Arial"/>
                  <w:sz w:val="18"/>
                  <w:szCs w:val="18"/>
                  <w:u w:val="single" w:color="auto"/>
                  <w:color w:val="0000EE"/>
                  <w:w w:val="94"/>
                </w:rPr>
                <w:t>$</w:t>
              </w:r>
              <w:r>
                <w:rPr>
                  <w:rFonts w:ascii="Arial" w:cs="Arial" w:eastAsia="Arial" w:hAnsi="Arial"/>
                  <w:sz w:val="18"/>
                  <w:szCs w:val="18"/>
                  <w:color w:val="0000EE"/>
                  <w:w w:val="94"/>
                </w:rPr>
                <w:t>15.3 million, between Red Rose Shipping Corp. and HSH Nordbank</w:t>
              </w:r>
            </w:hyperlink>
          </w:p>
        </w:tc>
      </w:tr>
      <w:tr>
        <w:trPr>
          <w:trHeight w:val="196"/>
        </w:trPr>
        <w:tc>
          <w:tcPr>
            <w:tcW w:w="840" w:type="dxa"/>
            <w:vAlign w:val="bottom"/>
          </w:tcPr>
          <w:p>
            <w:pPr>
              <w:spacing w:after="0"/>
              <w:rPr>
                <w:sz w:val="17"/>
                <w:szCs w:val="17"/>
                <w:color w:val="auto"/>
              </w:rPr>
            </w:pPr>
          </w:p>
        </w:tc>
        <w:tc>
          <w:tcPr>
            <w:tcW w:w="76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r:id="rId227">
              <w:r>
                <w:rPr>
                  <w:rFonts w:ascii="Arial" w:cs="Arial" w:eastAsia="Arial" w:hAnsi="Arial"/>
                  <w:sz w:val="18"/>
                  <w:szCs w:val="18"/>
                  <w:color w:val="0000EE"/>
                  <w:w w:val="91"/>
                </w:rPr>
                <w:t>AG (Incorporated by reference to Exhibit 10.1 to the Registrant’s Form 6-K, filed on December 20, 2018).</w:t>
              </w:r>
            </w:hyperlink>
          </w:p>
        </w:tc>
        <w:tc>
          <w:tcPr>
            <w:tcW w:w="2200" w:type="dxa"/>
            <w:vAlign w:val="bottom"/>
            <w:tcBorders>
              <w:top w:val="single" w:sz="8" w:color="0000EE"/>
            </w:tcBorders>
            <w:gridSpan w:val="17"/>
          </w:tcPr>
          <w:p>
            <w:pPr>
              <w:spacing w:after="0"/>
              <w:rPr>
                <w:sz w:val="17"/>
                <w:szCs w:val="17"/>
                <w:color w:val="auto"/>
              </w:rPr>
            </w:pPr>
          </w:p>
        </w:tc>
        <w:tc>
          <w:tcPr>
            <w:tcW w:w="200" w:type="dxa"/>
            <w:vAlign w:val="bottom"/>
            <w:gridSpan w:val="4"/>
          </w:tcPr>
          <w:p>
            <w:pPr>
              <w:spacing w:after="0"/>
              <w:rPr>
                <w:sz w:val="17"/>
                <w:szCs w:val="17"/>
                <w:color w:val="auto"/>
              </w:rPr>
            </w:pPr>
          </w:p>
        </w:tc>
      </w:tr>
      <w:tr>
        <w:trPr>
          <w:trHeight w:val="304"/>
        </w:trPr>
        <w:tc>
          <w:tcPr>
            <w:tcW w:w="840" w:type="dxa"/>
            <w:vAlign w:val="bottom"/>
          </w:tcPr>
          <w:p>
            <w:pPr>
              <w:spacing w:after="0"/>
              <w:rPr>
                <w:sz w:val="20"/>
                <w:szCs w:val="20"/>
                <w:color w:val="auto"/>
              </w:rPr>
            </w:pPr>
            <w:r>
              <w:rPr>
                <w:rFonts w:ascii="Arial" w:cs="Arial" w:eastAsia="Arial" w:hAnsi="Arial"/>
                <w:sz w:val="18"/>
                <w:szCs w:val="18"/>
                <w:color w:val="auto"/>
              </w:rPr>
              <w:t>4.15</w:t>
            </w:r>
          </w:p>
        </w:tc>
        <w:tc>
          <w:tcPr>
            <w:tcW w:w="10080" w:type="dxa"/>
            <w:vAlign w:val="bottom"/>
            <w:gridSpan w:val="29"/>
          </w:tcPr>
          <w:p>
            <w:pPr>
              <w:spacing w:after="0"/>
              <w:rPr>
                <w:rFonts w:ascii="Arial" w:cs="Arial" w:eastAsia="Arial" w:hAnsi="Arial"/>
                <w:sz w:val="18"/>
                <w:szCs w:val="18"/>
                <w:color w:val="0000EE"/>
              </w:rPr>
            </w:pPr>
            <w:hyperlink r:id="rId228">
              <w:r>
                <w:rPr>
                  <w:rFonts w:ascii="Arial" w:cs="Arial" w:eastAsia="Arial" w:hAnsi="Arial"/>
                  <w:sz w:val="18"/>
                  <w:szCs w:val="18"/>
                  <w:color w:val="0000EE"/>
                </w:rPr>
                <w:t>Secured Loan Agreement, dated August 29, 2019, by and between Navios Maritime Holdings Inc, as borrower and Navios</w:t>
              </w:r>
            </w:hyperlink>
          </w:p>
        </w:tc>
      </w:tr>
      <w:tr>
        <w:trPr>
          <w:trHeight w:val="20"/>
        </w:trPr>
        <w:tc>
          <w:tcPr>
            <w:tcW w:w="840" w:type="dxa"/>
            <w:vAlign w:val="bottom"/>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2600" w:type="dxa"/>
            <w:vAlign w:val="bottom"/>
            <w:gridSpan w:val="3"/>
            <w:shd w:val="clear" w:color="auto" w:fill="0000EE"/>
          </w:tcPr>
          <w:p>
            <w:pPr>
              <w:spacing w:after="0" w:line="20" w:lineRule="exact"/>
              <w:rPr>
                <w:sz w:val="1"/>
                <w:szCs w:val="1"/>
                <w:color w:val="auto"/>
              </w:rPr>
            </w:pPr>
          </w:p>
        </w:tc>
        <w:tc>
          <w:tcPr>
            <w:tcW w:w="4820" w:type="dxa"/>
            <w:vAlign w:val="bottom"/>
            <w:gridSpan w:val="7"/>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9"/>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0080" w:type="dxa"/>
            <w:vAlign w:val="bottom"/>
            <w:gridSpan w:val="29"/>
          </w:tcPr>
          <w:p>
            <w:pPr>
              <w:spacing w:after="0" w:line="196" w:lineRule="exact"/>
              <w:rPr>
                <w:rFonts w:ascii="Arial" w:cs="Arial" w:eastAsia="Arial" w:hAnsi="Arial"/>
                <w:sz w:val="18"/>
                <w:szCs w:val="18"/>
                <w:color w:val="0000EE"/>
                <w:w w:val="99"/>
              </w:rPr>
            </w:pPr>
            <w:hyperlink r:id="rId228">
              <w:r>
                <w:rPr>
                  <w:rFonts w:ascii="Arial" w:cs="Arial" w:eastAsia="Arial" w:hAnsi="Arial"/>
                  <w:sz w:val="18"/>
                  <w:szCs w:val="18"/>
                  <w:color w:val="0000EE"/>
                  <w:w w:val="99"/>
                </w:rPr>
                <w:t>Shipmanagement Holdings Corporation, as lender (Incorporated by reference to Exhibit 99.5 to the Registrant’s Form 6-K, filed</w:t>
              </w:r>
            </w:hyperlink>
          </w:p>
        </w:tc>
      </w:tr>
      <w:tr>
        <w:trPr>
          <w:trHeight w:val="196"/>
        </w:trPr>
        <w:tc>
          <w:tcPr>
            <w:tcW w:w="840" w:type="dxa"/>
            <w:vAlign w:val="bottom"/>
          </w:tcPr>
          <w:p>
            <w:pPr>
              <w:spacing w:after="0"/>
              <w:rPr>
                <w:sz w:val="17"/>
                <w:szCs w:val="17"/>
                <w:color w:val="auto"/>
              </w:rPr>
            </w:pPr>
          </w:p>
        </w:tc>
        <w:tc>
          <w:tcPr>
            <w:tcW w:w="922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228">
              <w:r>
                <w:rPr>
                  <w:rFonts w:ascii="Arial" w:cs="Arial" w:eastAsia="Arial" w:hAnsi="Arial"/>
                  <w:sz w:val="18"/>
                  <w:szCs w:val="18"/>
                  <w:color w:val="0000EE"/>
                </w:rPr>
                <w:t>September 4, 2019).</w:t>
              </w:r>
            </w:hyperlink>
          </w:p>
        </w:tc>
        <w:tc>
          <w:tcPr>
            <w:tcW w:w="860" w:type="dxa"/>
            <w:vAlign w:val="bottom"/>
            <w:gridSpan w:val="15"/>
          </w:tcPr>
          <w:p>
            <w:pPr>
              <w:spacing w:after="0"/>
              <w:rPr>
                <w:sz w:val="17"/>
                <w:szCs w:val="17"/>
                <w:color w:val="auto"/>
              </w:rPr>
            </w:pPr>
          </w:p>
        </w:tc>
      </w:tr>
      <w:tr>
        <w:trPr>
          <w:trHeight w:val="20"/>
        </w:trPr>
        <w:tc>
          <w:tcPr>
            <w:tcW w:w="840" w:type="dxa"/>
            <w:vAlign w:val="bottom"/>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5280" w:type="dxa"/>
            <w:vAlign w:val="bottom"/>
            <w:gridSpan w:val="11"/>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9"/>
          </w:tcPr>
          <w:p>
            <w:pPr>
              <w:spacing w:after="0" w:line="20" w:lineRule="exact"/>
              <w:rPr>
                <w:sz w:val="1"/>
                <w:szCs w:val="1"/>
                <w:color w:val="auto"/>
              </w:rPr>
            </w:pPr>
          </w:p>
        </w:tc>
      </w:tr>
      <w:tr>
        <w:trPr>
          <w:trHeight w:val="304"/>
        </w:trPr>
        <w:tc>
          <w:tcPr>
            <w:tcW w:w="840" w:type="dxa"/>
            <w:vAlign w:val="bottom"/>
          </w:tcPr>
          <w:p>
            <w:pPr>
              <w:spacing w:after="0"/>
              <w:rPr>
                <w:sz w:val="20"/>
                <w:szCs w:val="20"/>
                <w:color w:val="auto"/>
              </w:rPr>
            </w:pPr>
            <w:r>
              <w:rPr>
                <w:rFonts w:ascii="Arial" w:cs="Arial" w:eastAsia="Arial" w:hAnsi="Arial"/>
                <w:sz w:val="18"/>
                <w:szCs w:val="18"/>
                <w:color w:val="auto"/>
              </w:rPr>
              <w:t>4.16</w:t>
            </w:r>
          </w:p>
        </w:tc>
        <w:tc>
          <w:tcPr>
            <w:tcW w:w="9720" w:type="dxa"/>
            <w:vAlign w:val="bottom"/>
            <w:tcBorders>
              <w:bottom w:val="single" w:sz="8" w:color="0000EE"/>
            </w:tcBorders>
            <w:gridSpan w:val="20"/>
          </w:tcPr>
          <w:p>
            <w:pPr>
              <w:spacing w:after="0"/>
              <w:rPr>
                <w:rFonts w:ascii="Arial" w:cs="Arial" w:eastAsia="Arial" w:hAnsi="Arial"/>
                <w:sz w:val="18"/>
                <w:szCs w:val="18"/>
                <w:color w:val="0000EE"/>
                <w:w w:val="92"/>
              </w:rPr>
            </w:pPr>
            <w:hyperlink r:id="rId229">
              <w:r>
                <w:rPr>
                  <w:rFonts w:ascii="Arial" w:cs="Arial" w:eastAsia="Arial" w:hAnsi="Arial"/>
                  <w:sz w:val="18"/>
                  <w:szCs w:val="18"/>
                  <w:color w:val="0000EE"/>
                  <w:w w:val="92"/>
                </w:rPr>
                <w:t xml:space="preserve">Facility Agreement in respect of a loan up to </w:t>
              </w:r>
              <w:r>
                <w:rPr>
                  <w:rFonts w:ascii="Arial" w:cs="Arial" w:eastAsia="Arial" w:hAnsi="Arial"/>
                  <w:sz w:val="18"/>
                  <w:szCs w:val="18"/>
                  <w:u w:val="single" w:color="auto"/>
                  <w:color w:val="0000EE"/>
                  <w:w w:val="92"/>
                </w:rPr>
                <w:t>$</w:t>
              </w:r>
              <w:r>
                <w:rPr>
                  <w:rFonts w:ascii="Arial" w:cs="Arial" w:eastAsia="Arial" w:hAnsi="Arial"/>
                  <w:sz w:val="18"/>
                  <w:szCs w:val="18"/>
                  <w:color w:val="0000EE"/>
                  <w:w w:val="92"/>
                </w:rPr>
                <w:t>50.0 million, dated April 25, 2019, between Navios Maritime Holdings Inc. and Navios</w:t>
              </w:r>
            </w:hyperlink>
          </w:p>
        </w:tc>
        <w:tc>
          <w:tcPr>
            <w:tcW w:w="360" w:type="dxa"/>
            <w:vAlign w:val="bottom"/>
            <w:gridSpan w:val="9"/>
          </w:tcPr>
          <w:p>
            <w:pPr>
              <w:spacing w:after="0"/>
              <w:rPr>
                <w:sz w:val="24"/>
                <w:szCs w:val="24"/>
                <w:color w:val="auto"/>
              </w:rPr>
            </w:pPr>
          </w:p>
        </w:tc>
      </w:tr>
      <w:tr>
        <w:trPr>
          <w:trHeight w:val="196"/>
        </w:trPr>
        <w:tc>
          <w:tcPr>
            <w:tcW w:w="840" w:type="dxa"/>
            <w:vAlign w:val="bottom"/>
          </w:tcPr>
          <w:p>
            <w:pPr>
              <w:spacing w:after="0"/>
              <w:rPr>
                <w:sz w:val="17"/>
                <w:szCs w:val="17"/>
                <w:color w:val="auto"/>
              </w:rPr>
            </w:pPr>
          </w:p>
        </w:tc>
        <w:tc>
          <w:tcPr>
            <w:tcW w:w="10080" w:type="dxa"/>
            <w:vAlign w:val="bottom"/>
            <w:gridSpan w:val="29"/>
          </w:tcPr>
          <w:p>
            <w:pPr>
              <w:spacing w:after="0" w:line="196" w:lineRule="exact"/>
              <w:rPr>
                <w:rFonts w:ascii="Arial" w:cs="Arial" w:eastAsia="Arial" w:hAnsi="Arial"/>
                <w:sz w:val="18"/>
                <w:szCs w:val="18"/>
                <w:color w:val="0000EE"/>
                <w:w w:val="99"/>
              </w:rPr>
            </w:pPr>
            <w:hyperlink r:id="rId229">
              <w:r>
                <w:rPr>
                  <w:rFonts w:ascii="Arial" w:cs="Arial" w:eastAsia="Arial" w:hAnsi="Arial"/>
                  <w:sz w:val="18"/>
                  <w:szCs w:val="18"/>
                  <w:color w:val="0000EE"/>
                  <w:w w:val="99"/>
                </w:rPr>
                <w:t>South American Logistics Inc. (Incorporated by reference to Exhibit 4.38 to the Registrant’s Form 10-K, filed on April 21, 2020).</w:t>
              </w:r>
            </w:hyperlink>
          </w:p>
        </w:tc>
      </w:tr>
      <w:tr>
        <w:trPr>
          <w:trHeight w:val="20"/>
        </w:trPr>
        <w:tc>
          <w:tcPr>
            <w:tcW w:w="840" w:type="dxa"/>
            <w:vAlign w:val="bottom"/>
          </w:tcPr>
          <w:p>
            <w:pPr>
              <w:spacing w:after="0" w:line="20" w:lineRule="exact"/>
              <w:rPr>
                <w:sz w:val="1"/>
                <w:szCs w:val="1"/>
                <w:color w:val="auto"/>
              </w:rPr>
            </w:pPr>
          </w:p>
        </w:tc>
        <w:tc>
          <w:tcPr>
            <w:tcW w:w="4060" w:type="dxa"/>
            <w:vAlign w:val="bottom"/>
            <w:gridSpan w:val="4"/>
            <w:shd w:val="clear" w:color="auto" w:fill="0000EE"/>
          </w:tcPr>
          <w:p>
            <w:pPr>
              <w:spacing w:after="0" w:line="20" w:lineRule="exact"/>
              <w:rPr>
                <w:sz w:val="1"/>
                <w:szCs w:val="1"/>
                <w:color w:val="auto"/>
              </w:rPr>
            </w:pPr>
          </w:p>
        </w:tc>
        <w:tc>
          <w:tcPr>
            <w:tcW w:w="5280" w:type="dxa"/>
            <w:vAlign w:val="bottom"/>
            <w:gridSpan w:val="11"/>
            <w:shd w:val="clear" w:color="auto" w:fill="0000EE"/>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380" w:type="dxa"/>
            <w:vAlign w:val="bottom"/>
            <w:gridSpan w:val="10"/>
          </w:tcPr>
          <w:p>
            <w:pPr>
              <w:spacing w:after="0" w:line="20" w:lineRule="exact"/>
              <w:rPr>
                <w:sz w:val="1"/>
                <w:szCs w:val="1"/>
                <w:color w:val="auto"/>
              </w:rPr>
            </w:pPr>
          </w:p>
        </w:tc>
      </w:tr>
      <w:tr>
        <w:trPr>
          <w:trHeight w:val="304"/>
        </w:trPr>
        <w:tc>
          <w:tcPr>
            <w:tcW w:w="840" w:type="dxa"/>
            <w:vAlign w:val="bottom"/>
          </w:tcPr>
          <w:p>
            <w:pPr>
              <w:spacing w:after="0"/>
              <w:rPr>
                <w:sz w:val="20"/>
                <w:szCs w:val="20"/>
                <w:color w:val="auto"/>
              </w:rPr>
            </w:pPr>
            <w:r>
              <w:rPr>
                <w:rFonts w:ascii="Arial" w:cs="Arial" w:eastAsia="Arial" w:hAnsi="Arial"/>
                <w:sz w:val="18"/>
                <w:szCs w:val="18"/>
                <w:color w:val="auto"/>
              </w:rPr>
              <w:t>4.16.1</w:t>
            </w:r>
          </w:p>
        </w:tc>
        <w:tc>
          <w:tcPr>
            <w:tcW w:w="10080" w:type="dxa"/>
            <w:vAlign w:val="bottom"/>
            <w:gridSpan w:val="29"/>
          </w:tcPr>
          <w:p>
            <w:pPr>
              <w:spacing w:after="0"/>
              <w:rPr>
                <w:rFonts w:ascii="Arial" w:cs="Arial" w:eastAsia="Arial" w:hAnsi="Arial"/>
                <w:sz w:val="18"/>
                <w:szCs w:val="18"/>
                <w:color w:val="0000EE"/>
                <w:w w:val="95"/>
              </w:rPr>
            </w:pPr>
            <w:hyperlink r:id="rId230">
              <w:r>
                <w:rPr>
                  <w:rFonts w:ascii="Arial" w:cs="Arial" w:eastAsia="Arial" w:hAnsi="Arial"/>
                  <w:sz w:val="18"/>
                  <w:szCs w:val="18"/>
                  <w:color w:val="0000EE"/>
                  <w:w w:val="95"/>
                </w:rPr>
                <w:t xml:space="preserve">Supplemental Agreement in relation to the Facility Agreement dated December 2, 2019 for a loan facility of up to </w:t>
              </w:r>
              <w:r>
                <w:rPr>
                  <w:rFonts w:ascii="Arial" w:cs="Arial" w:eastAsia="Arial" w:hAnsi="Arial"/>
                  <w:sz w:val="18"/>
                  <w:szCs w:val="18"/>
                  <w:u w:val="single" w:color="auto"/>
                  <w:color w:val="0000EE"/>
                  <w:w w:val="95"/>
                </w:rPr>
                <w:t>$</w:t>
              </w:r>
              <w:r>
                <w:rPr>
                  <w:rFonts w:ascii="Arial" w:cs="Arial" w:eastAsia="Arial" w:hAnsi="Arial"/>
                  <w:sz w:val="18"/>
                  <w:szCs w:val="18"/>
                  <w:color w:val="0000EE"/>
                  <w:w w:val="95"/>
                </w:rPr>
                <w:t>50.0 million dated</w:t>
              </w:r>
            </w:hyperlink>
          </w:p>
        </w:tc>
      </w:tr>
      <w:tr>
        <w:trPr>
          <w:trHeight w:val="20"/>
        </w:trPr>
        <w:tc>
          <w:tcPr>
            <w:tcW w:w="840" w:type="dxa"/>
            <w:vAlign w:val="bottom"/>
          </w:tcPr>
          <w:p>
            <w:pPr>
              <w:spacing w:after="0" w:line="20" w:lineRule="exact"/>
              <w:rPr>
                <w:sz w:val="1"/>
                <w:szCs w:val="1"/>
                <w:color w:val="auto"/>
              </w:rPr>
            </w:pPr>
          </w:p>
        </w:tc>
        <w:tc>
          <w:tcPr>
            <w:tcW w:w="4060" w:type="dxa"/>
            <w:vAlign w:val="bottom"/>
            <w:gridSpan w:val="4"/>
            <w:shd w:val="clear" w:color="auto" w:fill="0000EE"/>
          </w:tcPr>
          <w:p>
            <w:pPr>
              <w:spacing w:after="0" w:line="20" w:lineRule="exact"/>
              <w:rPr>
                <w:sz w:val="1"/>
                <w:szCs w:val="1"/>
                <w:color w:val="auto"/>
              </w:rPr>
            </w:pPr>
          </w:p>
        </w:tc>
        <w:tc>
          <w:tcPr>
            <w:tcW w:w="5640" w:type="dxa"/>
            <w:vAlign w:val="bottom"/>
            <w:gridSpan w:val="15"/>
            <w:shd w:val="clear" w:color="auto" w:fill="0000EE"/>
          </w:tcPr>
          <w:p>
            <w:pPr>
              <w:spacing w:after="0" w:line="20" w:lineRule="exact"/>
              <w:rPr>
                <w:sz w:val="1"/>
                <w:szCs w:val="1"/>
                <w:color w:val="auto"/>
              </w:rPr>
            </w:pPr>
          </w:p>
        </w:tc>
        <w:tc>
          <w:tcPr>
            <w:tcW w:w="380" w:type="dxa"/>
            <w:vAlign w:val="bottom"/>
            <w:gridSpan w:val="10"/>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0080" w:type="dxa"/>
            <w:vAlign w:val="bottom"/>
            <w:tcBorders>
              <w:bottom w:val="single" w:sz="8" w:color="0000EE"/>
            </w:tcBorders>
            <w:gridSpan w:val="29"/>
          </w:tcPr>
          <w:p>
            <w:pPr>
              <w:spacing w:after="0" w:line="196" w:lineRule="exact"/>
              <w:rPr>
                <w:rFonts w:ascii="Arial" w:cs="Arial" w:eastAsia="Arial" w:hAnsi="Arial"/>
                <w:sz w:val="18"/>
                <w:szCs w:val="18"/>
                <w:color w:val="0000EE"/>
                <w:w w:val="92"/>
              </w:rPr>
            </w:pPr>
            <w:hyperlink r:id="rId230">
              <w:r>
                <w:rPr>
                  <w:rFonts w:ascii="Arial" w:cs="Arial" w:eastAsia="Arial" w:hAnsi="Arial"/>
                  <w:sz w:val="18"/>
                  <w:szCs w:val="18"/>
                  <w:color w:val="0000EE"/>
                  <w:w w:val="92"/>
                </w:rPr>
                <w:t>April 25, 2019 among Navios Maritime Holdings Inc. and Navios South American Logistics Inc. (Incorporated by reference to Exhibit 4.39</w:t>
              </w:r>
            </w:hyperlink>
          </w:p>
        </w:tc>
      </w:tr>
      <w:tr>
        <w:trPr>
          <w:trHeight w:val="196"/>
        </w:trPr>
        <w:tc>
          <w:tcPr>
            <w:tcW w:w="840" w:type="dxa"/>
            <w:vAlign w:val="bottom"/>
          </w:tcPr>
          <w:p>
            <w:pPr>
              <w:spacing w:after="0"/>
              <w:rPr>
                <w:sz w:val="17"/>
                <w:szCs w:val="17"/>
                <w:color w:val="auto"/>
              </w:rPr>
            </w:pPr>
          </w:p>
        </w:tc>
        <w:tc>
          <w:tcPr>
            <w:tcW w:w="406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r:id="rId230">
              <w:r>
                <w:rPr>
                  <w:rFonts w:ascii="Arial" w:cs="Arial" w:eastAsia="Arial" w:hAnsi="Arial"/>
                  <w:sz w:val="18"/>
                  <w:szCs w:val="18"/>
                  <w:color w:val="0000EE"/>
                  <w:w w:val="93"/>
                </w:rPr>
                <w:t>to the Registrant’s Form 10-K, filed on April 21, 2020).</w:t>
              </w:r>
            </w:hyperlink>
          </w:p>
        </w:tc>
        <w:tc>
          <w:tcPr>
            <w:tcW w:w="6020" w:type="dxa"/>
            <w:vAlign w:val="bottom"/>
            <w:gridSpan w:val="25"/>
          </w:tcPr>
          <w:p>
            <w:pPr>
              <w:spacing w:after="0"/>
              <w:rPr>
                <w:sz w:val="17"/>
                <w:szCs w:val="17"/>
                <w:color w:val="auto"/>
              </w:rPr>
            </w:pPr>
          </w:p>
        </w:tc>
      </w:tr>
      <w:tr>
        <w:trPr>
          <w:trHeight w:val="385"/>
        </w:trPr>
        <w:tc>
          <w:tcPr>
            <w:tcW w:w="840" w:type="dxa"/>
            <w:vAlign w:val="bottom"/>
          </w:tcPr>
          <w:p>
            <w:pPr>
              <w:spacing w:after="0"/>
              <w:rPr>
                <w:sz w:val="24"/>
                <w:szCs w:val="24"/>
                <w:color w:val="auto"/>
              </w:rPr>
            </w:pPr>
          </w:p>
        </w:tc>
        <w:tc>
          <w:tcPr>
            <w:tcW w:w="7120" w:type="dxa"/>
            <w:vAlign w:val="bottom"/>
            <w:gridSpan w:val="6"/>
          </w:tcPr>
          <w:p>
            <w:pPr>
              <w:ind w:left="4480"/>
              <w:spacing w:after="0"/>
              <w:rPr>
                <w:sz w:val="20"/>
                <w:szCs w:val="20"/>
                <w:color w:val="auto"/>
              </w:rPr>
            </w:pPr>
            <w:r>
              <w:rPr>
                <w:rFonts w:ascii="Arial" w:cs="Arial" w:eastAsia="Arial" w:hAnsi="Arial"/>
                <w:sz w:val="18"/>
                <w:szCs w:val="18"/>
                <w:color w:val="auto"/>
              </w:rPr>
              <w:t>157</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080"/>
          </w:cols>
          <w:pgMar w:left="320" w:top="459" w:right="49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00" w:right="260" w:hanging="737"/>
        <w:spacing w:after="0" w:line="342" w:lineRule="auto"/>
        <w:tabs>
          <w:tab w:leader="none" w:pos="880" w:val="left"/>
        </w:tabs>
        <w:rPr>
          <w:rFonts w:ascii="Arial" w:cs="Arial" w:eastAsia="Arial" w:hAnsi="Arial"/>
          <w:sz w:val="16"/>
          <w:szCs w:val="16"/>
          <w:u w:val="single" w:color="auto"/>
          <w:color w:val="0000EE"/>
        </w:rPr>
      </w:pPr>
      <w:r>
        <w:rPr>
          <w:rFonts w:ascii="Arial" w:cs="Arial" w:eastAsia="Arial" w:hAnsi="Arial"/>
          <w:sz w:val="18"/>
          <w:szCs w:val="18"/>
          <w:color w:val="auto"/>
        </w:rPr>
        <w:t>4.17</w:t>
      </w:r>
      <w:r>
        <w:rPr>
          <w:sz w:val="20"/>
          <w:szCs w:val="20"/>
          <w:color w:val="auto"/>
        </w:rPr>
        <w:tab/>
      </w:r>
      <w:hyperlink r:id="rId232">
        <w:r>
          <w:rPr>
            <w:rFonts w:ascii="Arial" w:cs="Arial" w:eastAsia="Arial" w:hAnsi="Arial"/>
            <w:sz w:val="16"/>
            <w:szCs w:val="16"/>
            <w:u w:val="single" w:color="auto"/>
            <w:color w:val="0000EE"/>
          </w:rPr>
          <w:t>Loan Agreement for a Loan of up to $50.0 million, dated as of June 3, 2020, by and between Navios Maritime Holdings Inc. and Navios</w:t>
        </w:r>
      </w:hyperlink>
      <w:r>
        <w:rPr>
          <w:rFonts w:ascii="Arial" w:cs="Arial" w:eastAsia="Arial" w:hAnsi="Arial"/>
          <w:sz w:val="16"/>
          <w:szCs w:val="16"/>
          <w:u w:val="single" w:color="auto"/>
          <w:color w:val="0000EE"/>
        </w:rPr>
        <w:t xml:space="preserve"> </w:t>
      </w:r>
      <w:hyperlink r:id="rId232">
        <w:r>
          <w:rPr>
            <w:rFonts w:ascii="Arial" w:cs="Arial" w:eastAsia="Arial" w:hAnsi="Arial"/>
            <w:sz w:val="16"/>
            <w:szCs w:val="16"/>
            <w:u w:val="single" w:color="auto"/>
            <w:color w:val="0000EE"/>
          </w:rPr>
          <w:t>Shipmanagement Holdings Corporation. (Incorporated by reference to Exhibit 4.46 to the Registrant’s Form 6-K, filed on June 12, 2020).</w:t>
        </w:r>
      </w:hyperlink>
    </w:p>
    <w:p>
      <w:pPr>
        <w:spacing w:after="0" w:line="16" w:lineRule="exact"/>
        <w:rPr>
          <w:sz w:val="20"/>
          <w:szCs w:val="20"/>
          <w:color w:val="auto"/>
        </w:rPr>
      </w:pPr>
    </w:p>
    <w:p>
      <w:pPr>
        <w:ind w:left="900" w:right="480" w:hanging="737"/>
        <w:spacing w:after="0" w:line="27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4.18</w:t>
      </w:r>
      <w:r>
        <w:rPr>
          <w:sz w:val="20"/>
          <w:szCs w:val="20"/>
          <w:color w:val="auto"/>
        </w:rPr>
        <w:tab/>
      </w:r>
      <w:hyperlink r:id="rId233">
        <w:r>
          <w:rPr>
            <w:rFonts w:ascii="Arial" w:cs="Arial" w:eastAsia="Arial" w:hAnsi="Arial"/>
            <w:sz w:val="18"/>
            <w:szCs w:val="18"/>
            <w:u w:val="single" w:color="auto"/>
            <w:color w:val="0000EE"/>
          </w:rPr>
          <w:t>Second Amendment to the Navios Maritime Holdings Inc. 2015 Equity Incentive Plan (Incorporated by reference to Exhibit 99.1 to the</w:t>
        </w:r>
      </w:hyperlink>
      <w:r>
        <w:rPr>
          <w:rFonts w:ascii="Arial" w:cs="Arial" w:eastAsia="Arial" w:hAnsi="Arial"/>
          <w:sz w:val="18"/>
          <w:szCs w:val="18"/>
          <w:u w:val="single" w:color="auto"/>
          <w:color w:val="0000EE"/>
        </w:rPr>
        <w:t xml:space="preserve"> </w:t>
      </w:r>
      <w:hyperlink r:id="rId233">
        <w:r>
          <w:rPr>
            <w:rFonts w:ascii="Arial" w:cs="Arial" w:eastAsia="Arial" w:hAnsi="Arial"/>
            <w:sz w:val="18"/>
            <w:szCs w:val="18"/>
            <w:u w:val="single" w:color="auto"/>
            <w:color w:val="0000EE"/>
          </w:rPr>
          <w:t>Registrant’s Form 6-K, filed on December 4, 2018).</w:t>
        </w:r>
      </w:hyperlink>
    </w:p>
    <w:p>
      <w:pPr>
        <w:spacing w:after="0" w:line="62" w:lineRule="exact"/>
        <w:rPr>
          <w:sz w:val="20"/>
          <w:szCs w:val="20"/>
          <w:color w:val="auto"/>
        </w:rPr>
      </w:pPr>
    </w:p>
    <w:p>
      <w:pPr>
        <w:ind w:left="900" w:right="20" w:hanging="737"/>
        <w:spacing w:after="0" w:line="263"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4.19</w:t>
      </w:r>
      <w:r>
        <w:rPr>
          <w:sz w:val="20"/>
          <w:szCs w:val="20"/>
          <w:color w:val="auto"/>
        </w:rPr>
        <w:tab/>
      </w:r>
      <w:hyperlink r:id="rId234">
        <w:r>
          <w:rPr>
            <w:rFonts w:ascii="Arial" w:cs="Arial" w:eastAsia="Arial" w:hAnsi="Arial"/>
            <w:sz w:val="18"/>
            <w:szCs w:val="18"/>
            <w:u w:val="single" w:color="auto"/>
            <w:color w:val="0000EE"/>
          </w:rPr>
          <w:t>Purchase Agreement, dated August 30, 2019, by and among N Shipmanagement Acquisition Corp, Alegria Shiptrade Co., Olympos</w:t>
        </w:r>
      </w:hyperlink>
      <w:r>
        <w:rPr>
          <w:rFonts w:ascii="Arial" w:cs="Arial" w:eastAsia="Arial" w:hAnsi="Arial"/>
          <w:sz w:val="18"/>
          <w:szCs w:val="18"/>
          <w:u w:val="single" w:color="auto"/>
          <w:color w:val="0000EE"/>
        </w:rPr>
        <w:t xml:space="preserve"> </w:t>
      </w:r>
      <w:hyperlink r:id="rId234">
        <w:r>
          <w:rPr>
            <w:rFonts w:ascii="Arial" w:cs="Arial" w:eastAsia="Arial" w:hAnsi="Arial"/>
            <w:sz w:val="18"/>
            <w:szCs w:val="18"/>
            <w:u w:val="single" w:color="auto"/>
            <w:color w:val="0000EE"/>
          </w:rPr>
          <w:t>Maritime Ltd, Navios Maritime Holdings Inc. and Navios GP L.L.C. (Incorporated by reference to Exhibit 99.6 to the Registrant’s Form 6-K,</w:t>
        </w:r>
      </w:hyperlink>
      <w:r>
        <w:rPr>
          <w:rFonts w:ascii="Arial" w:cs="Arial" w:eastAsia="Arial" w:hAnsi="Arial"/>
          <w:sz w:val="18"/>
          <w:szCs w:val="18"/>
          <w:u w:val="single" w:color="auto"/>
          <w:color w:val="0000EE"/>
        </w:rPr>
        <w:t xml:space="preserve"> </w:t>
      </w:r>
      <w:hyperlink r:id="rId234">
        <w:r>
          <w:rPr>
            <w:rFonts w:ascii="Arial" w:cs="Arial" w:eastAsia="Arial" w:hAnsi="Arial"/>
            <w:sz w:val="18"/>
            <w:szCs w:val="18"/>
            <w:u w:val="single" w:color="auto"/>
            <w:color w:val="0000EE"/>
          </w:rPr>
          <w:t>filed September 4, 2019).</w:t>
        </w:r>
      </w:hyperlink>
    </w:p>
    <w:p>
      <w:pPr>
        <w:spacing w:after="0" w:line="76" w:lineRule="exact"/>
        <w:rPr>
          <w:rFonts w:ascii="Arial" w:cs="Arial" w:eastAsia="Arial" w:hAnsi="Arial"/>
          <w:sz w:val="18"/>
          <w:szCs w:val="18"/>
          <w:u w:val="single" w:color="auto"/>
          <w:color w:val="0000EE"/>
        </w:rPr>
      </w:pPr>
    </w:p>
    <w:p>
      <w:pPr>
        <w:ind w:left="900" w:right="60" w:hanging="737"/>
        <w:spacing w:after="0" w:line="263"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4.20</w:t>
      </w:r>
      <w:r>
        <w:rPr>
          <w:sz w:val="20"/>
          <w:szCs w:val="20"/>
          <w:color w:val="auto"/>
        </w:rPr>
        <w:tab/>
      </w:r>
      <w:hyperlink r:id="rId235">
        <w:r>
          <w:rPr>
            <w:rFonts w:ascii="Arial" w:cs="Arial" w:eastAsia="Arial" w:hAnsi="Arial"/>
            <w:sz w:val="18"/>
            <w:szCs w:val="18"/>
            <w:u w:val="single" w:color="auto"/>
            <w:color w:val="0000EE"/>
          </w:rPr>
          <w:t>Bareboat Carter and Memorandum of Agreement, dated November 27, 2019, among Anchor Trans Inc., and Vernazza Shiptrade Inc, being a</w:t>
        </w:r>
      </w:hyperlink>
      <w:r>
        <w:rPr>
          <w:rFonts w:ascii="Arial" w:cs="Arial" w:eastAsia="Arial" w:hAnsi="Arial"/>
          <w:sz w:val="18"/>
          <w:szCs w:val="18"/>
          <w:u w:val="single" w:color="auto"/>
          <w:color w:val="0000EE"/>
        </w:rPr>
        <w:t xml:space="preserve"> </w:t>
      </w:r>
      <w:hyperlink r:id="rId235">
        <w:r>
          <w:rPr>
            <w:rFonts w:ascii="Arial" w:cs="Arial" w:eastAsia="Arial" w:hAnsi="Arial"/>
            <w:sz w:val="18"/>
            <w:szCs w:val="18"/>
            <w:u w:val="single" w:color="auto"/>
            <w:color w:val="0000EE"/>
          </w:rPr>
          <w:t>wholly owned subsidiary of Navios Maritime Holdings Inc., providing for the sale and leaseback of Dream Canary (Incorporated by</w:t>
        </w:r>
      </w:hyperlink>
      <w:r>
        <w:rPr>
          <w:rFonts w:ascii="Arial" w:cs="Arial" w:eastAsia="Arial" w:hAnsi="Arial"/>
          <w:sz w:val="18"/>
          <w:szCs w:val="18"/>
          <w:u w:val="single" w:color="auto"/>
          <w:color w:val="0000EE"/>
        </w:rPr>
        <w:t xml:space="preserve"> </w:t>
      </w:r>
      <w:hyperlink r:id="rId235">
        <w:r>
          <w:rPr>
            <w:rFonts w:ascii="Arial" w:cs="Arial" w:eastAsia="Arial" w:hAnsi="Arial"/>
            <w:sz w:val="18"/>
            <w:szCs w:val="18"/>
            <w:u w:val="single" w:color="auto"/>
            <w:color w:val="0000EE"/>
          </w:rPr>
          <w:t>reference to Exhibit 4.40 to the Registrant’s Form 10-K, filed on April 21, 2020).</w:t>
        </w:r>
      </w:hyperlink>
    </w:p>
    <w:p>
      <w:pPr>
        <w:spacing w:after="0" w:line="76" w:lineRule="exact"/>
        <w:rPr>
          <w:rFonts w:ascii="Arial" w:cs="Arial" w:eastAsia="Arial" w:hAnsi="Arial"/>
          <w:sz w:val="18"/>
          <w:szCs w:val="18"/>
          <w:u w:val="single" w:color="auto"/>
          <w:color w:val="0000EE"/>
        </w:rPr>
      </w:pPr>
    </w:p>
    <w:p>
      <w:pPr>
        <w:ind w:left="900" w:right="260" w:hanging="737"/>
        <w:spacing w:after="0" w:line="286" w:lineRule="auto"/>
        <w:tabs>
          <w:tab w:leader="none" w:pos="880" w:val="left"/>
        </w:tabs>
        <w:rPr>
          <w:rFonts w:ascii="Arial" w:cs="Arial" w:eastAsia="Arial" w:hAnsi="Arial"/>
          <w:sz w:val="17"/>
          <w:szCs w:val="17"/>
          <w:u w:val="single" w:color="auto"/>
          <w:color w:val="0000EE"/>
        </w:rPr>
      </w:pPr>
      <w:r>
        <w:rPr>
          <w:rFonts w:ascii="Arial" w:cs="Arial" w:eastAsia="Arial" w:hAnsi="Arial"/>
          <w:sz w:val="18"/>
          <w:szCs w:val="18"/>
          <w:color w:val="auto"/>
        </w:rPr>
        <w:t>4.21</w:t>
      </w:r>
      <w:r>
        <w:rPr>
          <w:sz w:val="20"/>
          <w:szCs w:val="20"/>
          <w:color w:val="auto"/>
        </w:rPr>
        <w:tab/>
      </w:r>
      <w:hyperlink r:id="rId236">
        <w:r>
          <w:rPr>
            <w:rFonts w:ascii="Arial" w:cs="Arial" w:eastAsia="Arial" w:hAnsi="Arial"/>
            <w:sz w:val="17"/>
            <w:szCs w:val="17"/>
            <w:u w:val="single" w:color="auto"/>
            <w:color w:val="0000EE"/>
          </w:rPr>
          <w:t>Bareboat Charter and Memorandum of Agreement, dated February 13, 2020, between Lua Line S.A. and Okino Kaiun Co. and Roselite</w:t>
        </w:r>
      </w:hyperlink>
      <w:r>
        <w:rPr>
          <w:rFonts w:ascii="Arial" w:cs="Arial" w:eastAsia="Arial" w:hAnsi="Arial"/>
          <w:sz w:val="17"/>
          <w:szCs w:val="17"/>
          <w:u w:val="single" w:color="auto"/>
          <w:color w:val="0000EE"/>
        </w:rPr>
        <w:t xml:space="preserve"> </w:t>
      </w:r>
      <w:hyperlink r:id="rId236">
        <w:r>
          <w:rPr>
            <w:rFonts w:ascii="Arial" w:cs="Arial" w:eastAsia="Arial" w:hAnsi="Arial"/>
            <w:sz w:val="17"/>
            <w:szCs w:val="17"/>
            <w:u w:val="single" w:color="auto"/>
            <w:color w:val="0000EE"/>
          </w:rPr>
          <w:t>Shipping Corporation, being a wholly owned subsidiary of Navios Maritime Holdings Inc., providing for the sale and leaseback of Navios</w:t>
        </w:r>
      </w:hyperlink>
      <w:r>
        <w:rPr>
          <w:rFonts w:ascii="Arial" w:cs="Arial" w:eastAsia="Arial" w:hAnsi="Arial"/>
          <w:sz w:val="17"/>
          <w:szCs w:val="17"/>
          <w:u w:val="single" w:color="auto"/>
          <w:color w:val="0000EE"/>
        </w:rPr>
        <w:t xml:space="preserve"> </w:t>
      </w:r>
      <w:hyperlink r:id="rId236">
        <w:r>
          <w:rPr>
            <w:rFonts w:ascii="Arial" w:cs="Arial" w:eastAsia="Arial" w:hAnsi="Arial"/>
            <w:sz w:val="17"/>
            <w:szCs w:val="17"/>
            <w:u w:val="single" w:color="auto"/>
            <w:color w:val="0000EE"/>
          </w:rPr>
          <w:t>Corali (Incorporated by reference to Exhibit 4.41 to the Registrant’s Form 10-K, filed on April 21, 2020).</w:t>
        </w:r>
      </w:hyperlink>
    </w:p>
    <w:p>
      <w:pPr>
        <w:spacing w:after="0" w:line="57" w:lineRule="exact"/>
        <w:rPr>
          <w:rFonts w:ascii="Arial" w:cs="Arial" w:eastAsia="Arial" w:hAnsi="Arial"/>
          <w:sz w:val="17"/>
          <w:szCs w:val="17"/>
          <w:u w:val="single" w:color="auto"/>
          <w:color w:val="0000EE"/>
        </w:rPr>
      </w:pPr>
    </w:p>
    <w:p>
      <w:pPr>
        <w:ind w:left="900" w:right="220" w:hanging="737"/>
        <w:spacing w:after="0" w:line="27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4.22</w:t>
      </w:r>
      <w:r>
        <w:rPr>
          <w:sz w:val="20"/>
          <w:szCs w:val="20"/>
          <w:color w:val="auto"/>
        </w:rPr>
        <w:tab/>
      </w:r>
      <w:hyperlink r:id="rId237">
        <w:r>
          <w:rPr>
            <w:rFonts w:ascii="Arial" w:cs="Arial" w:eastAsia="Arial" w:hAnsi="Arial"/>
            <w:sz w:val="18"/>
            <w:szCs w:val="18"/>
            <w:u w:val="single" w:color="auto"/>
            <w:color w:val="0000EE"/>
          </w:rPr>
          <w:t>Amendment agreement, dated as of April 24, 2020, by and between Navios Maritime Holdings Inc. and Navios South American Logistics</w:t>
        </w:r>
      </w:hyperlink>
      <w:r>
        <w:rPr>
          <w:rFonts w:ascii="Arial" w:cs="Arial" w:eastAsia="Arial" w:hAnsi="Arial"/>
          <w:sz w:val="18"/>
          <w:szCs w:val="18"/>
          <w:u w:val="single" w:color="auto"/>
          <w:color w:val="0000EE"/>
        </w:rPr>
        <w:t xml:space="preserve"> </w:t>
      </w:r>
      <w:hyperlink r:id="rId237">
        <w:r>
          <w:rPr>
            <w:rFonts w:ascii="Arial" w:cs="Arial" w:eastAsia="Arial" w:hAnsi="Arial"/>
            <w:sz w:val="18"/>
            <w:szCs w:val="18"/>
            <w:u w:val="single" w:color="auto"/>
            <w:color w:val="0000EE"/>
          </w:rPr>
          <w:t>Inc. (Incorporated by reference to Exhibit 10.1 to the Registrant’s Form 6-K, filed on July 10, 2020).</w:t>
        </w:r>
      </w:hyperlink>
    </w:p>
    <w:p>
      <w:pPr>
        <w:spacing w:after="0" w:line="62" w:lineRule="exact"/>
        <w:rPr>
          <w:sz w:val="20"/>
          <w:szCs w:val="20"/>
          <w:color w:val="auto"/>
        </w:rPr>
      </w:pPr>
    </w:p>
    <w:p>
      <w:pPr>
        <w:ind w:left="900" w:right="420" w:hanging="737"/>
        <w:spacing w:after="0" w:line="308" w:lineRule="auto"/>
        <w:tabs>
          <w:tab w:leader="none" w:pos="880" w:val="left"/>
        </w:tabs>
        <w:rPr>
          <w:rFonts w:ascii="Arial" w:cs="Arial" w:eastAsia="Arial" w:hAnsi="Arial"/>
          <w:sz w:val="17"/>
          <w:szCs w:val="17"/>
          <w:u w:val="single" w:color="auto"/>
          <w:color w:val="0000EE"/>
        </w:rPr>
      </w:pPr>
      <w:r>
        <w:rPr>
          <w:rFonts w:ascii="Arial" w:cs="Arial" w:eastAsia="Arial" w:hAnsi="Arial"/>
          <w:sz w:val="18"/>
          <w:szCs w:val="18"/>
          <w:color w:val="auto"/>
        </w:rPr>
        <w:t>4.23</w:t>
      </w:r>
      <w:r>
        <w:rPr>
          <w:sz w:val="20"/>
          <w:szCs w:val="20"/>
          <w:color w:val="auto"/>
        </w:rPr>
        <w:tab/>
      </w:r>
      <w:hyperlink r:id="rId238">
        <w:r>
          <w:rPr>
            <w:rFonts w:ascii="Arial" w:cs="Arial" w:eastAsia="Arial" w:hAnsi="Arial"/>
            <w:sz w:val="17"/>
            <w:szCs w:val="17"/>
            <w:u w:val="single" w:color="auto"/>
            <w:color w:val="0000EE"/>
          </w:rPr>
          <w:t>Deed of Assignment and Assumption, dated as of June 24, 2020, by and among Navios Logistics, Grimaud Ventures S.A., and Anemos</w:t>
        </w:r>
      </w:hyperlink>
      <w:r>
        <w:rPr>
          <w:rFonts w:ascii="Arial" w:cs="Arial" w:eastAsia="Arial" w:hAnsi="Arial"/>
          <w:sz w:val="17"/>
          <w:szCs w:val="17"/>
          <w:u w:val="single" w:color="auto"/>
          <w:color w:val="0000EE"/>
        </w:rPr>
        <w:t xml:space="preserve"> </w:t>
      </w:r>
      <w:hyperlink r:id="rId238">
        <w:r>
          <w:rPr>
            <w:rFonts w:ascii="Arial" w:cs="Arial" w:eastAsia="Arial" w:hAnsi="Arial"/>
            <w:sz w:val="17"/>
            <w:szCs w:val="17"/>
            <w:u w:val="single" w:color="auto"/>
            <w:color w:val="0000EE"/>
          </w:rPr>
          <w:t>Maritime Holdings Inc. (Incorporated by reference to Exhibit 10.2 to the Registrant’s Form 6-K, filed on July 10, 2020).</w:t>
        </w:r>
      </w:hyperlink>
    </w:p>
    <w:p>
      <w:pPr>
        <w:spacing w:after="0" w:line="38" w:lineRule="exact"/>
        <w:rPr>
          <w:sz w:val="20"/>
          <w:szCs w:val="20"/>
          <w:color w:val="auto"/>
        </w:rPr>
      </w:pPr>
    </w:p>
    <w:p>
      <w:pPr>
        <w:ind w:left="900" w:right="60" w:hanging="737"/>
        <w:spacing w:after="0" w:line="27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4.24</w:t>
      </w:r>
      <w:r>
        <w:rPr>
          <w:sz w:val="20"/>
          <w:szCs w:val="20"/>
          <w:color w:val="auto"/>
        </w:rPr>
        <w:tab/>
      </w:r>
      <w:hyperlink r:id="rId239">
        <w:r>
          <w:rPr>
            <w:rFonts w:ascii="Arial" w:cs="Arial" w:eastAsia="Arial" w:hAnsi="Arial"/>
            <w:sz w:val="18"/>
            <w:szCs w:val="18"/>
            <w:u w:val="single" w:color="auto"/>
            <w:color w:val="0000EE"/>
          </w:rPr>
          <w:t>Amendment agreement dated as of June 25, 2020, by and between Navios Maritime Holdings Inc. and Grimaud Ventures S.A. (Incorporated</w:t>
        </w:r>
      </w:hyperlink>
      <w:r>
        <w:rPr>
          <w:rFonts w:ascii="Arial" w:cs="Arial" w:eastAsia="Arial" w:hAnsi="Arial"/>
          <w:sz w:val="18"/>
          <w:szCs w:val="18"/>
          <w:u w:val="single" w:color="auto"/>
          <w:color w:val="0000EE"/>
        </w:rPr>
        <w:t xml:space="preserve"> </w:t>
      </w:r>
      <w:hyperlink r:id="rId239">
        <w:r>
          <w:rPr>
            <w:rFonts w:ascii="Arial" w:cs="Arial" w:eastAsia="Arial" w:hAnsi="Arial"/>
            <w:sz w:val="18"/>
            <w:szCs w:val="18"/>
            <w:u w:val="single" w:color="auto"/>
            <w:color w:val="0000EE"/>
          </w:rPr>
          <w:t>by reference to Exhibit 10.3 to the Registrant’s Form 6-K, filed on July 10, 2020).</w:t>
        </w:r>
      </w:hyperlink>
    </w:p>
    <w:p>
      <w:pPr>
        <w:spacing w:after="0" w:line="62" w:lineRule="exact"/>
        <w:rPr>
          <w:sz w:val="20"/>
          <w:szCs w:val="20"/>
          <w:color w:val="auto"/>
        </w:rPr>
      </w:pPr>
    </w:p>
    <w:p>
      <w:pPr>
        <w:ind w:left="160"/>
        <w:spacing w:after="0"/>
        <w:tabs>
          <w:tab w:leader="none" w:pos="880" w:val="left"/>
        </w:tabs>
        <w:rPr>
          <w:rFonts w:ascii="Arial" w:cs="Arial" w:eastAsia="Arial" w:hAnsi="Arial"/>
          <w:sz w:val="16"/>
          <w:szCs w:val="16"/>
          <w:u w:val="single" w:color="auto"/>
          <w:color w:val="0000EE"/>
        </w:rPr>
      </w:pPr>
      <w:r>
        <w:rPr>
          <w:rFonts w:ascii="Arial" w:cs="Arial" w:eastAsia="Arial" w:hAnsi="Arial"/>
          <w:sz w:val="18"/>
          <w:szCs w:val="18"/>
          <w:color w:val="auto"/>
        </w:rPr>
        <w:t>8.1</w:t>
      </w:r>
      <w:r>
        <w:rPr>
          <w:sz w:val="20"/>
          <w:szCs w:val="20"/>
          <w:color w:val="auto"/>
        </w:rPr>
        <w:tab/>
      </w:r>
      <w:hyperlink w:anchor="page270">
        <w:r>
          <w:rPr>
            <w:rFonts w:ascii="Arial" w:cs="Arial" w:eastAsia="Arial" w:hAnsi="Arial"/>
            <w:sz w:val="16"/>
            <w:szCs w:val="16"/>
            <w:u w:val="single" w:color="auto"/>
            <w:color w:val="0000EE"/>
          </w:rPr>
          <w:t>List of subsidiaries.</w:t>
        </w:r>
      </w:hyperlink>
    </w:p>
    <w:p>
      <w:pPr>
        <w:spacing w:after="0" w:line="117" w:lineRule="exact"/>
        <w:rPr>
          <w:sz w:val="20"/>
          <w:szCs w:val="20"/>
          <w:color w:val="auto"/>
        </w:rPr>
      </w:pPr>
    </w:p>
    <w:p>
      <w:pPr>
        <w:ind w:left="120"/>
        <w:spacing w:after="0"/>
        <w:tabs>
          <w:tab w:leader="none" w:pos="880" w:val="left"/>
        </w:tabs>
        <w:rPr>
          <w:rFonts w:ascii="Arial" w:cs="Arial" w:eastAsia="Arial" w:hAnsi="Arial"/>
          <w:sz w:val="16"/>
          <w:szCs w:val="16"/>
          <w:u w:val="single" w:color="auto"/>
          <w:color w:val="0000EE"/>
        </w:rPr>
      </w:pPr>
      <w:r>
        <w:rPr>
          <w:rFonts w:ascii="Arial" w:cs="Arial" w:eastAsia="Arial" w:hAnsi="Arial"/>
          <w:sz w:val="18"/>
          <w:szCs w:val="18"/>
          <w:color w:val="auto"/>
        </w:rPr>
        <w:t>12.1</w:t>
      </w:r>
      <w:r>
        <w:rPr>
          <w:sz w:val="20"/>
          <w:szCs w:val="20"/>
          <w:color w:val="auto"/>
        </w:rPr>
        <w:tab/>
      </w:r>
      <w:hyperlink w:anchor="page273">
        <w:r>
          <w:rPr>
            <w:rFonts w:ascii="Arial" w:cs="Arial" w:eastAsia="Arial" w:hAnsi="Arial"/>
            <w:sz w:val="16"/>
            <w:szCs w:val="16"/>
            <w:u w:val="single" w:color="auto"/>
            <w:color w:val="0000EE"/>
          </w:rPr>
          <w:t>Certification of Chief Executive Officer Pursuant to Section 302 of the Sarbanes-Oxley Act.</w:t>
        </w:r>
      </w:hyperlink>
    </w:p>
    <w:p>
      <w:pPr>
        <w:spacing w:after="0" w:line="117" w:lineRule="exact"/>
        <w:rPr>
          <w:sz w:val="20"/>
          <w:szCs w:val="20"/>
          <w:color w:val="auto"/>
        </w:rPr>
      </w:pPr>
    </w:p>
    <w:p>
      <w:pPr>
        <w:ind w:left="120"/>
        <w:spacing w:after="0"/>
        <w:tabs>
          <w:tab w:leader="none" w:pos="880" w:val="left"/>
        </w:tabs>
        <w:rPr>
          <w:rFonts w:ascii="Arial" w:cs="Arial" w:eastAsia="Arial" w:hAnsi="Arial"/>
          <w:sz w:val="16"/>
          <w:szCs w:val="16"/>
          <w:u w:val="single" w:color="auto"/>
          <w:color w:val="0000EE"/>
        </w:rPr>
      </w:pPr>
      <w:r>
        <w:rPr>
          <w:rFonts w:ascii="Arial" w:cs="Arial" w:eastAsia="Arial" w:hAnsi="Arial"/>
          <w:sz w:val="18"/>
          <w:szCs w:val="18"/>
          <w:color w:val="auto"/>
        </w:rPr>
        <w:t>12.2</w:t>
      </w:r>
      <w:r>
        <w:rPr>
          <w:sz w:val="20"/>
          <w:szCs w:val="20"/>
          <w:color w:val="auto"/>
        </w:rPr>
        <w:tab/>
      </w:r>
      <w:hyperlink w:anchor="page274">
        <w:r>
          <w:rPr>
            <w:rFonts w:ascii="Arial" w:cs="Arial" w:eastAsia="Arial" w:hAnsi="Arial"/>
            <w:sz w:val="16"/>
            <w:szCs w:val="16"/>
            <w:u w:val="single" w:color="auto"/>
            <w:color w:val="0000EE"/>
          </w:rPr>
          <w:t>Certification of Chief Financial Officer Pursuant to Section 302 of the Sarbanes-Oxley Act.</w:t>
        </w:r>
      </w:hyperlink>
    </w:p>
    <w:p>
      <w:pPr>
        <w:spacing w:after="0" w:line="117" w:lineRule="exact"/>
        <w:rPr>
          <w:sz w:val="20"/>
          <w:szCs w:val="20"/>
          <w:color w:val="auto"/>
        </w:rPr>
      </w:pPr>
    </w:p>
    <w:p>
      <w:pPr>
        <w:ind w:left="120"/>
        <w:spacing w:after="0"/>
        <w:tabs>
          <w:tab w:leader="none" w:pos="880" w:val="left"/>
        </w:tabs>
        <w:rPr>
          <w:rFonts w:ascii="Arial" w:cs="Arial" w:eastAsia="Arial" w:hAnsi="Arial"/>
          <w:sz w:val="16"/>
          <w:szCs w:val="16"/>
          <w:u w:val="single" w:color="auto"/>
          <w:color w:val="0000EE"/>
        </w:rPr>
      </w:pPr>
      <w:r>
        <w:rPr>
          <w:rFonts w:ascii="Arial" w:cs="Arial" w:eastAsia="Arial" w:hAnsi="Arial"/>
          <w:sz w:val="18"/>
          <w:szCs w:val="18"/>
          <w:color w:val="auto"/>
        </w:rPr>
        <w:t>13.1</w:t>
      </w:r>
      <w:r>
        <w:rPr>
          <w:sz w:val="20"/>
          <w:szCs w:val="20"/>
          <w:color w:val="auto"/>
        </w:rPr>
        <w:tab/>
      </w:r>
      <w:hyperlink w:anchor="page275">
        <w:r>
          <w:rPr>
            <w:rFonts w:ascii="Arial" w:cs="Arial" w:eastAsia="Arial" w:hAnsi="Arial"/>
            <w:sz w:val="16"/>
            <w:szCs w:val="16"/>
            <w:u w:val="single" w:color="auto"/>
            <w:color w:val="0000EE"/>
          </w:rPr>
          <w:t>Certification of Chief Executive Officer and Chief Financial Officer Pursuant to Section 906 of the Sarbanes-Oxley Act.</w:t>
        </w:r>
      </w:hyperlink>
    </w:p>
    <w:p>
      <w:pPr>
        <w:spacing w:after="0" w:line="117" w:lineRule="exact"/>
        <w:rPr>
          <w:sz w:val="20"/>
          <w:szCs w:val="20"/>
          <w:color w:val="auto"/>
        </w:rPr>
      </w:pPr>
    </w:p>
    <w:p>
      <w:pPr>
        <w:ind w:left="120"/>
        <w:spacing w:after="0"/>
        <w:tabs>
          <w:tab w:leader="none" w:pos="880" w:val="left"/>
        </w:tabs>
        <w:rPr>
          <w:rFonts w:ascii="Arial" w:cs="Arial" w:eastAsia="Arial" w:hAnsi="Arial"/>
          <w:sz w:val="16"/>
          <w:szCs w:val="16"/>
          <w:u w:val="single" w:color="auto"/>
          <w:color w:val="0000EE"/>
        </w:rPr>
      </w:pPr>
      <w:r>
        <w:rPr>
          <w:rFonts w:ascii="Arial" w:cs="Arial" w:eastAsia="Arial" w:hAnsi="Arial"/>
          <w:sz w:val="18"/>
          <w:szCs w:val="18"/>
          <w:color w:val="auto"/>
        </w:rPr>
        <w:t>15.1</w:t>
      </w:r>
      <w:r>
        <w:rPr>
          <w:sz w:val="20"/>
          <w:szCs w:val="20"/>
          <w:color w:val="auto"/>
        </w:rPr>
        <w:tab/>
      </w:r>
      <w:hyperlink w:anchor="page276">
        <w:r>
          <w:rPr>
            <w:rFonts w:ascii="Arial" w:cs="Arial" w:eastAsia="Arial" w:hAnsi="Arial"/>
            <w:sz w:val="16"/>
            <w:szCs w:val="16"/>
            <w:u w:val="single" w:color="auto"/>
            <w:color w:val="0000EE"/>
          </w:rPr>
          <w:t>Consent of PricewaterhouseCoopers S.A.</w:t>
        </w:r>
      </w:hyperlink>
    </w:p>
    <w:p>
      <w:pPr>
        <w:spacing w:after="0" w:line="117" w:lineRule="exact"/>
        <w:rPr>
          <w:sz w:val="20"/>
          <w:szCs w:val="20"/>
          <w:color w:val="auto"/>
        </w:rPr>
      </w:pPr>
    </w:p>
    <w:p>
      <w:pPr>
        <w:ind w:left="900" w:hanging="784"/>
        <w:spacing w:after="0" w:line="275" w:lineRule="auto"/>
        <w:tabs>
          <w:tab w:leader="none" w:pos="90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The following materials from the Company’s Annual Report on Form 20-F for the fiscal year ended December 31, 2020, formatted in eXtensible Business Reporting Language (XBRL): (i) Consolidated Balance Sheets at December 31, 2020 and 2019; (ii) Consolidated Statements of Comprehensive (Loss)/Income for each of the years ended December 31, 2020, 2019 and 2018; (iii) Consolidated Statements of Cash Flows for each of the years ended December 31, 2020, 2019 and 2018; (iv) Consolidated Statements of Changes in Equity for each of the years ended December 31, 2020, 2019 and 2018; and (v) the Notes to Consolidated Financial Statements.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20"/>
          </w:cols>
          <w:pgMar w:left="320" w:top="459" w:right="4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Navios Maritime Holdings Inc. hereby certifies that it meets all of the requirements for filing its Annual Report on Form 20-F and that it has duly caused and authorized the undersigned to sign this Annual Report on its behalf.</w:t>
      </w:r>
    </w:p>
    <w:p>
      <w:pPr>
        <w:spacing w:after="0" w:line="19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Navios Maritime Holdings Inc.</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 /s/ Angeliki Frangou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14605</wp:posOffset>
            </wp:positionV>
            <wp:extent cx="259715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4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Name: Angeliki Frangou</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Title:  Chairman and Chief Executive Officer</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 April 29, 2021</w:t>
      </w:r>
    </w:p>
    <w:p>
      <w:pPr>
        <w:sectPr>
          <w:pgSz w:w="11900" w:h="16838" w:orient="portrait"/>
          <w:cols w:equalWidth="0" w:num="1">
            <w:col w:w="11040"/>
          </w:cols>
          <w:pgMar w:left="320" w:top="459" w:right="5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INDEX TO CONSOLIDATED FINANCIAL STATEMENTS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560" w:type="dxa"/>
            <w:vAlign w:val="bottom"/>
            <w:gridSpan w:val="11"/>
            <w:vMerge w:val="restart"/>
          </w:tcPr>
          <w:p>
            <w:pPr>
              <w:spacing w:after="0"/>
              <w:rPr>
                <w:sz w:val="20"/>
                <w:szCs w:val="20"/>
                <w:color w:val="auto"/>
              </w:rPr>
            </w:pPr>
            <w:r>
              <w:rPr>
                <w:rFonts w:ascii="Arial" w:cs="Arial" w:eastAsia="Arial" w:hAnsi="Arial"/>
                <w:sz w:val="18"/>
                <w:szCs w:val="18"/>
                <w:b w:val="1"/>
                <w:bCs w:val="1"/>
                <w:color w:val="auto"/>
              </w:rPr>
              <w:t>NAVIOS MARITIME HOLDINGS INC.</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96"/>
        </w:trPr>
        <w:tc>
          <w:tcPr>
            <w:tcW w:w="10560" w:type="dxa"/>
            <w:vAlign w:val="bottom"/>
            <w:gridSpan w:val="11"/>
            <w:vMerge w:val="continue"/>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360" w:type="dxa"/>
            <w:vAlign w:val="bottom"/>
          </w:tcPr>
          <w:p>
            <w:pPr>
              <w:spacing w:after="0"/>
              <w:rPr>
                <w:sz w:val="24"/>
                <w:szCs w:val="24"/>
                <w:color w:val="auto"/>
              </w:rPr>
            </w:pPr>
          </w:p>
        </w:tc>
        <w:tc>
          <w:tcPr>
            <w:tcW w:w="5800" w:type="dxa"/>
            <w:vAlign w:val="bottom"/>
            <w:tcBorders>
              <w:bottom w:val="single" w:sz="8" w:color="0000EE"/>
            </w:tcBorders>
            <w:gridSpan w:val="6"/>
          </w:tcPr>
          <w:p>
            <w:pPr>
              <w:spacing w:after="0"/>
              <w:rPr>
                <w:rFonts w:ascii="Arial" w:cs="Arial" w:eastAsia="Arial" w:hAnsi="Arial"/>
                <w:sz w:val="18"/>
                <w:szCs w:val="18"/>
                <w:color w:val="0000EE"/>
                <w:w w:val="95"/>
              </w:rPr>
            </w:pPr>
            <w:hyperlink w:anchor="page165">
              <w:r>
                <w:rPr>
                  <w:rFonts w:ascii="Arial" w:cs="Arial" w:eastAsia="Arial" w:hAnsi="Arial"/>
                  <w:sz w:val="18"/>
                  <w:szCs w:val="18"/>
                  <w:color w:val="0000EE"/>
                  <w:w w:val="95"/>
                </w:rPr>
                <w:t>REPORT OF INDEPENDENT REGISTERED PUBLIC ACCOUNTING FIRM</w:t>
              </w:r>
            </w:hyperlink>
          </w:p>
        </w:tc>
        <w:tc>
          <w:tcPr>
            <w:tcW w:w="4400" w:type="dxa"/>
            <w:vAlign w:val="bottom"/>
            <w:gridSpan w:val="4"/>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200" w:type="dxa"/>
            <w:vAlign w:val="bottom"/>
            <w:gridSpan w:val="10"/>
          </w:tcPr>
          <w:p>
            <w:pPr>
              <w:spacing w:after="0" w:line="196" w:lineRule="exact"/>
              <w:rPr>
                <w:rFonts w:ascii="Arial" w:cs="Arial" w:eastAsia="Arial" w:hAnsi="Arial"/>
                <w:sz w:val="18"/>
                <w:szCs w:val="18"/>
                <w:color w:val="0000EE"/>
              </w:rPr>
            </w:pPr>
            <w:hyperlink w:anchor="page170">
              <w:r>
                <w:rPr>
                  <w:rFonts w:ascii="Arial" w:cs="Arial" w:eastAsia="Arial" w:hAnsi="Arial"/>
                  <w:sz w:val="18"/>
                  <w:szCs w:val="18"/>
                  <w:color w:val="0000EE"/>
                </w:rPr>
                <w:t>CONSOLIDATED BALANCE SHEETS AT DECEMBER 31, 2020 AND 2019</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0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200" w:type="dxa"/>
            <w:vAlign w:val="bottom"/>
            <w:gridSpan w:val="10"/>
          </w:tcPr>
          <w:p>
            <w:pPr>
              <w:spacing w:after="0" w:line="196" w:lineRule="exact"/>
              <w:rPr>
                <w:rFonts w:ascii="Arial" w:cs="Arial" w:eastAsia="Arial" w:hAnsi="Arial"/>
                <w:sz w:val="18"/>
                <w:szCs w:val="18"/>
                <w:color w:val="0000EE"/>
                <w:w w:val="97"/>
              </w:rPr>
            </w:pPr>
            <w:hyperlink w:anchor="page171">
              <w:r>
                <w:rPr>
                  <w:rFonts w:ascii="Arial" w:cs="Arial" w:eastAsia="Arial" w:hAnsi="Arial"/>
                  <w:sz w:val="18"/>
                  <w:szCs w:val="18"/>
                  <w:color w:val="0000EE"/>
                  <w:w w:val="97"/>
                </w:rPr>
                <w:t>CONSOLIDATED STATEMENTS OF COMPREHENSIVE (LOSS)/INCOME FOR EACH OF THE YEARS ENDED DECEMBER 31,</w:t>
              </w:r>
            </w:hyperlink>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974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171">
              <w:r>
                <w:rPr>
                  <w:rFonts w:ascii="Arial" w:cs="Arial" w:eastAsia="Arial" w:hAnsi="Arial"/>
                  <w:sz w:val="18"/>
                  <w:szCs w:val="18"/>
                  <w:color w:val="0000EE"/>
                </w:rPr>
                <w:t>2020, 2019 AND 2018</w:t>
              </w:r>
            </w:hyperlink>
          </w:p>
        </w:tc>
        <w:tc>
          <w:tcPr>
            <w:tcW w:w="28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48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880" w:type="dxa"/>
            <w:vAlign w:val="bottom"/>
            <w:tcBorders>
              <w:bottom w:val="single" w:sz="8" w:color="0000EE"/>
            </w:tcBorders>
            <w:gridSpan w:val="8"/>
          </w:tcPr>
          <w:p>
            <w:pPr>
              <w:spacing w:after="0" w:line="196" w:lineRule="exact"/>
              <w:rPr>
                <w:rFonts w:ascii="Arial" w:cs="Arial" w:eastAsia="Arial" w:hAnsi="Arial"/>
                <w:sz w:val="18"/>
                <w:szCs w:val="18"/>
                <w:color w:val="0000EE"/>
                <w:w w:val="94"/>
              </w:rPr>
            </w:pPr>
            <w:hyperlink w:anchor="page172">
              <w:r>
                <w:rPr>
                  <w:rFonts w:ascii="Arial" w:cs="Arial" w:eastAsia="Arial" w:hAnsi="Arial"/>
                  <w:sz w:val="18"/>
                  <w:szCs w:val="18"/>
                  <w:color w:val="0000EE"/>
                  <w:w w:val="94"/>
                </w:rPr>
                <w:t>CONSOLIDATED STATEMENTS OF CASH FLOWS FOR EACH OF THE YEARS ENDED DECEMBER 31, 2020, 2019 AND 2018</w:t>
              </w:r>
            </w:hyperlink>
          </w:p>
        </w:tc>
        <w:tc>
          <w:tcPr>
            <w:tcW w:w="320" w:type="dxa"/>
            <w:vAlign w:val="bottom"/>
            <w:gridSpan w:val="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F-9</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200" w:type="dxa"/>
            <w:vAlign w:val="bottom"/>
            <w:gridSpan w:val="10"/>
          </w:tcPr>
          <w:p>
            <w:pPr>
              <w:spacing w:after="0" w:line="196" w:lineRule="exact"/>
              <w:rPr>
                <w:rFonts w:ascii="Arial" w:cs="Arial" w:eastAsia="Arial" w:hAnsi="Arial"/>
                <w:sz w:val="18"/>
                <w:szCs w:val="18"/>
                <w:color w:val="0000EE"/>
                <w:w w:val="99"/>
              </w:rPr>
            </w:pPr>
            <w:hyperlink w:anchor="page174">
              <w:r>
                <w:rPr>
                  <w:rFonts w:ascii="Arial" w:cs="Arial" w:eastAsia="Arial" w:hAnsi="Arial"/>
                  <w:sz w:val="18"/>
                  <w:szCs w:val="18"/>
                  <w:color w:val="0000EE"/>
                  <w:w w:val="99"/>
                </w:rPr>
                <w:t>CONSOLIDATED STATEMENTS OF CHANGES IN EQUITY FOR EACH OF THE YEARS ENDED DECEMBER 31, 2020, 2019</w:t>
              </w:r>
            </w:hyperlink>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3"/>
              </w:rPr>
            </w:pPr>
            <w:hyperlink w:anchor="page174">
              <w:r>
                <w:rPr>
                  <w:rFonts w:ascii="Arial" w:cs="Arial" w:eastAsia="Arial" w:hAnsi="Arial"/>
                  <w:sz w:val="18"/>
                  <w:szCs w:val="18"/>
                  <w:color w:val="0000EE"/>
                  <w:w w:val="93"/>
                </w:rPr>
                <w:t>AND 2018</w:t>
              </w:r>
            </w:hyperlink>
          </w:p>
        </w:tc>
        <w:tc>
          <w:tcPr>
            <w:tcW w:w="8720" w:type="dxa"/>
            <w:vAlign w:val="bottom"/>
            <w:tcBorders>
              <w:top w:val="single" w:sz="8" w:color="0000EE"/>
            </w:tcBorders>
            <w:gridSpan w:val="5"/>
          </w:tcPr>
          <w:p>
            <w:pPr>
              <w:spacing w:after="0"/>
              <w:rPr>
                <w:sz w:val="17"/>
                <w:szCs w:val="17"/>
                <w:color w:val="auto"/>
              </w:rPr>
            </w:pPr>
          </w:p>
        </w:tc>
        <w:tc>
          <w:tcPr>
            <w:tcW w:w="500" w:type="dxa"/>
            <w:vAlign w:val="bottom"/>
            <w:gridSpan w:val="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F-11</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200" w:type="dxa"/>
            <w:vAlign w:val="bottom"/>
            <w:gridSpan w:val="10"/>
          </w:tcPr>
          <w:p>
            <w:pPr>
              <w:spacing w:after="0" w:line="196" w:lineRule="exact"/>
              <w:rPr>
                <w:rFonts w:ascii="Arial" w:cs="Arial" w:eastAsia="Arial" w:hAnsi="Arial"/>
                <w:sz w:val="18"/>
                <w:szCs w:val="18"/>
                <w:color w:val="0000EE"/>
              </w:rPr>
            </w:pPr>
            <w:hyperlink w:anchor="page175">
              <w:r>
                <w:rPr>
                  <w:rFonts w:ascii="Arial" w:cs="Arial" w:eastAsia="Arial" w:hAnsi="Arial"/>
                  <w:sz w:val="18"/>
                  <w:szCs w:val="18"/>
                  <w:color w:val="0000EE"/>
                </w:rPr>
                <w:t>NOTES TO THE CONSOLIDATED FINANCIAL STATEMENTS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F-12</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04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80"/>
          </w:cols>
          <w:pgMar w:left="320" w:top="459" w:right="49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Board of Directors and Stockholders of Navios Maritime Holdings Inc.</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17" w:lineRule="exact"/>
        <w:rPr>
          <w:sz w:val="20"/>
          <w:szCs w:val="20"/>
          <w:color w:val="auto"/>
        </w:rPr>
      </w:pPr>
    </w:p>
    <w:p>
      <w:pPr>
        <w:ind w:left="120" w:right="140"/>
        <w:spacing w:after="0" w:line="296" w:lineRule="auto"/>
        <w:rPr>
          <w:sz w:val="20"/>
          <w:szCs w:val="20"/>
          <w:color w:val="auto"/>
        </w:rPr>
      </w:pPr>
      <w:r>
        <w:rPr>
          <w:rFonts w:ascii="Arial" w:cs="Arial" w:eastAsia="Arial" w:hAnsi="Arial"/>
          <w:sz w:val="16"/>
          <w:szCs w:val="16"/>
          <w:color w:val="auto"/>
        </w:rPr>
        <w:t xml:space="preserve">We have audited the accompanying consolidated balance sheets of Navios Maritime Holdings Inc. and its subsidiaries (the “Company”) as of December 31, 2020 and 2019, and the related consolidated statements of comprehensive (loss)/income, of changes in equity and of cash flows for each of the three years in the period ended December 31, 2020, including the related notes (collectively referred to as the “consolidated financial statements”). We also have audited the Company’s internal control over financial reporting as of December 31, 2020, based on criteria established in </w:t>
      </w:r>
      <w:r>
        <w:rPr>
          <w:rFonts w:ascii="Arial" w:cs="Arial" w:eastAsia="Arial" w:hAnsi="Arial"/>
          <w:sz w:val="16"/>
          <w:szCs w:val="16"/>
          <w:i w:val="1"/>
          <w:iCs w:val="1"/>
          <w:color w:val="auto"/>
        </w:rPr>
        <w:t xml:space="preserve">Internal Control—Integrated Framework </w:t>
      </w:r>
      <w:r>
        <w:rPr>
          <w:rFonts w:ascii="Arial" w:cs="Arial" w:eastAsia="Arial" w:hAnsi="Arial"/>
          <w:sz w:val="16"/>
          <w:szCs w:val="16"/>
          <w:color w:val="auto"/>
        </w:rPr>
        <w:t>(2013) issued by the Committee of Sponsoring Organizations of the Treadway Commission (COSO).</w:t>
      </w:r>
    </w:p>
    <w:p>
      <w:pPr>
        <w:spacing w:after="0" w:line="161"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 Also in our opinion, the Company maintained, in all material respects, effective internal control over financial reporting as of December 31, 2020, based on criteria established in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(2013) issued by the COSO.</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Substantial Doubt about the Company’s Ability to Continue as a Going Concern</w:t>
      </w:r>
    </w:p>
    <w:p>
      <w:pPr>
        <w:spacing w:after="0" w:line="117" w:lineRule="exact"/>
        <w:rPr>
          <w:sz w:val="20"/>
          <w:szCs w:val="20"/>
          <w:color w:val="auto"/>
        </w:rPr>
      </w:pPr>
    </w:p>
    <w:p>
      <w:pPr>
        <w:ind w:left="120" w:right="120"/>
        <w:spacing w:after="0" w:line="275" w:lineRule="auto"/>
        <w:rPr>
          <w:sz w:val="20"/>
          <w:szCs w:val="20"/>
          <w:color w:val="auto"/>
        </w:rPr>
      </w:pPr>
      <w:r>
        <w:rPr>
          <w:rFonts w:ascii="Arial" w:cs="Arial" w:eastAsia="Arial" w:hAnsi="Arial"/>
          <w:sz w:val="17"/>
          <w:szCs w:val="17"/>
          <w:color w:val="auto"/>
        </w:rPr>
        <w:t>The accompanying consolidated financial statements have been prepared assuming that the Company will continue as a going concern. As discussed in Note 2 to the consolidated financial statements, the Company has negative working capital and significant amounts of outstanding debt maturing in September 2021 and January 2022 that raise substantial doubt about its ability to continue as a going concern. Management’s plans in regard to these matters are also described in Note 2. The consolidated financial statements do not include any adjustments that might result from the outcome of this uncertainty. This matter is also described in the “Critical Audit Matters” section of our report.</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 in Accounting Principle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 discussed in Note 2 to the consolidated financial statements, the Company changed the manner in which it accounts for leases in 2019.</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17" w:lineRule="exact"/>
        <w:rPr>
          <w:sz w:val="20"/>
          <w:szCs w:val="20"/>
          <w:color w:val="auto"/>
        </w:rPr>
      </w:pPr>
    </w:p>
    <w:p>
      <w:pPr>
        <w:ind w:left="120" w:right="100"/>
        <w:spacing w:after="0" w:line="293" w:lineRule="auto"/>
        <w:rPr>
          <w:sz w:val="20"/>
          <w:szCs w:val="20"/>
          <w:color w:val="auto"/>
        </w:rPr>
      </w:pPr>
      <w:r>
        <w:rPr>
          <w:rFonts w:ascii="Arial" w:cs="Arial" w:eastAsia="Arial" w:hAnsi="Arial"/>
          <w:sz w:val="16"/>
          <w:szCs w:val="16"/>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15B.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4"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4"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20"/>
          </w:cols>
          <w:pgMar w:left="320" w:top="459" w:right="4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17" w:lineRule="exact"/>
        <w:rPr>
          <w:sz w:val="20"/>
          <w:szCs w:val="20"/>
          <w:color w:val="auto"/>
        </w:rPr>
      </w:pPr>
    </w:p>
    <w:p>
      <w:pPr>
        <w:ind w:left="120" w:right="100"/>
        <w:spacing w:after="0" w:line="271"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78"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17" w:lineRule="exact"/>
        <w:rPr>
          <w:sz w:val="20"/>
          <w:szCs w:val="20"/>
          <w:color w:val="auto"/>
        </w:rPr>
      </w:pPr>
    </w:p>
    <w:p>
      <w:pPr>
        <w:ind w:left="120" w:right="120"/>
        <w:spacing w:after="0" w:line="296" w:lineRule="auto"/>
        <w:rPr>
          <w:sz w:val="20"/>
          <w:szCs w:val="20"/>
          <w:color w:val="auto"/>
        </w:rPr>
      </w:pPr>
      <w:r>
        <w:rPr>
          <w:rFonts w:ascii="Arial" w:cs="Arial" w:eastAsia="Arial" w:hAnsi="Arial"/>
          <w:sz w:val="16"/>
          <w:szCs w:val="16"/>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Going concern assessment</w:t>
      </w:r>
    </w:p>
    <w:p>
      <w:pPr>
        <w:spacing w:after="0" w:line="117"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As described above and in Note 2 to the consolidated financial statements, the Company prepared its consolidated financial statements on a going concern basis. The Company has negative working capital primarily related to the classification as current of the Company’s $305.0 million of 11.25% Senior Secured Notes (the “2022 Senior Secured Notes”) and balloon payments. Under the terms of the 2022 Senior Secured Notes, the Company has an obligation to make a springing maturity offer in September 2021 to repurchase those notes at par unless certain conditions relating to the refinancing of the Company’s 7.375% First Priority Ship Mortgage Notes (the “2022 Notes”) are met. In October 2020, the Company entered into a supplemental indenture which, among other things, eliminates the Company’s obligation to make a springing maturity offer subject to the occurrence of a Qualified IPO (as defined in the supplemental indenture) of Navios South American Logistics Inc. (“Navios Logistics”). Furthermore, the Company had</w:t>
      </w:r>
    </w:p>
    <w:p>
      <w:pPr>
        <w:spacing w:after="0" w:line="2"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$476.8 million of 2022 Notes outstanding as of December 31, 2020 maturing in January 2022. Although the Company is currently attempting to address these upcoming maturities and create additional liquidity to fund working capital requirements through a Qualified IPO of Navios Logistics, the sale of assets and refinancing plans, there can be no assurance it will be successful in such attempts or that any such attempts will be consummated on terms satisfactory to the Company, or at all. Therefore, there is substantial doubt about the Company’s ability to continue as a going concern for the 12 month period from the date of issuance of the consolidated financial statements. In the meantime, the Company’s internal forecasts and projections indicate that the Company will generate sufficient cash to make the required principal and interest payments on its borrowings (excluding the above upcoming maturities) and provide for the normal working capital requirements of the business for a period of at least 12 months from the date of issuance of these consolidated financial statements.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principal considerations for our determination that performing procedures relating to the going concern assessment is a critical audit matter are</w:t>
      </w:r>
    </w:p>
    <w:p>
      <w:pPr>
        <w:spacing w:after="0" w:line="46" w:lineRule="exact"/>
        <w:rPr>
          <w:sz w:val="20"/>
          <w:szCs w:val="20"/>
          <w:color w:val="auto"/>
        </w:rPr>
      </w:pPr>
    </w:p>
    <w:p>
      <w:pPr>
        <w:ind w:left="120" w:right="120" w:hanging="4"/>
        <w:spacing w:after="0" w:line="253" w:lineRule="auto"/>
        <w:tabs>
          <w:tab w:leader="none" w:pos="33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significant judgment by management to estimate the outcome of the occurrence of a Qualified IPO of Navios Logistics and the internal forecasts and projections used in the Company’s going concern analysis; and (ii) a high degree of auditor judgment, subjectivity and audit effort in performing procedures and evaluating management’s significant assumptions related to the outcome of the occurrence of a Qualified IPO of Navios Logistics and the internal forecasts and projections.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20"/>
          </w:cols>
          <w:pgMar w:left="320" w:top="459" w:right="4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84"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going concern assessment. These procedures also included, among others, (i) evaluating the appropriateness of the significant assumptions that impact cash flows in management’s going concern assessment which include assumptions relating to the occurrence of a Qualified IPO of Navios Logistics and the internal forecasts and projections; (ii) testing the completeness, accuracy and relevance of underlying data used in the analysis; and (iii) assessing the adequacy of the Company’s going concern disclosures included in Note 2 to the consolidated financial statements. Evaluating management’s assumptions relating to the occurrence of a Qualified IPO of Navios Logistics involved evaluating whether the assumptions used by management were reasonable considering</w:t>
      </w:r>
    </w:p>
    <w:p>
      <w:pPr>
        <w:spacing w:after="0" w:line="2" w:lineRule="exact"/>
        <w:rPr>
          <w:sz w:val="20"/>
          <w:szCs w:val="20"/>
          <w:color w:val="auto"/>
        </w:rPr>
      </w:pPr>
    </w:p>
    <w:p>
      <w:pPr>
        <w:ind w:left="120" w:right="80" w:hanging="4"/>
        <w:spacing w:after="0" w:line="295" w:lineRule="auto"/>
        <w:tabs>
          <w:tab w:leader="none" w:pos="335" w:val="left"/>
        </w:tabs>
        <w:numPr>
          <w:ilvl w:val="0"/>
          <w:numId w:val="112"/>
        </w:numPr>
        <w:rPr>
          <w:rFonts w:ascii="Arial" w:cs="Arial" w:eastAsia="Arial" w:hAnsi="Arial"/>
          <w:sz w:val="16"/>
          <w:szCs w:val="16"/>
          <w:color w:val="auto"/>
        </w:rPr>
      </w:pPr>
      <w:r>
        <w:rPr>
          <w:rFonts w:ascii="Arial" w:cs="Arial" w:eastAsia="Arial" w:hAnsi="Arial"/>
          <w:sz w:val="16"/>
          <w:szCs w:val="16"/>
          <w:color w:val="auto"/>
        </w:rPr>
        <w:t>inspection of the relevant documents in relation with a Qualified IPO of Navios Logistics; and (ii) whether the assumptions were consistent with evidence obtained in other areas of the audit. Evaluating management’s assumptions related to the internal forecasts and projections involved evaluating whether the assumptions used by management were reasonable considering (i) current and past performance of the Company; (ii) the consistency with external market and industry data; and (iii) whether the assumptions were consistent with evidence obtained in other areas of the audit.</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Impairment assessment of long lived assets—Dry bulk vessel operations</w:t>
      </w:r>
    </w:p>
    <w:p>
      <w:pPr>
        <w:spacing w:after="0" w:line="117" w:lineRule="exact"/>
        <w:rPr>
          <w:sz w:val="20"/>
          <w:szCs w:val="20"/>
          <w:color w:val="auto"/>
        </w:rPr>
      </w:pPr>
    </w:p>
    <w:p>
      <w:pPr>
        <w:ind w:left="120"/>
        <w:spacing w:after="0" w:line="283" w:lineRule="auto"/>
        <w:rPr>
          <w:sz w:val="20"/>
          <w:szCs w:val="20"/>
          <w:color w:val="auto"/>
        </w:rPr>
      </w:pPr>
      <w:r>
        <w:rPr>
          <w:rFonts w:ascii="Arial" w:cs="Arial" w:eastAsia="Arial" w:hAnsi="Arial"/>
          <w:sz w:val="16"/>
          <w:szCs w:val="16"/>
          <w:color w:val="auto"/>
        </w:rPr>
        <w:t>As disclosed in Notes 2 and 7 to the consolidated financial statements, the carrying value of the Company’s dry bulk vessel operations was approximately $627.6 million, net of current year impairment loss of $84.5 million as of December 31, 2020. Management reviews periodically for potential impairment whenever events or changes in circumstances indicate that the carrying amount of a particular asset may not be fully recoverable. If any such indication exists, management determines the undiscounted projected net operating cash flows for each vessel and compares it to the vessel’s carrying value together with the carrying value of deferred drydock and special survey costs, ballast water treatment system costs and other capitalized items, if any related to the vessel (step one impairment test). The significant factors and assumptions used in the undiscounted projected net operating cash flow analysis includes determining the projected net operating cash flows by considering the charter revenues from existing time charters for the fixed fleet days (the remaining charter agreement rates) and an estimated daily time charter equivalent for the unfixed days (based on a combination of one-year average historical time charter rates and 10-year average historical one-year time charter rates) over the remaining economic life of each vessel, net of brokerage and address commissions excluding days of scheduled off-hires, management fees for vessel operating expenses fixed until</w:t>
      </w:r>
    </w:p>
    <w:p>
      <w:pPr>
        <w:spacing w:after="0" w:line="5" w:lineRule="exact"/>
        <w:rPr>
          <w:sz w:val="20"/>
          <w:szCs w:val="20"/>
          <w:color w:val="auto"/>
        </w:rPr>
      </w:pPr>
    </w:p>
    <w:p>
      <w:pPr>
        <w:ind w:left="120" w:right="20"/>
        <w:spacing w:after="0" w:line="251" w:lineRule="auto"/>
        <w:rPr>
          <w:sz w:val="20"/>
          <w:szCs w:val="20"/>
          <w:color w:val="auto"/>
        </w:rPr>
      </w:pPr>
      <w:r>
        <w:rPr>
          <w:rFonts w:ascii="Arial" w:cs="Arial" w:eastAsia="Arial" w:hAnsi="Arial"/>
          <w:sz w:val="18"/>
          <w:szCs w:val="18"/>
          <w:color w:val="auto"/>
        </w:rPr>
        <w:t>2021 and thereafter assuming an annual increase of 3.0% every second year and a utilization rate of 99.3% based on the fleet’s historical performance. Where the undiscounted projected net operating cash flows do not exceed the carrying value of an asset group, management proceeds to perform step two of the impairment assessment. Measurement of an impairment loss in step two is determined as the difference between the carrying value and the fair value. Management’s assessment concluded that the step two of the impairment analysis was required for two dry bulk vessels held and used, as the undiscounted projected net operating cash flows did not exceed the carrying value. In step two of the impairment assessment, management determines the fair value of its vessels through a combination of a discounted cash flow analysis utilizing market participant assumptions from available market data and third-party valuations performed on an individual vessel basis. The significant factors and assumptions used by management in determining fair value of vessels includes those in developing the projected net operating cash flows over the remaining economic life of each vessel and the discount rate.</w:t>
      </w:r>
    </w:p>
    <w:p>
      <w:pPr>
        <w:spacing w:after="0" w:line="197" w:lineRule="exact"/>
        <w:rPr>
          <w:sz w:val="20"/>
          <w:szCs w:val="20"/>
          <w:color w:val="auto"/>
        </w:rPr>
      </w:pPr>
    </w:p>
    <w:p>
      <w:pPr>
        <w:ind w:left="120" w:right="220"/>
        <w:spacing w:after="0" w:line="275" w:lineRule="auto"/>
        <w:rPr>
          <w:sz w:val="20"/>
          <w:szCs w:val="20"/>
          <w:color w:val="auto"/>
        </w:rPr>
      </w:pPr>
      <w:r>
        <w:rPr>
          <w:rFonts w:ascii="Arial" w:cs="Arial" w:eastAsia="Arial" w:hAnsi="Arial"/>
          <w:sz w:val="17"/>
          <w:szCs w:val="17"/>
          <w:color w:val="auto"/>
        </w:rPr>
        <w:t>The principal considerations for our determination that performing procedures relating to the impairment assessment of long lived assets—dry bulk vessel operations is a critical audit matter are (i) the significant judgment by management to determine the projected net operating cash flows over the remaining economic life of each vessel and the discount rate; (ii) a high degree of auditor judgment, subjectivity and audit effort in performing procedures and evaluating management’s significant assumptions related to the estimated daily time charter equivalent for the unfixed days and the discount rate; and (iii) the audit effort involved the use of professionals with specialized skill and knowledge.</w:t>
      </w:r>
    </w:p>
    <w:p>
      <w:pPr>
        <w:spacing w:after="0" w:line="176" w:lineRule="exact"/>
        <w:rPr>
          <w:sz w:val="20"/>
          <w:szCs w:val="20"/>
          <w:color w:val="auto"/>
        </w:rPr>
      </w:pPr>
    </w:p>
    <w:p>
      <w:pPr>
        <w:ind w:left="120" w:right="60"/>
        <w:spacing w:after="0" w:line="284"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vessel impairment assessment. These procedures also included, among others, (i) evaluating the appropriateness of the use of discounted cash flow analysis and third-party valuations utilized by management; (ii) testing management’s process for estimating the undiscounted value of the Company’s vessels; (iii) testing management’s process for determining the fair value of the vessels; (iv) testing the completeness, accuracy and relevance of underlying data used in the analysis; and (v) evaluating the significant assumptions used by management related to the estimated daily time charter equivalent for the unfixed days and the discount rate. Evaluating management’s assumption related to the estimated daily time charter equivalent for the unfixed days involved evaluating whether the assumptions used by management were reasonable considering (i) the historical average time charter rates of the vessels; and</w:t>
      </w:r>
    </w:p>
    <w:p>
      <w:pPr>
        <w:spacing w:after="0" w:line="1" w:lineRule="exact"/>
        <w:rPr>
          <w:sz w:val="20"/>
          <w:szCs w:val="20"/>
          <w:color w:val="auto"/>
        </w:rPr>
      </w:pPr>
    </w:p>
    <w:p>
      <w:pPr>
        <w:ind w:left="120" w:right="220" w:hanging="4"/>
        <w:spacing w:after="0" w:line="277" w:lineRule="auto"/>
        <w:tabs>
          <w:tab w:leader="none" w:pos="385" w:val="left"/>
        </w:tabs>
        <w:numPr>
          <w:ilvl w:val="0"/>
          <w:numId w:val="113"/>
        </w:numPr>
        <w:rPr>
          <w:rFonts w:ascii="Arial" w:cs="Arial" w:eastAsia="Arial" w:hAnsi="Arial"/>
          <w:sz w:val="17"/>
          <w:szCs w:val="17"/>
          <w:color w:val="auto"/>
        </w:rPr>
      </w:pPr>
      <w:r>
        <w:rPr>
          <w:rFonts w:ascii="Arial" w:cs="Arial" w:eastAsia="Arial" w:hAnsi="Arial"/>
          <w:sz w:val="17"/>
          <w:szCs w:val="17"/>
          <w:color w:val="auto"/>
        </w:rPr>
        <w:t>whether the assumption was consistent with evidence obtained in other areas of the audit. Professionals with specialized skill and knowledge were used to assist in evaluating the appropriateness of management’s cash flow models, evaluating the reasonableness of the estimated daily time charter equivalent for the unfixed days used in the model and developing an independent estimate of the discount rate.</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9" w:right="4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Impairment assessment of operating lease assets in the dry bulk vessel operations</w:t>
      </w:r>
    </w:p>
    <w:p>
      <w:pPr>
        <w:spacing w:after="0" w:line="117"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As disclosed in Notes 2 and 15 to the consolidated financial statements, the carrying value of the Company’s operating lease assets in the dry bulk vessel operations was approximately $219.6 million as of December 31, 2020, net of current year impairment loss of $1.4 million. The Company’s operating lease assets are reviewed periodically for potential impairment whenever events or changes in circumstances indicate that the carrying amount may not be fully recoverable. Management determines the undiscounted projected net operating cash flows for each asset group and compares it to the carrying value of the operating lease asset and the carrying value of deposits for the option to acquire a vessel including expenses and interest (asset group). The significant factors and assumptions used in the undiscounted projected net operating cash flow analysis includes determining the projected net operating cash flows by considering the charter revenues from existing time charters for the fixed fleet days (the remaining charter agreement rates) and an estimated daily time charter equivalent for the unfixed days (based on three-year average historical time charter rates) over the remaining lease term, net of brokerage and address commissions excluding days of scheduled off-hires (for the bareboat chartered-in vessels), management fees for vessel operating expenses in accordance with the terms of management agreement (assuming an annual increase of 3.0% every second year for the bareboat chartered-in vessels). Where the undiscounted projected net operating cash flows for each asset group do not exceed the carrying value of the operating lease asset and the carrying value of deposits for the option to acquire a vessel including expenses and interest, management proceeds to perform step two of the impairment assessment. Management’s assessment concluded that step two of the impairment analysis was required for two asset groups, which involves a discounted cash flow analysis using various assumptions including the Company’s weighted average cost of capital (“WACC”). The WACC is based on externally observable data considering market participants’ and the Company’s cost of equity and debt, optimal capital structure and risk factors specific to the Company. Management recorded an impairment loss as the difference between the fair value of the operating lease asset and its carrying value.</w:t>
      </w:r>
    </w:p>
    <w:p>
      <w:pPr>
        <w:spacing w:after="0" w:line="392"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The principal considerations for our determination that performing procedures relating to the impairment assessment of operating lease assets in the dry bulk vessel operations is a critical audit matter are (i) the significant judgment by management when developing the undiscounted cash flows and determining the fair value of each asset group; (ii) a high degree of auditor judgment, subjectivity and audit effort in performing procedures and evaluating management’s significant assumptions related to the estimated daily time charter equivalent for the unfixed days and the WACC; and (iii) the audit effort involved the use of professionals with specialized skill and knowledge.</w:t>
      </w:r>
    </w:p>
    <w:p>
      <w:pPr>
        <w:spacing w:after="0" w:line="176"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impairment assessment of operating lease assets in the dry bulk vessel operations. These procedures also included, among others, (i) evaluating the appropriateness of the discounted cash flow analysis utilized by management; (ii) testing management’s process for estimating the undiscounted value of the charter-in vessels;</w:t>
      </w:r>
    </w:p>
    <w:p>
      <w:pPr>
        <w:spacing w:after="0" w:line="1" w:lineRule="exact"/>
        <w:rPr>
          <w:sz w:val="20"/>
          <w:szCs w:val="20"/>
          <w:color w:val="auto"/>
        </w:rPr>
      </w:pPr>
    </w:p>
    <w:p>
      <w:pPr>
        <w:ind w:left="120" w:right="60" w:hanging="4"/>
        <w:spacing w:after="0" w:line="288" w:lineRule="auto"/>
        <w:tabs>
          <w:tab w:leader="none" w:pos="435"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testing management’s process for determining the fair value of the charter-in vessels; (iv) testing the completeness, accuracy and relevance of underlying data used in the impairment analyses; and (v) evaluating the significant assumptions used by management related to the estimated daily time charter equivalent for the unfixed days and the WACC. Evaluating management’s assumption related to the estimated daily time charter equivalent for the unfixed days involved evaluating whether the assumptions used by management were reasonable considering (i) the historical average time charter rates of the charter-in vessels; and (ii) whether the assumption was consistent with evidence obtained in other areas of the audit. Professionals with specialized skill and knowledge were used to assist in evaluating the appropriateness of management’s cash flow models, evaluating the reasonableness of the estimated daily time charter equivalent for the unfixed days used in the analysis and developing an independent estimate of the WACC.</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Goodwill impairment assessment in the dry bulk vessel operations</w:t>
      </w:r>
    </w:p>
    <w:p>
      <w:pPr>
        <w:spacing w:after="0" w:line="117"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As disclosed in Notes 2 and 19 to the consolidated financial statements, the carrying amount of the Company’s goodwill is approximately $160.3 million as of December 31, 2020 which includes $56.2 million allocated to the dry bulk vessel operations and $104.1 million allocated to the logistics business. Goodwill is tested for impairment at the reporting unit level at least annually. Management compares the aggregate fair value of the reporting unit to its carrying amount, including goodwill. Goodwill impairment loss is measured as the amount by which a reporting unit’s carrying amount exceeds its fair value. Management determines the fair value of a reporting unit based on a combination of the income approach (i.e. discounted cash flows) and market approach (i.e. comparative market multiples). The significant factors and assumptions used by management in its discounted cash flow analysis for the dry bulk vessel operations includes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20"/>
          </w:cols>
          <w:pgMar w:left="320" w:top="459" w:right="4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90" w:lineRule="auto"/>
        <w:rPr>
          <w:sz w:val="20"/>
          <w:szCs w:val="20"/>
          <w:color w:val="auto"/>
        </w:rPr>
      </w:pPr>
      <w:r>
        <w:rPr>
          <w:rFonts w:ascii="Arial" w:cs="Arial" w:eastAsia="Arial" w:hAnsi="Arial"/>
          <w:sz w:val="16"/>
          <w:szCs w:val="16"/>
          <w:color w:val="auto"/>
        </w:rPr>
        <w:t>EBITDA, the discount rate used to calculate the present value of future cash flows and future capital expenditures. EBITDA assumptions included revenue assumptions, general and administrative expense growth assumptions and direct vessel expense growth assumptions. The future cash flows are determined by considering the charter revenues from existing time charters for the fixed fleet days (the remaining charter agreement rates) and an estimated daily time charter equivalent for the unfixed days (based on a combination of one-year average historical time charter rates and the 10-year average historical one-year time charter rates). The WACC is based on externally observable data considering market participants’ and the Company’s cost of equity and debt, optimal capital structure and risk factors specific to the Company. The market approach estimates the fair value of the Company’s business based on comparable publicly-traded companies in its industry. In assessing the fair value, management utilizes the results of the valuations and considers the range of fair values determined under all methods which indicates that the fair value exceeds the carrying amount.</w:t>
      </w:r>
    </w:p>
    <w:p>
      <w:pPr>
        <w:spacing w:after="0" w:line="165" w:lineRule="exact"/>
        <w:rPr>
          <w:sz w:val="20"/>
          <w:szCs w:val="20"/>
          <w:color w:val="auto"/>
        </w:rPr>
      </w:pPr>
    </w:p>
    <w:p>
      <w:pPr>
        <w:ind w:left="120" w:right="180"/>
        <w:spacing w:after="0" w:line="257" w:lineRule="auto"/>
        <w:rPr>
          <w:sz w:val="20"/>
          <w:szCs w:val="20"/>
          <w:color w:val="auto"/>
        </w:rPr>
      </w:pPr>
      <w:r>
        <w:rPr>
          <w:rFonts w:ascii="Arial" w:cs="Arial" w:eastAsia="Arial" w:hAnsi="Arial"/>
          <w:sz w:val="18"/>
          <w:szCs w:val="18"/>
          <w:color w:val="auto"/>
        </w:rPr>
        <w:t>The principal considerations for our determination that performing procedures relating to goodwill impairment assessment in the dry bulk vessel operations is a critical audit matter are (i) the significant judgment by management when developing the fair value of the reporting units; (ii) a high degree of auditor judgment, subjectivity and audit effort in performing procedures and evaluating management’s significant assumptions related to the estimated daily time charter equivalent for the unfixed days and the WACC; and (iii) the audit effort involved the use of professionals with specialized skill and knowledge.</w:t>
      </w:r>
    </w:p>
    <w:p>
      <w:pPr>
        <w:spacing w:after="0" w:line="188"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assessment in the dry bulk vessel operations, including controls over the fair value estimate of the reporting unit. These procedures also included, among others, (i) evaluating the appropriateness of the discounted cash flows and market approach utilized by management; (ii) testing management’s process for determining the fair value of the reporting unit, (iii) testing the completeness, accuracy and relevance of underlying data used in the models; and</w:t>
      </w:r>
    </w:p>
    <w:p>
      <w:pPr>
        <w:spacing w:after="0" w:line="2" w:lineRule="exact"/>
        <w:rPr>
          <w:sz w:val="20"/>
          <w:szCs w:val="20"/>
          <w:color w:val="auto"/>
        </w:rPr>
      </w:pPr>
    </w:p>
    <w:p>
      <w:pPr>
        <w:ind w:left="120" w:hanging="4"/>
        <w:spacing w:after="0" w:line="269" w:lineRule="auto"/>
        <w:tabs>
          <w:tab w:leader="none" w:pos="425" w:val="left"/>
        </w:tabs>
        <w:numPr>
          <w:ilvl w:val="0"/>
          <w:numId w:val="115"/>
        </w:numPr>
        <w:rPr>
          <w:rFonts w:ascii="Arial" w:cs="Arial" w:eastAsia="Arial" w:hAnsi="Arial"/>
          <w:sz w:val="17"/>
          <w:szCs w:val="17"/>
          <w:color w:val="auto"/>
        </w:rPr>
      </w:pPr>
      <w:r>
        <w:rPr>
          <w:rFonts w:ascii="Arial" w:cs="Arial" w:eastAsia="Arial" w:hAnsi="Arial"/>
          <w:sz w:val="17"/>
          <w:szCs w:val="17"/>
          <w:color w:val="auto"/>
        </w:rPr>
        <w:t>evaluating the significant assumptions used by management related to the estimated daily time charter equivalent for the unfixed days and the WACC. Evaluating management’s assumptions related to the fair value of the reporting unit involved evaluating whether the assumptions used by management were reasonable considering (i) the historical average time charter rates of the vessels; (ii) the current and past performance of the reporting unit; (iii) the consistency with external market and industry data; and (iv) whether the assumptions were consistent with evidence obtained in other areas of the audit. Professionals with specialized skill and knowledge were used to assist in evaluating the appropriateness of management’s discounted cash flow and market approach models, evaluating the reasonableness of the estimated daily time charter equivalent for the unfixed days used in the discounted cash flow model and developing an independent estimate of the discount rate.</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PricewaterhouseCoopers S.A.</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Athens, Greece</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29, 2021</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(or its predecessor) auditor since 2002.</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20"/>
          </w:cols>
          <w:pgMar w:left="320" w:top="459" w:right="4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NAVIOS MARITIME HOLDINGS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(Expressed in thousands of U.S. dollars — except share data)</w:t>
      </w:r>
    </w:p>
    <w:p>
      <w:pPr>
        <w:spacing w:after="0" w:line="12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080" w:type="dxa"/>
            <w:vAlign w:val="bottom"/>
          </w:tcPr>
          <w:p>
            <w:pPr>
              <w:spacing w:after="0"/>
              <w:rPr>
                <w:sz w:val="14"/>
                <w:szCs w:val="14"/>
                <w:color w:val="auto"/>
              </w:rPr>
            </w:pPr>
          </w:p>
        </w:tc>
        <w:tc>
          <w:tcPr>
            <w:tcW w:w="9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Notes</w:t>
            </w:r>
          </w:p>
        </w:tc>
        <w:tc>
          <w:tcPr>
            <w:tcW w:w="104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80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190"/>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9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4, 12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94,881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77,991</w:t>
            </w: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Restricted cash</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4, 11, 12</w:t>
            </w:r>
          </w:p>
        </w:tc>
        <w:tc>
          <w:tcPr>
            <w:tcW w:w="100" w:type="dxa"/>
            <w:vAlign w:val="bottom"/>
          </w:tcPr>
          <w:p>
            <w:pPr>
              <w:spacing w:after="0"/>
              <w:rPr>
                <w:sz w:val="18"/>
                <w:szCs w:val="18"/>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16,303</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54,328</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51,932</w:t>
            </w: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Due from affiliate companies</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14,614</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14,121</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10,489</w:t>
            </w: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14,981</w:t>
            </w:r>
          </w:p>
        </w:tc>
        <w:tc>
          <w:tcPr>
            <w:tcW w:w="2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12,239</w:t>
            </w: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194,857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168,001</w:t>
            </w:r>
          </w:p>
        </w:tc>
        <w:tc>
          <w:tcPr>
            <w:tcW w:w="0" w:type="dxa"/>
            <w:vAlign w:val="bottom"/>
          </w:tcPr>
          <w:p>
            <w:pPr>
              <w:spacing w:after="0"/>
              <w:rPr>
                <w:sz w:val="1"/>
                <w:szCs w:val="1"/>
                <w:color w:val="auto"/>
              </w:rPr>
            </w:pPr>
          </w:p>
        </w:tc>
      </w:tr>
      <w:tr>
        <w:trPr>
          <w:trHeight w:val="223"/>
        </w:trPr>
        <w:tc>
          <w:tcPr>
            <w:tcW w:w="8080" w:type="dxa"/>
            <w:vAlign w:val="bottom"/>
          </w:tcPr>
          <w:p>
            <w:pPr>
              <w:spacing w:after="0"/>
              <w:rPr>
                <w:sz w:val="20"/>
                <w:szCs w:val="20"/>
                <w:color w:val="auto"/>
              </w:rPr>
            </w:pPr>
            <w:r>
              <w:rPr>
                <w:rFonts w:ascii="Arial" w:cs="Arial" w:eastAsia="Arial" w:hAnsi="Arial"/>
                <w:sz w:val="18"/>
                <w:szCs w:val="18"/>
                <w:color w:val="auto"/>
              </w:rPr>
              <w:t>Vessels, port terminals and other fixed assets, net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1,139,539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1,276,514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Deferred dry dock and special survey costs, net</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31,180</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26,599</w:t>
            </w: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Long-term receivable from affiliate companies</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94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5,328</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Loan receivable from affiliate companies</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12, 16</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24,495</w:t>
            </w: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Investments in affiliate companies</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56,988</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64,352</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9, 12, 14</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61,900</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49,071</w:t>
            </w: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Operating lease assets</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227,962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264,005</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other than goodwill</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98,563</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104,154</w:t>
            </w: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Goodwill</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2, 19</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160,336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160,336</w:t>
            </w: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1,776,468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7"/>
              </w:rPr>
              <w:t>1,974,854</w:t>
            </w:r>
          </w:p>
        </w:tc>
        <w:tc>
          <w:tcPr>
            <w:tcW w:w="0" w:type="dxa"/>
            <w:vAlign w:val="bottom"/>
          </w:tcPr>
          <w:p>
            <w:pPr>
              <w:spacing w:after="0"/>
              <w:rPr>
                <w:sz w:val="1"/>
                <w:szCs w:val="1"/>
                <w:color w:val="auto"/>
              </w:rPr>
            </w:pPr>
          </w:p>
        </w:tc>
      </w:tr>
      <w:tr>
        <w:trPr>
          <w:trHeight w:val="223"/>
        </w:trPr>
        <w:tc>
          <w:tcPr>
            <w:tcW w:w="808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1,971,325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2,142,855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29,185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21,673</w:t>
            </w: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Accrued expenses and other liabilities</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8, 10, 16</w:t>
            </w:r>
          </w:p>
        </w:tc>
        <w:tc>
          <w:tcPr>
            <w:tcW w:w="100" w:type="dxa"/>
            <w:vAlign w:val="bottom"/>
          </w:tcPr>
          <w:p>
            <w:pPr>
              <w:spacing w:after="0"/>
              <w:rPr>
                <w:sz w:val="18"/>
                <w:szCs w:val="18"/>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72,535</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51,180</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and cash received in advance</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8,342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8,854</w:t>
            </w: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Operating lease liabilities, current portion</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81,415</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87,103</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 companies</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27,114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6,353</w:t>
            </w: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Current portion of loans payable to affiliate companies</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11,12,16</w:t>
            </w:r>
          </w:p>
        </w:tc>
        <w:tc>
          <w:tcPr>
            <w:tcW w:w="100" w:type="dxa"/>
            <w:vAlign w:val="bottom"/>
          </w:tcPr>
          <w:p>
            <w:pPr>
              <w:spacing w:after="0"/>
              <w:rPr>
                <w:sz w:val="18"/>
                <w:szCs w:val="18"/>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26,595</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24,715</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 net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11, 12</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48,219</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25,395</w:t>
            </w:r>
          </w:p>
        </w:tc>
        <w:tc>
          <w:tcPr>
            <w:tcW w:w="0" w:type="dxa"/>
            <w:vAlign w:val="bottom"/>
          </w:tcPr>
          <w:p>
            <w:pPr>
              <w:spacing w:after="0"/>
              <w:rPr>
                <w:sz w:val="1"/>
                <w:szCs w:val="1"/>
                <w:color w:val="auto"/>
              </w:rPr>
            </w:pPr>
          </w:p>
        </w:tc>
      </w:tr>
      <w:tr>
        <w:trPr>
          <w:trHeight w:val="223"/>
        </w:trPr>
        <w:tc>
          <w:tcPr>
            <w:tcW w:w="8080" w:type="dxa"/>
            <w:vAlign w:val="bottom"/>
          </w:tcPr>
          <w:p>
            <w:pPr>
              <w:spacing w:after="0"/>
              <w:rPr>
                <w:sz w:val="20"/>
                <w:szCs w:val="20"/>
                <w:color w:val="auto"/>
              </w:rPr>
            </w:pPr>
            <w:r>
              <w:rPr>
                <w:rFonts w:ascii="Arial" w:cs="Arial" w:eastAsia="Arial" w:hAnsi="Arial"/>
                <w:sz w:val="18"/>
                <w:szCs w:val="18"/>
                <w:color w:val="auto"/>
              </w:rPr>
              <w:t>Senior and ship mortgage notes, net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11, 12</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299,377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592,782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225,273</w:t>
            </w:r>
          </w:p>
        </w:tc>
        <w:tc>
          <w:tcPr>
            <w:tcW w:w="0" w:type="dxa"/>
            <w:vAlign w:val="bottom"/>
          </w:tcPr>
          <w:p>
            <w:pPr>
              <w:spacing w:after="0"/>
              <w:rPr>
                <w:sz w:val="1"/>
                <w:szCs w:val="1"/>
                <w:color w:val="auto"/>
              </w:rPr>
            </w:pPr>
          </w:p>
        </w:tc>
      </w:tr>
      <w:tr>
        <w:trPr>
          <w:trHeight w:val="223"/>
        </w:trPr>
        <w:tc>
          <w:tcPr>
            <w:tcW w:w="8080" w:type="dxa"/>
            <w:vAlign w:val="bottom"/>
          </w:tcPr>
          <w:p>
            <w:pPr>
              <w:spacing w:after="0"/>
              <w:rPr>
                <w:sz w:val="20"/>
                <w:szCs w:val="20"/>
                <w:color w:val="auto"/>
              </w:rPr>
            </w:pPr>
            <w:r>
              <w:rPr>
                <w:rFonts w:ascii="Arial" w:cs="Arial" w:eastAsia="Arial" w:hAnsi="Arial"/>
                <w:sz w:val="18"/>
                <w:szCs w:val="18"/>
                <w:color w:val="auto"/>
              </w:rPr>
              <w:t>Senior and ship mortgage notes, net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11, 12</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964,189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1,170,679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11, 12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143,417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236,635</w:t>
            </w: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Loans payable to affiliate companies, net of current portion</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11, 12, 16</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102,632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105,823</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 and deferred income</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660</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5,958</w:t>
            </w: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Operating lease liabilities, net of current portion</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193,351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226,329</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Long-term payable to affiliate companies</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Deferred tax liability</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8,577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8,133</w:t>
            </w: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1,412,826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7"/>
              </w:rPr>
              <w:t>1,758,557</w:t>
            </w:r>
          </w:p>
        </w:tc>
        <w:tc>
          <w:tcPr>
            <w:tcW w:w="0" w:type="dxa"/>
            <w:vAlign w:val="bottom"/>
          </w:tcPr>
          <w:p>
            <w:pPr>
              <w:spacing w:after="0"/>
              <w:rPr>
                <w:sz w:val="1"/>
                <w:szCs w:val="1"/>
                <w:color w:val="auto"/>
              </w:rPr>
            </w:pPr>
          </w:p>
        </w:tc>
      </w:tr>
      <w:tr>
        <w:trPr>
          <w:trHeight w:val="223"/>
        </w:trPr>
        <w:tc>
          <w:tcPr>
            <w:tcW w:w="808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2,005,608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1,983,830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Preferred Stock — $0.0001 par value, authorized 1,000,000 shares, 23,032 and 23,242 issued and outstanding</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 of December 31, 2020 and 2019, respectively.</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080" w:type="dxa"/>
            <w:vAlign w:val="bottom"/>
          </w:tcPr>
          <w:p>
            <w:pPr>
              <w:spacing w:after="0" w:line="201" w:lineRule="exact"/>
              <w:rPr>
                <w:sz w:val="20"/>
                <w:szCs w:val="20"/>
                <w:color w:val="auto"/>
              </w:rPr>
            </w:pPr>
            <w:r>
              <w:rPr>
                <w:rFonts w:ascii="Arial" w:cs="Arial" w:eastAsia="Arial" w:hAnsi="Arial"/>
                <w:sz w:val="18"/>
                <w:szCs w:val="18"/>
                <w:color w:val="auto"/>
                <w:w w:val="92"/>
              </w:rPr>
              <w:t>Common stock — $0.0001 par value, authorized 250,000,000 shares, 15,881,147 and 13,360,356 issued and</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80" w:type="dxa"/>
            <w:vAlign w:val="bottom"/>
          </w:tcPr>
          <w:p>
            <w:pPr>
              <w:ind w:left="180"/>
              <w:spacing w:after="0"/>
              <w:rPr>
                <w:sz w:val="20"/>
                <w:szCs w:val="20"/>
                <w:color w:val="auto"/>
              </w:rPr>
            </w:pPr>
            <w:r>
              <w:rPr>
                <w:rFonts w:ascii="Arial" w:cs="Arial" w:eastAsia="Arial" w:hAnsi="Arial"/>
                <w:sz w:val="18"/>
                <w:szCs w:val="18"/>
                <w:color w:val="auto"/>
              </w:rPr>
              <w:t>outstanding as of December 31, 2020 and 2019, respectively.</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643,033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641,765</w:t>
            </w: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Accumulated deficit</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(784,592)</w:t>
            </w:r>
          </w:p>
        </w:tc>
        <w:tc>
          <w:tcPr>
            <w:tcW w:w="1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(597,916)</w:t>
            </w: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Navios Holdings stockholders’ (deficit)/ equity</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(141,558)</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43,850</w:t>
            </w:r>
          </w:p>
        </w:tc>
        <w:tc>
          <w:tcPr>
            <w:tcW w:w="0" w:type="dxa"/>
            <w:vAlign w:val="bottom"/>
          </w:tcPr>
          <w:p>
            <w:pPr>
              <w:spacing w:after="0"/>
              <w:rPr>
                <w:sz w:val="1"/>
                <w:szCs w:val="1"/>
                <w:color w:val="auto"/>
              </w:rPr>
            </w:pPr>
          </w:p>
        </w:tc>
      </w:tr>
      <w:tr>
        <w:trPr>
          <w:trHeight w:val="230"/>
        </w:trPr>
        <w:tc>
          <w:tcPr>
            <w:tcW w:w="808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107,275</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115,175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stockholders’ (deficit)/ equity</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(34,283)</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159,025</w:t>
            </w:r>
          </w:p>
        </w:tc>
        <w:tc>
          <w:tcPr>
            <w:tcW w:w="0" w:type="dxa"/>
            <w:vAlign w:val="bottom"/>
          </w:tcPr>
          <w:p>
            <w:pPr>
              <w:spacing w:after="0"/>
              <w:rPr>
                <w:sz w:val="1"/>
                <w:szCs w:val="1"/>
                <w:color w:val="auto"/>
              </w:rPr>
            </w:pPr>
          </w:p>
        </w:tc>
      </w:tr>
      <w:tr>
        <w:trPr>
          <w:trHeight w:val="223"/>
        </w:trPr>
        <w:tc>
          <w:tcPr>
            <w:tcW w:w="808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1,971,325</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2,142,855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40"/>
          </w:cols>
          <w:pgMar w:left="320" w:top="459" w:right="4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2480"/>
        <w:spacing w:after="0" w:line="266" w:lineRule="auto"/>
        <w:rPr>
          <w:sz w:val="20"/>
          <w:szCs w:val="20"/>
          <w:color w:val="auto"/>
        </w:rPr>
      </w:pPr>
      <w:r>
        <w:rPr>
          <w:rFonts w:ascii="Arial" w:cs="Arial" w:eastAsia="Arial" w:hAnsi="Arial"/>
          <w:sz w:val="18"/>
          <w:szCs w:val="18"/>
          <w:b w:val="1"/>
          <w:bCs w:val="1"/>
          <w:color w:val="auto"/>
        </w:rPr>
        <w:t xml:space="preserve">NAVIOS MARITIME HOLDINGS INC. CONSOLIDATED STATEMENTS OF COMPREHENSIVE (LOSS)/INCOME </w:t>
      </w:r>
      <w:r>
        <w:rPr>
          <w:rFonts w:ascii="Arial" w:cs="Arial" w:eastAsia="Arial" w:hAnsi="Arial"/>
          <w:sz w:val="18"/>
          <w:szCs w:val="18"/>
          <w:color w:val="auto"/>
        </w:rPr>
        <w:t>(Expressed in thousands of U.S. dollars — except share and per share)</w:t>
      </w:r>
    </w:p>
    <w:p>
      <w:pPr>
        <w:spacing w:after="0" w:line="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0"/>
              </w:rPr>
              <w:t>Year Ended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221"/>
              <w:spacing w:after="0"/>
              <w:rPr>
                <w:sz w:val="20"/>
                <w:szCs w:val="20"/>
                <w:color w:val="auto"/>
              </w:rPr>
            </w:pPr>
            <w:r>
              <w:rPr>
                <w:rFonts w:ascii="Arial" w:cs="Arial" w:eastAsia="Arial" w:hAnsi="Arial"/>
                <w:sz w:val="14"/>
                <w:szCs w:val="14"/>
                <w:b w:val="1"/>
                <w:bCs w:val="1"/>
                <w:color w:val="auto"/>
                <w:w w:val="90"/>
              </w:rPr>
              <w:t>Year Ended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121"/>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8"/>
        </w:trPr>
        <w:tc>
          <w:tcPr>
            <w:tcW w:w="6580" w:type="dxa"/>
            <w:vAlign w:val="bottom"/>
          </w:tcPr>
          <w:p>
            <w:pPr>
              <w:spacing w:after="0"/>
              <w:rPr>
                <w:sz w:val="12"/>
                <w:szCs w:val="12"/>
                <w:color w:val="auto"/>
              </w:rPr>
            </w:pPr>
          </w:p>
        </w:tc>
        <w:tc>
          <w:tcPr>
            <w:tcW w:w="9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Notes</w:t>
            </w:r>
          </w:p>
        </w:tc>
        <w:tc>
          <w:tcPr>
            <w:tcW w:w="20" w:type="dxa"/>
            <w:vAlign w:val="bottom"/>
          </w:tcPr>
          <w:p>
            <w:pPr>
              <w:spacing w:after="0"/>
              <w:rPr>
                <w:sz w:val="12"/>
                <w:szCs w:val="12"/>
                <w:color w:val="auto"/>
              </w:rPr>
            </w:pPr>
          </w:p>
        </w:tc>
        <w:tc>
          <w:tcPr>
            <w:tcW w:w="1060" w:type="dxa"/>
            <w:vAlign w:val="bottom"/>
            <w:gridSpan w:val="4"/>
          </w:tcPr>
          <w:p>
            <w:pPr>
              <w:jc w:val="right"/>
              <w:ind w:right="22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140" w:type="dxa"/>
            <w:vAlign w:val="bottom"/>
          </w:tcPr>
          <w:p>
            <w:pPr>
              <w:spacing w:after="0"/>
              <w:rPr>
                <w:sz w:val="12"/>
                <w:szCs w:val="12"/>
                <w:color w:val="auto"/>
              </w:rPr>
            </w:pPr>
          </w:p>
        </w:tc>
        <w:tc>
          <w:tcPr>
            <w:tcW w:w="1100" w:type="dxa"/>
            <w:vAlign w:val="bottom"/>
            <w:gridSpan w:val="3"/>
          </w:tcPr>
          <w:p>
            <w:pPr>
              <w:jc w:val="right"/>
              <w:ind w:right="161"/>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2"/>
                <w:szCs w:val="12"/>
                <w:color w:val="auto"/>
              </w:rPr>
            </w:pPr>
          </w:p>
        </w:tc>
        <w:tc>
          <w:tcPr>
            <w:tcW w:w="1020" w:type="dxa"/>
            <w:vAlign w:val="bottom"/>
            <w:gridSpan w:val="3"/>
          </w:tcPr>
          <w:p>
            <w:pPr>
              <w:jc w:val="right"/>
              <w:ind w:right="81"/>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65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jc w:val="right"/>
              <w:ind w:right="211"/>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231"/>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416,718</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482,449</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505,686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Administrative fee revenue from affiliate companies</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16, 19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21"/>
              <w:spacing w:after="0"/>
              <w:rPr>
                <w:sz w:val="20"/>
                <w:szCs w:val="20"/>
                <w:color w:val="auto"/>
              </w:rPr>
            </w:pPr>
            <w:r>
              <w:rPr>
                <w:rFonts w:ascii="Arial" w:cs="Arial" w:eastAsia="Arial" w:hAnsi="Arial"/>
                <w:sz w:val="18"/>
                <w:szCs w:val="18"/>
                <w:color w:val="auto"/>
              </w:rPr>
              <w:t>16,991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41"/>
              <w:spacing w:after="0"/>
              <w:rPr>
                <w:sz w:val="20"/>
                <w:szCs w:val="20"/>
                <w:color w:val="auto"/>
              </w:rPr>
            </w:pPr>
            <w:r>
              <w:rPr>
                <w:rFonts w:ascii="Arial" w:cs="Arial" w:eastAsia="Arial" w:hAnsi="Arial"/>
                <w:sz w:val="18"/>
                <w:szCs w:val="18"/>
                <w:color w:val="auto"/>
              </w:rPr>
              <w:t>28,393</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Time charter, voyage and logistics business expenses</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(166,589)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(177,216)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(205,787)</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Direct vessel expenses</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(104,755)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61"/>
              <w:spacing w:after="0"/>
              <w:rPr>
                <w:sz w:val="20"/>
                <w:szCs w:val="20"/>
                <w:color w:val="auto"/>
              </w:rPr>
            </w:pPr>
            <w:r>
              <w:rPr>
                <w:rFonts w:ascii="Arial" w:cs="Arial" w:eastAsia="Arial" w:hAnsi="Arial"/>
                <w:sz w:val="18"/>
                <w:szCs w:val="18"/>
                <w:color w:val="auto"/>
              </w:rPr>
              <w:t>(101,467)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(96,261)</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 incurred on behalf of affiliate companies</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(16,991)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(28,393)</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(33,702)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61"/>
              <w:spacing w:after="0"/>
              <w:rPr>
                <w:sz w:val="20"/>
                <w:szCs w:val="20"/>
                <w:color w:val="auto"/>
              </w:rPr>
            </w:pPr>
            <w:r>
              <w:rPr>
                <w:rFonts w:ascii="Arial" w:cs="Arial" w:eastAsia="Arial" w:hAnsi="Arial"/>
                <w:sz w:val="18"/>
                <w:szCs w:val="18"/>
                <w:color w:val="auto"/>
              </w:rPr>
              <w:t>(36,194)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(26,640)</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7, 8, 19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(71,015)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(81,723)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(99,779)</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Allowance for credit losses</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(541)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61"/>
              <w:spacing w:after="0"/>
              <w:rPr>
                <w:sz w:val="20"/>
                <w:szCs w:val="20"/>
                <w:color w:val="auto"/>
              </w:rPr>
            </w:pPr>
            <w:r>
              <w:rPr>
                <w:rFonts w:ascii="Arial" w:cs="Arial" w:eastAsia="Arial" w:hAnsi="Arial"/>
                <w:sz w:val="18"/>
                <w:szCs w:val="18"/>
                <w:color w:val="auto"/>
              </w:rPr>
              <w:t>(999)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16, 19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257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10,662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8,748</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Interest expense and finance cost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18, 19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(136,559)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61"/>
              <w:spacing w:after="0"/>
              <w:rPr>
                <w:sz w:val="20"/>
                <w:szCs w:val="20"/>
                <w:color w:val="auto"/>
              </w:rPr>
            </w:pPr>
            <w:r>
              <w:rPr>
                <w:rFonts w:ascii="Arial" w:cs="Arial" w:eastAsia="Arial" w:hAnsi="Arial"/>
                <w:sz w:val="18"/>
                <w:szCs w:val="18"/>
                <w:color w:val="auto"/>
              </w:rPr>
              <w:t>(133,479)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(137,916)</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Impairment loss/ loss on sale of vessels, net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7, 15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(88,367)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(156,106)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(200,657)</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Gain on bond and debt extinguishment, net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7,047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21"/>
              <w:spacing w:after="0"/>
              <w:rPr>
                <w:sz w:val="20"/>
                <w:szCs w:val="20"/>
                <w:color w:val="auto"/>
              </w:rPr>
            </w:pPr>
            <w:r>
              <w:rPr>
                <w:rFonts w:ascii="Arial" w:cs="Arial" w:eastAsia="Arial" w:hAnsi="Arial"/>
                <w:sz w:val="18"/>
                <w:szCs w:val="18"/>
                <w:color w:val="auto"/>
              </w:rPr>
              <w:t>47,430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41"/>
              <w:spacing w:after="0"/>
              <w:rPr>
                <w:sz w:val="20"/>
                <w:szCs w:val="20"/>
                <w:color w:val="auto"/>
              </w:rPr>
            </w:pPr>
            <w:r>
              <w:rPr>
                <w:rFonts w:ascii="Arial" w:cs="Arial" w:eastAsia="Arial" w:hAnsi="Arial"/>
                <w:sz w:val="18"/>
                <w:szCs w:val="18"/>
                <w:color w:val="auto"/>
              </w:rPr>
              <w:t>6,464</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assets</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Gain on sale of business</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21"/>
              <w:spacing w:after="0"/>
              <w:rPr>
                <w:sz w:val="20"/>
                <w:szCs w:val="20"/>
                <w:color w:val="auto"/>
              </w:rPr>
            </w:pPr>
            <w:r>
              <w:rPr>
                <w:rFonts w:ascii="Arial" w:cs="Arial" w:eastAsia="Arial" w:hAnsi="Arial"/>
                <w:sz w:val="18"/>
                <w:szCs w:val="18"/>
                <w:color w:val="auto"/>
              </w:rPr>
              <w:t>9,802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(Loss on loss of control)/Bargain gain upon obtaining control</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(61,741)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58,313</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Other income</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16, 22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6,303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21"/>
              <w:spacing w:after="0"/>
              <w:rPr>
                <w:sz w:val="20"/>
                <w:szCs w:val="20"/>
                <w:color w:val="auto"/>
              </w:rPr>
            </w:pPr>
            <w:r>
              <w:rPr>
                <w:rFonts w:ascii="Arial" w:cs="Arial" w:eastAsia="Arial" w:hAnsi="Arial"/>
                <w:sz w:val="18"/>
                <w:szCs w:val="18"/>
                <w:color w:val="auto"/>
              </w:rPr>
              <w:t>44,750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41"/>
              <w:spacing w:after="0"/>
              <w:rPr>
                <w:sz w:val="20"/>
                <w:szCs w:val="20"/>
                <w:color w:val="auto"/>
              </w:rPr>
            </w:pPr>
            <w:r>
              <w:rPr>
                <w:rFonts w:ascii="Arial" w:cs="Arial" w:eastAsia="Arial" w:hAnsi="Arial"/>
                <w:sz w:val="18"/>
                <w:szCs w:val="18"/>
                <w:color w:val="auto"/>
              </w:rPr>
              <w:t>14,500</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9, 22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(8,007)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(15,842)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(13,290)</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Impairment of loan receivable from affiliate company</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(6,050)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equity in net losses of affiliate companies</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(185,260)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(169,674)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(187,166)</w:t>
            </w:r>
          </w:p>
        </w:tc>
        <w:tc>
          <w:tcPr>
            <w:tcW w:w="0" w:type="dxa"/>
            <w:vAlign w:val="bottom"/>
          </w:tcPr>
          <w:p>
            <w:pPr>
              <w:spacing w:after="0"/>
              <w:rPr>
                <w:sz w:val="1"/>
                <w:szCs w:val="1"/>
                <w:color w:val="auto"/>
              </w:rPr>
            </w:pPr>
          </w:p>
        </w:tc>
      </w:t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Equity in net losses of affiliate companies</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9, 16, 19</w:t>
            </w:r>
          </w:p>
        </w:tc>
        <w:tc>
          <w:tcPr>
            <w:tcW w:w="2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(1,293)</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(9,185)</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(80,205)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taxes</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(186,553)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(178,859)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(267,371)</w:t>
            </w:r>
          </w:p>
        </w:tc>
        <w:tc>
          <w:tcPr>
            <w:tcW w:w="0" w:type="dxa"/>
            <w:vAlign w:val="bottom"/>
          </w:tcPr>
          <w:p>
            <w:pPr>
              <w:spacing w:after="0"/>
              <w:rPr>
                <w:sz w:val="1"/>
                <w:szCs w:val="1"/>
                <w:color w:val="auto"/>
              </w:rPr>
            </w:pPr>
          </w:p>
        </w:tc>
      </w:t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Income tax (expense)/benefit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(2,052)</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(1,475)</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from continuing operations</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(188,605)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(180,334)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(266,263)</w:t>
            </w:r>
          </w:p>
        </w:tc>
        <w:tc>
          <w:tcPr>
            <w:tcW w:w="0" w:type="dxa"/>
            <w:vAlign w:val="bottom"/>
          </w:tcPr>
          <w:p>
            <w:pPr>
              <w:spacing w:after="0"/>
              <w:rPr>
                <w:sz w:val="1"/>
                <w:szCs w:val="1"/>
                <w:color w:val="auto"/>
              </w:rPr>
            </w:pPr>
          </w:p>
        </w:tc>
      </w:t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Net (loss)/income from discontinued operations</w:t>
            </w: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(4,118)</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(188,605)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(184,452)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(265,511)</w:t>
            </w:r>
          </w:p>
        </w:tc>
        <w:tc>
          <w:tcPr>
            <w:tcW w:w="0" w:type="dxa"/>
            <w:vAlign w:val="bottom"/>
          </w:tcPr>
          <w:p>
            <w:pPr>
              <w:spacing w:after="0"/>
              <w:rPr>
                <w:sz w:val="1"/>
                <w:szCs w:val="1"/>
                <w:color w:val="auto"/>
              </w:rPr>
            </w:pPr>
          </w:p>
        </w:tc>
      </w:t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Less: Net income attributable to the noncontrolling interest</w:t>
            </w: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(4,356)</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(7,658)</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Navios Holdings common stockholders</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(192,961)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(192,110)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(268,718)</w:t>
            </w:r>
          </w:p>
        </w:tc>
        <w:tc>
          <w:tcPr>
            <w:tcW w:w="0" w:type="dxa"/>
            <w:vAlign w:val="bottom"/>
          </w:tcPr>
          <w:p>
            <w:pPr>
              <w:spacing w:after="0"/>
              <w:rPr>
                <w:sz w:val="1"/>
                <w:szCs w:val="1"/>
                <w:color w:val="auto"/>
              </w:rPr>
            </w:pPr>
          </w:p>
        </w:tc>
      </w:tr>
      <w:tr>
        <w:trPr>
          <w:trHeight w:val="205"/>
        </w:trPr>
        <w:tc>
          <w:tcPr>
            <w:tcW w:w="6580" w:type="dxa"/>
            <w:vAlign w:val="bottom"/>
          </w:tcPr>
          <w:p>
            <w:pPr>
              <w:spacing w:after="0" w:line="205" w:lineRule="exact"/>
              <w:rPr>
                <w:sz w:val="20"/>
                <w:szCs w:val="20"/>
                <w:color w:val="auto"/>
              </w:rPr>
            </w:pPr>
            <w:r>
              <w:rPr>
                <w:rFonts w:ascii="Arial" w:cs="Arial" w:eastAsia="Arial" w:hAnsi="Arial"/>
                <w:sz w:val="18"/>
                <w:szCs w:val="18"/>
                <w:b w:val="1"/>
                <w:bCs w:val="1"/>
                <w:color w:val="auto"/>
                <w:w w:val="92"/>
              </w:rPr>
              <w:t>Loss attributable to Navios Holdings common stockholders, basic and diluted from</w:t>
            </w: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580" w:type="dxa"/>
            <w:vAlign w:val="bottom"/>
          </w:tcPr>
          <w:p>
            <w:pPr>
              <w:ind w:left="180"/>
              <w:spacing w:after="0"/>
              <w:rPr>
                <w:sz w:val="20"/>
                <w:szCs w:val="20"/>
                <w:color w:val="auto"/>
              </w:rPr>
            </w:pPr>
            <w:r>
              <w:rPr>
                <w:rFonts w:ascii="Arial" w:cs="Arial" w:eastAsia="Arial" w:hAnsi="Arial"/>
                <w:sz w:val="18"/>
                <w:szCs w:val="18"/>
                <w:b w:val="1"/>
                <w:bCs w:val="1"/>
                <w:color w:val="auto"/>
              </w:rPr>
              <w:t>continuing operations</w:t>
            </w: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(197,939)</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(149,490)</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(279,711)</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580" w:type="dxa"/>
            <w:vAlign w:val="bottom"/>
            <w:shd w:val="clear" w:color="auto" w:fill="CCEEFF"/>
          </w:tcPr>
          <w:p>
            <w:pPr>
              <w:spacing w:after="0" w:line="192" w:lineRule="exact"/>
              <w:rPr>
                <w:sz w:val="20"/>
                <w:szCs w:val="20"/>
                <w:color w:val="auto"/>
              </w:rPr>
            </w:pPr>
            <w:r>
              <w:rPr>
                <w:rFonts w:ascii="Arial" w:cs="Arial" w:eastAsia="Arial" w:hAnsi="Arial"/>
                <w:sz w:val="18"/>
                <w:szCs w:val="18"/>
                <w:b w:val="1"/>
                <w:bCs w:val="1"/>
                <w:color w:val="auto"/>
                <w:w w:val="96"/>
              </w:rPr>
              <w:t>(Loss)/Income attributable to Navios Holdings common stockholders, basic and</w:t>
            </w:r>
          </w:p>
        </w:tc>
        <w:tc>
          <w:tcPr>
            <w:tcW w:w="6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5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diluted from discontinued operations</w:t>
            </w:r>
          </w:p>
        </w:tc>
        <w:tc>
          <w:tcPr>
            <w:tcW w:w="6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(4,118)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752</w:t>
            </w: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Arial" w:cs="Arial" w:eastAsia="Arial" w:hAnsi="Arial"/>
                <w:sz w:val="18"/>
                <w:szCs w:val="18"/>
                <w:b w:val="1"/>
                <w:bCs w:val="1"/>
                <w:color w:val="auto"/>
                <w:w w:val="98"/>
              </w:rPr>
              <w:t>Loss attributable to Navios Holdings common stockholders, basic and diluted</w:t>
            </w:r>
          </w:p>
        </w:tc>
        <w:tc>
          <w:tcPr>
            <w:tcW w:w="94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20</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80" w:type="dxa"/>
            <w:vAlign w:val="bottom"/>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(197,939</w:t>
            </w:r>
          </w:p>
        </w:tc>
        <w:tc>
          <w:tcPr>
            <w:tcW w:w="1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w w:val="74"/>
              </w:rPr>
              <w:t>)</w:t>
            </w:r>
          </w:p>
        </w:tc>
        <w:tc>
          <w:tcPr>
            <w:tcW w:w="1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(153,608</w:t>
            </w:r>
          </w:p>
        </w:tc>
        <w:tc>
          <w:tcPr>
            <w:tcW w:w="200" w:type="dxa"/>
            <w:vAlign w:val="bottom"/>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(278,959</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580" w:type="dxa"/>
            <w:vAlign w:val="bottom"/>
            <w:shd w:val="clear" w:color="auto" w:fill="CCEEFF"/>
          </w:tcPr>
          <w:p>
            <w:pPr>
              <w:spacing w:after="0" w:line="192" w:lineRule="exact"/>
              <w:rPr>
                <w:sz w:val="20"/>
                <w:szCs w:val="20"/>
                <w:color w:val="auto"/>
              </w:rPr>
            </w:pPr>
            <w:r>
              <w:rPr>
                <w:rFonts w:ascii="Arial" w:cs="Arial" w:eastAsia="Arial" w:hAnsi="Arial"/>
                <w:sz w:val="18"/>
                <w:szCs w:val="18"/>
                <w:b w:val="1"/>
                <w:bCs w:val="1"/>
                <w:color w:val="auto"/>
              </w:rPr>
              <w:t>Basic and diluted loss per share attributable to Navios Holdings common</w:t>
            </w:r>
          </w:p>
        </w:tc>
        <w:tc>
          <w:tcPr>
            <w:tcW w:w="6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5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stockholders from continuing operations</w:t>
            </w:r>
          </w:p>
        </w:tc>
        <w:tc>
          <w:tcPr>
            <w:tcW w:w="6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(15.35)</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(12.10)</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(23.39)</w:t>
            </w: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Arial" w:cs="Arial" w:eastAsia="Arial" w:hAnsi="Arial"/>
                <w:sz w:val="18"/>
                <w:szCs w:val="18"/>
                <w:b w:val="1"/>
                <w:bCs w:val="1"/>
                <w:color w:val="auto"/>
              </w:rPr>
              <w:t>Basic and diluted (loss)/earnings per share attributable to Navios Holdings</w:t>
            </w: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580" w:type="dxa"/>
            <w:vAlign w:val="bottom"/>
          </w:tcPr>
          <w:p>
            <w:pPr>
              <w:ind w:left="180"/>
              <w:spacing w:after="0"/>
              <w:rPr>
                <w:sz w:val="20"/>
                <w:szCs w:val="20"/>
                <w:color w:val="auto"/>
              </w:rPr>
            </w:pPr>
            <w:r>
              <w:rPr>
                <w:rFonts w:ascii="Arial" w:cs="Arial" w:eastAsia="Arial" w:hAnsi="Arial"/>
                <w:sz w:val="18"/>
                <w:szCs w:val="18"/>
                <w:b w:val="1"/>
                <w:bCs w:val="1"/>
                <w:color w:val="auto"/>
              </w:rPr>
              <w:t>common stockholders from discontinued operations</w:t>
            </w: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(0.33)</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jc w:val="right"/>
              <w:ind w:right="41"/>
              <w:spacing w:after="0"/>
              <w:rPr>
                <w:sz w:val="20"/>
                <w:szCs w:val="20"/>
                <w:color w:val="auto"/>
              </w:rPr>
            </w:pPr>
            <w:r>
              <w:rPr>
                <w:rFonts w:ascii="Arial" w:cs="Arial" w:eastAsia="Arial" w:hAnsi="Arial"/>
                <w:sz w:val="18"/>
                <w:szCs w:val="18"/>
                <w:b w:val="1"/>
                <w:bCs w:val="1"/>
                <w:color w:val="auto"/>
              </w:rPr>
              <w:t>0.06</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580" w:type="dxa"/>
            <w:vAlign w:val="bottom"/>
            <w:shd w:val="clear" w:color="auto" w:fill="CCEEFF"/>
          </w:tcPr>
          <w:p>
            <w:pPr>
              <w:spacing w:after="0" w:line="192" w:lineRule="exact"/>
              <w:rPr>
                <w:sz w:val="20"/>
                <w:szCs w:val="20"/>
                <w:color w:val="auto"/>
              </w:rPr>
            </w:pPr>
            <w:r>
              <w:rPr>
                <w:rFonts w:ascii="Arial" w:cs="Arial" w:eastAsia="Arial" w:hAnsi="Arial"/>
                <w:sz w:val="18"/>
                <w:szCs w:val="18"/>
                <w:b w:val="1"/>
                <w:bCs w:val="1"/>
                <w:color w:val="auto"/>
              </w:rPr>
              <w:t>Basic and diluted loss per share attributable to Navios Holdings common</w:t>
            </w:r>
          </w:p>
        </w:tc>
        <w:tc>
          <w:tcPr>
            <w:tcW w:w="6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5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stockholders</w:t>
            </w:r>
          </w:p>
        </w:tc>
        <w:tc>
          <w:tcPr>
            <w:tcW w:w="6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(15.35)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(12.43)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(23.33)</w:t>
            </w: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Arial" w:cs="Arial" w:eastAsia="Arial" w:hAnsi="Arial"/>
                <w:sz w:val="18"/>
                <w:szCs w:val="18"/>
                <w:b w:val="1"/>
                <w:bCs w:val="1"/>
                <w:color w:val="auto"/>
              </w:rPr>
              <w:t>Weighted average number of shares, basic and diluted</w:t>
            </w:r>
          </w:p>
        </w:tc>
        <w:tc>
          <w:tcPr>
            <w:tcW w:w="94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20</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80" w:type="dxa"/>
            <w:vAlign w:val="bottom"/>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12,896,568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12,356,024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11,958,959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income/(loss)</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80" w:type="dxa"/>
            <w:vAlign w:val="bottom"/>
          </w:tcPr>
          <w:p>
            <w:pPr>
              <w:spacing w:after="0"/>
              <w:rPr>
                <w:sz w:val="20"/>
                <w:szCs w:val="20"/>
                <w:color w:val="auto"/>
              </w:rPr>
            </w:pPr>
            <w:r>
              <w:rPr>
                <w:rFonts w:ascii="Arial" w:cs="Arial" w:eastAsia="Arial" w:hAnsi="Arial"/>
                <w:sz w:val="18"/>
                <w:szCs w:val="18"/>
                <w:color w:val="auto"/>
              </w:rPr>
              <w:t>Other comprehensive income/(loss)</w:t>
            </w: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other comprehensive income</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Arial" w:cs="Arial" w:eastAsia="Arial" w:hAnsi="Arial"/>
                <w:sz w:val="18"/>
                <w:szCs w:val="18"/>
                <w:b w:val="1"/>
                <w:bCs w:val="1"/>
                <w:color w:val="auto"/>
              </w:rPr>
              <w:t>Total comprehensive loss</w:t>
            </w: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8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(188,605)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(184,452)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(265,511)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attributable to noncontrolling interest</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(4,356)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(7,658)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(3,207)</w:t>
            </w:r>
          </w:p>
        </w:tc>
        <w:tc>
          <w:tcPr>
            <w:tcW w:w="0" w:type="dxa"/>
            <w:vAlign w:val="bottom"/>
          </w:tcPr>
          <w:p>
            <w:pPr>
              <w:spacing w:after="0"/>
              <w:rPr>
                <w:sz w:val="1"/>
                <w:szCs w:val="1"/>
                <w:color w:val="auto"/>
              </w:rPr>
            </w:pPr>
          </w:p>
        </w:tc>
      </w:tr>
      <w:tr>
        <w:trPr>
          <w:trHeight w:val="223"/>
        </w:trPr>
        <w:tc>
          <w:tcPr>
            <w:tcW w:w="6580" w:type="dxa"/>
            <w:vAlign w:val="bottom"/>
          </w:tcPr>
          <w:p>
            <w:pPr>
              <w:spacing w:after="0"/>
              <w:rPr>
                <w:sz w:val="20"/>
                <w:szCs w:val="20"/>
                <w:color w:val="auto"/>
              </w:rPr>
            </w:pPr>
            <w:r>
              <w:rPr>
                <w:rFonts w:ascii="Arial" w:cs="Arial" w:eastAsia="Arial" w:hAnsi="Arial"/>
                <w:sz w:val="18"/>
                <w:szCs w:val="18"/>
                <w:b w:val="1"/>
                <w:bCs w:val="1"/>
                <w:color w:val="auto"/>
                <w:w w:val="95"/>
              </w:rPr>
              <w:t>Total comprehensive loss attributable to Navios Holdings common stockholders</w:t>
            </w: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(192,961</w:t>
            </w:r>
          </w:p>
        </w:tc>
        <w:tc>
          <w:tcPr>
            <w:tcW w:w="1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w w:val="74"/>
              </w:rPr>
              <w:t>)</w:t>
            </w:r>
          </w:p>
        </w:tc>
        <w:tc>
          <w:tcPr>
            <w:tcW w:w="14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(192,110</w:t>
            </w:r>
          </w:p>
        </w:tc>
        <w:tc>
          <w:tcPr>
            <w:tcW w:w="200" w:type="dxa"/>
            <w:vAlign w:val="bottom"/>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16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(268,718</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40"/>
          </w:cols>
          <w:pgMar w:left="320" w:top="459" w:right="4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NAVIOS MARITIME HOLDINGS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(Expressed in thousands of U.S. dollars )</w:t>
      </w:r>
    </w:p>
    <w:p>
      <w:pPr>
        <w:spacing w:after="0" w:line="12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8"/>
              </w:rPr>
              <w:t>Year Ended</w:t>
            </w:r>
          </w:p>
        </w:tc>
        <w:tc>
          <w:tcPr>
            <w:tcW w:w="120" w:type="dxa"/>
            <w:vAlign w:val="bottom"/>
          </w:tcPr>
          <w:p>
            <w:pPr>
              <w:spacing w:after="0"/>
              <w:rPr>
                <w:sz w:val="14"/>
                <w:szCs w:val="14"/>
                <w:color w:val="auto"/>
              </w:rPr>
            </w:pPr>
          </w:p>
        </w:tc>
        <w:tc>
          <w:tcPr>
            <w:tcW w:w="11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8"/>
              </w:rPr>
              <w:t>Year Ended</w:t>
            </w:r>
          </w:p>
        </w:tc>
        <w:tc>
          <w:tcPr>
            <w:tcW w:w="9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8"/>
              </w:rPr>
              <w:t>Year Ended</w:t>
            </w:r>
          </w:p>
        </w:tc>
        <w:tc>
          <w:tcPr>
            <w:tcW w:w="0" w:type="dxa"/>
            <w:vAlign w:val="bottom"/>
          </w:tcPr>
          <w:p>
            <w:pPr>
              <w:spacing w:after="0"/>
              <w:rPr>
                <w:sz w:val="1"/>
                <w:szCs w:val="1"/>
                <w:color w:val="auto"/>
              </w:rPr>
            </w:pPr>
          </w:p>
        </w:tc>
      </w:tr>
      <w:tr>
        <w:trPr>
          <w:trHeight w:val="148"/>
        </w:trPr>
        <w:tc>
          <w:tcPr>
            <w:tcW w:w="7080" w:type="dxa"/>
            <w:vAlign w:val="bottom"/>
          </w:tcPr>
          <w:p>
            <w:pPr>
              <w:spacing w:after="0"/>
              <w:rPr>
                <w:sz w:val="12"/>
                <w:szCs w:val="12"/>
                <w:color w:val="auto"/>
              </w:rPr>
            </w:pPr>
          </w:p>
        </w:tc>
        <w:tc>
          <w:tcPr>
            <w:tcW w:w="7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2"/>
              </w:rPr>
              <w:t>Notes</w:t>
            </w: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0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170"/>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190"/>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ind w:right="19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4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Net loss</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(188,605)</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(184,452)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(265,511)</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reconcile net loss to net cash provided by operating activities:</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7, 8</w:t>
            </w:r>
          </w:p>
        </w:tc>
        <w:tc>
          <w:tcPr>
            <w:tcW w:w="1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71,015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104,581</w:t>
            </w: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102,839</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Amortization and write-off of deferred financing costs</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7,863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8,242</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7,880</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Amortization of deferred drydock and special survey costs</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10,255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11,714</w:t>
            </w: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13,828</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Allowance for credit losses</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999</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Stock-based compensation expenses</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1,268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2,885</w:t>
            </w: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4,556</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Gain on bond and debt extinguishment, net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(7,047)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(47,430)</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(6,464)</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Income tax expense/(benefit)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2,052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1,475</w:t>
            </w: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(1,108)</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Equity in net losses of affiliate companies, net of dividends received</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9, 16</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2,709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13,722</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84,317</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Loss on loss of control/(Bargain gain upon obtaining control)</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61,741</w:t>
            </w: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(58,313)</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business/assets</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3, 7</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(9,802)</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Impairment of loan receivable from affiliate company</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6,050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Impairment loss/ loss on sale of vessels, net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7, 15</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88,367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156,106</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200,657</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b w:val="1"/>
                <w:bCs w:val="1"/>
                <w:color w:val="auto"/>
              </w:rPr>
              <w:t>Changes in operating assets and liabilities:</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(Increase)/decrease in accounts receivable</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(2,992)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5,425</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6,575</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(Increase)/decrease in inventories</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(3,641)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12,606</w:t>
            </w: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2,672</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Increase in prepaid expenses and other assets</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(5,505)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(10,753)</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(19,171)</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Decrease/(increase) in due from affiliate companies</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18,895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(1,029)</w:t>
            </w: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(15,708)</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Increase/(decrease) in accounts payable</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7,763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47,491</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(3,023)</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Increase/(decrease) in accrued expenses and other liabilities</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18,469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(15,855)</w:t>
            </w: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20,569</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Decrease in operating lease liabilities, net</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(3,985)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(3,078)</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Increase/(decrease) in due to affiliate companies</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18,626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(32,081)</w:t>
            </w: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(3,031)</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Increase/(decrease) in deferred income and cash received in advance</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(2,323)</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(1,535)</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Decrease in other long-term liabilities and deferred income</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(966)</w:t>
            </w: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(6,318)</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Payments for drydock and special survey costs</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(17,362)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(23,106)</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(7,755)</w:t>
            </w:r>
          </w:p>
        </w:tc>
        <w:tc>
          <w:tcPr>
            <w:tcW w:w="0" w:type="dxa"/>
            <w:vAlign w:val="bottom"/>
          </w:tcPr>
          <w:p>
            <w:pPr>
              <w:spacing w:after="0"/>
              <w:rPr>
                <w:sz w:val="1"/>
                <w:szCs w:val="1"/>
                <w:color w:val="auto"/>
              </w:rPr>
            </w:pPr>
          </w:p>
        </w:tc>
      </w:tr>
      <w:tr>
        <w:trPr>
          <w:trHeight w:val="230"/>
        </w:trPr>
        <w:tc>
          <w:tcPr>
            <w:tcW w:w="7080" w:type="dxa"/>
            <w:vAlign w:val="bottom"/>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25,211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96,112</w:t>
            </w:r>
          </w:p>
        </w:tc>
        <w:tc>
          <w:tcPr>
            <w:tcW w:w="3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55,637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Proceeds from sale of business</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3,000</w:t>
            </w:r>
          </w:p>
        </w:tc>
        <w:tc>
          <w:tcPr>
            <w:tcW w:w="1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w w:val="95"/>
              </w:rPr>
              <w:t>(Impact to cash from deconsolidation/sale of business)/ Cash acquired upon obtaining control</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(21,439)</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24,400</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Loan from/(to) affiliate companies</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18,629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8,000</w:t>
            </w: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(12,875)</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Dividends from affiliate companies</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5,838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4,379</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5,838</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Deposits for vessels, port terminals and other fixed assets</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(5,153)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(4,504)</w:t>
            </w: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(12,572)</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lease receivable</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150</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Proceeds from sale of asset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83,445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48,830</w:t>
            </w: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102,217</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investments in affiliate companies</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(6,305)</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Acquisition of/additions to vessels</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(96,969)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(74,294)</w:t>
            </w: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(46,395)</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equipment and other fixed assets</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(3,288)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(5,166)</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(11,444)</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Deposit for option to acquire vessels</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(2,099)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(15,415)</w:t>
            </w: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(15,234)</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by/(used in) investing activities</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592</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(56,467)</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27,863</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40"/>
          </w:cols>
          <w:pgMar w:left="320" w:top="459" w:right="4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NAVIOS MARITIME HOLDINGS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(Expressed in thousands of U.S. dollars )</w:t>
      </w:r>
    </w:p>
    <w:p>
      <w:pPr>
        <w:spacing w:after="0" w:line="12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11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8"/>
              </w:rPr>
              <w:t>Year Ended</w:t>
            </w:r>
          </w:p>
        </w:tc>
        <w:tc>
          <w:tcPr>
            <w:tcW w:w="9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8"/>
              </w:rPr>
              <w:t>Year Ended</w:t>
            </w:r>
          </w:p>
        </w:tc>
        <w:tc>
          <w:tcPr>
            <w:tcW w:w="0" w:type="dxa"/>
            <w:vAlign w:val="bottom"/>
          </w:tcPr>
          <w:p>
            <w:pPr>
              <w:spacing w:after="0"/>
              <w:rPr>
                <w:sz w:val="1"/>
                <w:szCs w:val="1"/>
                <w:color w:val="auto"/>
              </w:rPr>
            </w:pPr>
          </w:p>
        </w:tc>
      </w:tr>
      <w:tr>
        <w:trPr>
          <w:trHeight w:val="148"/>
        </w:trPr>
        <w:tc>
          <w:tcPr>
            <w:tcW w:w="706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Notes</w:t>
            </w: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0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171"/>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191"/>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FINANCING ACTIVITIES:</w:t>
            </w:r>
          </w:p>
        </w:tc>
        <w:tc>
          <w:tcPr>
            <w:tcW w:w="4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Repurchase of preferred stock</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(10,228)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Issuance of capital surplus</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Repayment of loans payable to affiliate companies</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(13,420)</w:t>
            </w:r>
          </w:p>
        </w:tc>
        <w:tc>
          <w:tcPr>
            <w:tcW w:w="1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loans payable to affiliate companies</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Proceeds from long-term loans</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81,625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129,022</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56,919</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senior notes, net of deferred financing costs</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487,504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Repayment of long-term debt and payment of principal</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(164,638)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(146,887)</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(94,298)</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Repayment/repurchase of senior notes</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(384,443)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(68,325)</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(28,796)</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Debt issuance costs</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(1,138)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(1,851)</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treasury stock</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Dividends paid to noncontrolling shareholders</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(12,256)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by/(used in) financing activities</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6,654</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5"/>
              </w:rPr>
              <w:t>(111,692)</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(66,916)</w:t>
            </w:r>
          </w:p>
        </w:tc>
        <w:tc>
          <w:tcPr>
            <w:tcW w:w="0" w:type="dxa"/>
            <w:vAlign w:val="bottom"/>
          </w:tcPr>
          <w:p>
            <w:pPr>
              <w:spacing w:after="0"/>
              <w:rPr>
                <w:sz w:val="1"/>
                <w:szCs w:val="1"/>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b w:val="1"/>
                <w:bCs w:val="1"/>
                <w:color w:val="auto"/>
              </w:rPr>
              <w:t>Increase/(decrease) in cash and cash equivalents and restricted cash</w:t>
            </w: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32,457</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(72,047)</w:t>
            </w:r>
          </w:p>
        </w:tc>
        <w:tc>
          <w:tcPr>
            <w:tcW w:w="3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16,584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and restricted cash, beginning of year</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78,727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150,774</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8"/>
              </w:rPr>
              <w:t>134,190</w:t>
            </w:r>
          </w:p>
        </w:tc>
        <w:tc>
          <w:tcPr>
            <w:tcW w:w="0" w:type="dxa"/>
            <w:vAlign w:val="bottom"/>
          </w:tcPr>
          <w:p>
            <w:pPr>
              <w:spacing w:after="0"/>
              <w:rPr>
                <w:sz w:val="1"/>
                <w:szCs w:val="1"/>
                <w:color w:val="auto"/>
              </w:rPr>
            </w:pPr>
          </w:p>
        </w:tc>
      </w:tr>
      <w:tr>
        <w:trPr>
          <w:trHeight w:val="223"/>
        </w:trPr>
        <w:tc>
          <w:tcPr>
            <w:tcW w:w="7060" w:type="dxa"/>
            <w:vAlign w:val="bottom"/>
          </w:tcPr>
          <w:p>
            <w:pPr>
              <w:spacing w:after="0"/>
              <w:rPr>
                <w:sz w:val="20"/>
                <w:szCs w:val="20"/>
                <w:color w:val="auto"/>
              </w:rPr>
            </w:pPr>
            <w:r>
              <w:rPr>
                <w:rFonts w:ascii="Arial" w:cs="Arial" w:eastAsia="Arial" w:hAnsi="Arial"/>
                <w:sz w:val="18"/>
                <w:szCs w:val="18"/>
                <w:b w:val="1"/>
                <w:bCs w:val="1"/>
                <w:color w:val="auto"/>
              </w:rPr>
              <w:t>Cash and cash equivalents and restricted cash, end of year</w:t>
            </w: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111,184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78,727</w:t>
            </w: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150,774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Cash paid for interest, net of capitalized interest</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110,454</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135,693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121,902</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income taxes</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186</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Acquisition of/additions to vessels</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Sale of vessels</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4,378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seller’s credit agreement for the construction of six liquid barges</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11,229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Accrued interest income on loan receivable from affiliate company</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(2,948)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(3,103)</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expense payable to affiliate company</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11,16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1,173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1,071</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Acquisition of vessels, port terminals and other fixed assets</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(1,662)</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Issuance of senior secured notes in exchange of preferred stock</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8,626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Loans payable to affiliate companies</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141,795</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Transfers from deposits for vessels, port terminals and other fixed assets</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49,421</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Transfers to other long-term assets</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Discontinued operations</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Net cash provided by/(used in) operating activities of discontinued operations</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9,728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(3,791)</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 of discontinued operations</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(54,808)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(24,763)</w:t>
            </w:r>
          </w:p>
        </w:tc>
        <w:tc>
          <w:tcPr>
            <w:tcW w:w="0" w:type="dxa"/>
            <w:vAlign w:val="bottom"/>
          </w:tcPr>
          <w:p>
            <w:pPr>
              <w:spacing w:after="0"/>
              <w:rPr>
                <w:sz w:val="1"/>
                <w:szCs w:val="1"/>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Net cash provided by financing activities of discontinued operations</w:t>
            </w: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42,164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23,045</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40"/>
          </w:cols>
          <w:pgMar w:left="320" w:top="459" w:right="4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NAVIOS MARITIME HOLDINGS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(Expressed in thousands of U.S. dollars — except share data)</w:t>
      </w:r>
    </w:p>
    <w:p>
      <w:pPr>
        <w:spacing w:after="0" w:line="12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00" w:type="dxa"/>
            <w:vAlign w:val="bottom"/>
          </w:tcPr>
          <w:p>
            <w:pPr>
              <w:spacing w:after="0"/>
              <w:rPr>
                <w:sz w:val="14"/>
                <w:szCs w:val="14"/>
                <w:color w:val="auto"/>
              </w:rPr>
            </w:pPr>
          </w:p>
        </w:tc>
        <w:tc>
          <w:tcPr>
            <w:tcW w:w="8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8"/>
              </w:rPr>
              <w:t>Accumulated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18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Preferred</w:t>
            </w:r>
          </w:p>
        </w:tc>
        <w:tc>
          <w:tcPr>
            <w:tcW w:w="840" w:type="dxa"/>
            <w:vAlign w:val="bottom"/>
            <w:gridSpan w:val="2"/>
            <w:vMerge w:val="continue"/>
          </w:tcPr>
          <w:p>
            <w:pPr>
              <w:spacing w:after="0"/>
              <w:rPr>
                <w:sz w:val="12"/>
                <w:szCs w:val="12"/>
                <w:color w:val="auto"/>
              </w:rPr>
            </w:pPr>
          </w:p>
        </w:tc>
        <w:tc>
          <w:tcPr>
            <w:tcW w:w="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Common</w:t>
            </w:r>
          </w:p>
        </w:tc>
        <w:tc>
          <w:tcPr>
            <w:tcW w:w="8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Other</w:t>
            </w:r>
          </w:p>
        </w:tc>
        <w:tc>
          <w:tcPr>
            <w:tcW w:w="40" w:type="dxa"/>
            <w:vAlign w:val="bottom"/>
          </w:tcPr>
          <w:p>
            <w:pPr>
              <w:spacing w:after="0"/>
              <w:rPr>
                <w:sz w:val="12"/>
                <w:szCs w:val="12"/>
                <w:color w:val="auto"/>
              </w:rPr>
            </w:pP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Navios Holdings’</w:t>
            </w:r>
          </w:p>
        </w:tc>
        <w:tc>
          <w:tcPr>
            <w:tcW w:w="10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48"/>
        </w:trPr>
        <w:tc>
          <w:tcPr>
            <w:tcW w:w="180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Preferred</w:t>
            </w:r>
          </w:p>
        </w:tc>
        <w:tc>
          <w:tcPr>
            <w:tcW w:w="720" w:type="dxa"/>
            <w:vAlign w:val="bottom"/>
            <w:gridSpan w:val="3"/>
            <w:vMerge w:val="continue"/>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Common</w:t>
            </w:r>
          </w:p>
        </w:tc>
        <w:tc>
          <w:tcPr>
            <w:tcW w:w="6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8"/>
              </w:rPr>
              <w:t>Paid-in</w:t>
            </w:r>
          </w:p>
        </w:tc>
        <w:tc>
          <w:tcPr>
            <w:tcW w:w="4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Comprehensive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10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(Deficit)/</w:t>
            </w:r>
          </w:p>
        </w:tc>
        <w:tc>
          <w:tcPr>
            <w:tcW w:w="0" w:type="dxa"/>
            <w:vAlign w:val="bottom"/>
          </w:tcPr>
          <w:p>
            <w:pPr>
              <w:spacing w:after="0"/>
              <w:rPr>
                <w:sz w:val="1"/>
                <w:szCs w:val="1"/>
                <w:color w:val="auto"/>
              </w:rPr>
            </w:pPr>
          </w:p>
        </w:tc>
      </w:tr>
      <w:tr>
        <w:trPr>
          <w:trHeight w:val="171"/>
        </w:trPr>
        <w:tc>
          <w:tcPr>
            <w:tcW w:w="180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rPr>
              <w:t>Stock</w:t>
            </w: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4"/>
                <w:szCs w:val="14"/>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8"/>
              </w:rPr>
              <w:t>Capital</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4"/>
                <w:szCs w:val="14"/>
                <w:color w:val="auto"/>
              </w:rPr>
            </w:pPr>
          </w:p>
        </w:tc>
        <w:tc>
          <w:tcPr>
            <w:tcW w:w="1060" w:type="dxa"/>
            <w:vAlign w:val="bottom"/>
            <w:gridSpan w:val="3"/>
          </w:tcPr>
          <w:p>
            <w:pPr>
              <w:ind w:left="40"/>
              <w:spacing w:after="0"/>
              <w:rPr>
                <w:sz w:val="20"/>
                <w:szCs w:val="20"/>
                <w:color w:val="auto"/>
              </w:rPr>
            </w:pPr>
            <w:r>
              <w:rPr>
                <w:rFonts w:ascii="Arial" w:cs="Arial" w:eastAsia="Arial" w:hAnsi="Arial"/>
                <w:sz w:val="14"/>
                <w:szCs w:val="14"/>
                <w:b w:val="1"/>
                <w:bCs w:val="1"/>
                <w:color w:val="auto"/>
              </w:rPr>
              <w:t>Income/(Loss)</w:t>
            </w:r>
          </w:p>
        </w:tc>
        <w:tc>
          <w:tcPr>
            <w:tcW w:w="40" w:type="dxa"/>
            <w:vAlign w:val="bottom"/>
          </w:tcPr>
          <w:p>
            <w:pPr>
              <w:spacing w:after="0"/>
              <w:rPr>
                <w:sz w:val="14"/>
                <w:szCs w:val="14"/>
                <w:color w:val="auto"/>
              </w:rPr>
            </w:pPr>
          </w:p>
        </w:tc>
        <w:tc>
          <w:tcPr>
            <w:tcW w:w="12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7"/>
              </w:rPr>
              <w:t>(Deficit)/Equity</w:t>
            </w:r>
          </w:p>
        </w:tc>
        <w:tc>
          <w:tcPr>
            <w:tcW w:w="16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Interest</w:t>
            </w:r>
          </w:p>
        </w:tc>
        <w:tc>
          <w:tcPr>
            <w:tcW w:w="12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2"/>
        </w:trPr>
        <w:tc>
          <w:tcPr>
            <w:tcW w:w="18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96"/>
              </w:rPr>
              <w:t>Balance December 31, 2017</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46,302</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480" w:type="dxa"/>
            <w:vAlign w:val="bottom"/>
            <w:tcBorders>
              <w:top w:val="single" w:sz="8" w:color="auto"/>
            </w:tcBorders>
            <w:shd w:val="clear" w:color="auto" w:fill="CCEEFF"/>
          </w:tcPr>
          <w:p>
            <w:pPr>
              <w:ind w:left="280"/>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12,038,647</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76"/>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682,116</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(166,021)</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516,098</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101,066</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617,164</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0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(268,720)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(268,720)</w:t>
            </w:r>
          </w:p>
        </w:tc>
        <w:tc>
          <w:tcPr>
            <w:tcW w:w="16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3,207</w:t>
            </w:r>
          </w:p>
        </w:tc>
        <w:tc>
          <w:tcPr>
            <w:tcW w:w="12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(265,513)</w:t>
            </w:r>
          </w:p>
        </w:tc>
        <w:tc>
          <w:tcPr>
            <w:tcW w:w="0" w:type="dxa"/>
            <w:vAlign w:val="bottom"/>
          </w:tcPr>
          <w:p>
            <w:pPr>
              <w:spacing w:after="0"/>
              <w:rPr>
                <w:sz w:val="1"/>
                <w:szCs w:val="1"/>
                <w:color w:val="auto"/>
              </w:rPr>
            </w:pPr>
          </w:p>
        </w:tc>
      </w:tr>
      <w:tr>
        <w:trPr>
          <w:trHeight w:val="130"/>
        </w:trPr>
        <w:tc>
          <w:tcPr>
            <w:tcW w:w="18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Total other comprehensive</w:t>
            </w: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income</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1800" w:type="dxa"/>
            <w:vAlign w:val="bottom"/>
          </w:tcPr>
          <w:p>
            <w:pPr>
              <w:spacing w:after="0" w:line="130" w:lineRule="exact"/>
              <w:rPr>
                <w:sz w:val="20"/>
                <w:szCs w:val="20"/>
                <w:color w:val="auto"/>
              </w:rPr>
            </w:pPr>
            <w:r>
              <w:rPr>
                <w:rFonts w:ascii="Arial" w:cs="Arial" w:eastAsia="Arial" w:hAnsi="Arial"/>
                <w:sz w:val="14"/>
                <w:szCs w:val="14"/>
                <w:color w:val="auto"/>
              </w:rPr>
              <w:t>Cancellation of shares</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00" w:type="dxa"/>
            <w:vAlign w:val="bottom"/>
          </w:tcPr>
          <w:p>
            <w:pPr>
              <w:ind w:left="140"/>
              <w:spacing w:after="0"/>
              <w:rPr>
                <w:sz w:val="20"/>
                <w:szCs w:val="20"/>
                <w:color w:val="auto"/>
              </w:rPr>
            </w:pPr>
            <w:r>
              <w:rPr>
                <w:rFonts w:ascii="Arial" w:cs="Arial" w:eastAsia="Arial" w:hAnsi="Arial"/>
                <w:sz w:val="14"/>
                <w:szCs w:val="14"/>
                <w:color w:val="auto"/>
              </w:rPr>
              <w:t>(Note 17)</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2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(656)</w:t>
            </w:r>
          </w:p>
        </w:tc>
        <w:tc>
          <w:tcPr>
            <w:tcW w:w="10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30"/>
        </w:trPr>
        <w:tc>
          <w:tcPr>
            <w:tcW w:w="18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Stock-based compensation</w:t>
            </w: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expenses (Note 17)</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805,423</w:t>
            </w: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4,556</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4,556</w:t>
            </w:r>
          </w:p>
        </w:tc>
        <w:tc>
          <w:tcPr>
            <w:tcW w:w="1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4,556</w:t>
            </w:r>
          </w:p>
        </w:tc>
        <w:tc>
          <w:tcPr>
            <w:tcW w:w="0" w:type="dxa"/>
            <w:vAlign w:val="bottom"/>
          </w:tcPr>
          <w:p>
            <w:pPr>
              <w:spacing w:after="0"/>
              <w:rPr>
                <w:sz w:val="1"/>
                <w:szCs w:val="1"/>
                <w:color w:val="auto"/>
              </w:rPr>
            </w:pPr>
          </w:p>
        </w:tc>
      </w:tr>
      <w:tr>
        <w:trPr>
          <w:trHeight w:val="130"/>
        </w:trPr>
        <w:tc>
          <w:tcPr>
            <w:tcW w:w="1800" w:type="dxa"/>
            <w:vAlign w:val="bottom"/>
          </w:tcPr>
          <w:p>
            <w:pPr>
              <w:spacing w:after="0" w:line="130" w:lineRule="exact"/>
              <w:rPr>
                <w:sz w:val="20"/>
                <w:szCs w:val="20"/>
                <w:color w:val="auto"/>
              </w:rPr>
            </w:pPr>
            <w:r>
              <w:rPr>
                <w:rFonts w:ascii="Arial" w:cs="Arial" w:eastAsia="Arial" w:hAnsi="Arial"/>
                <w:sz w:val="14"/>
                <w:szCs w:val="14"/>
                <w:color w:val="auto"/>
              </w:rPr>
              <w:t>Noncontrolling interest of</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00" w:type="dxa"/>
            <w:vAlign w:val="bottom"/>
          </w:tcPr>
          <w:p>
            <w:pPr>
              <w:ind w:left="140"/>
              <w:spacing w:after="0" w:line="149" w:lineRule="exact"/>
              <w:rPr>
                <w:sz w:val="20"/>
                <w:szCs w:val="20"/>
                <w:color w:val="auto"/>
              </w:rPr>
            </w:pPr>
            <w:r>
              <w:rPr>
                <w:rFonts w:ascii="Arial" w:cs="Arial" w:eastAsia="Arial" w:hAnsi="Arial"/>
                <w:sz w:val="14"/>
                <w:szCs w:val="14"/>
                <w:color w:val="auto"/>
              </w:rPr>
              <w:t>Navios Containers</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800" w:type="dxa"/>
            <w:vAlign w:val="bottom"/>
          </w:tcPr>
          <w:p>
            <w:pPr>
              <w:ind w:left="140"/>
              <w:spacing w:after="0"/>
              <w:rPr>
                <w:sz w:val="20"/>
                <w:szCs w:val="20"/>
                <w:color w:val="auto"/>
              </w:rPr>
            </w:pPr>
            <w:r>
              <w:rPr>
                <w:rFonts w:ascii="Arial" w:cs="Arial" w:eastAsia="Arial" w:hAnsi="Arial"/>
                <w:sz w:val="14"/>
                <w:szCs w:val="14"/>
                <w:color w:val="auto"/>
              </w:rPr>
              <w:t>(Note 3)</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165,474</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165,474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8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6"/>
              </w:rPr>
              <w:t>Balance December 31, 2018</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46,302</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6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b w:val="1"/>
                <w:bCs w:val="1"/>
                <w:color w:val="auto"/>
              </w:rPr>
              <w:t>—</w:t>
            </w: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w w:val="96"/>
              </w:rPr>
              <w:t>12,843,414</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1</w:t>
            </w:r>
          </w:p>
        </w:tc>
        <w:tc>
          <w:tcPr>
            <w:tcW w:w="1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b w:val="1"/>
                <w:bCs w:val="1"/>
                <w:color w:val="auto"/>
                <w:w w:val="76"/>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686,671</w:t>
            </w:r>
          </w:p>
        </w:tc>
        <w:tc>
          <w:tcPr>
            <w:tcW w:w="1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b w:val="1"/>
                <w:bCs w:val="1"/>
                <w:color w:val="auto"/>
              </w:rPr>
              <w:t>$</w:t>
            </w: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(434,739)</w:t>
            </w:r>
          </w:p>
        </w:tc>
        <w:tc>
          <w:tcPr>
            <w:tcW w:w="1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b w:val="1"/>
                <w:bCs w:val="1"/>
                <w:color w:val="auto"/>
                <w:w w:val="76"/>
              </w:rPr>
              <w:t>$</w:t>
            </w: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b w:val="1"/>
                <w:bCs w:val="1"/>
                <w:color w:val="auto"/>
              </w:rPr>
              <w:t>$</w:t>
            </w:r>
          </w:p>
        </w:tc>
        <w:tc>
          <w:tcPr>
            <w:tcW w:w="11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251,933</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269,747</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521,680</w:t>
            </w:r>
          </w:p>
        </w:tc>
        <w:tc>
          <w:tcPr>
            <w:tcW w:w="0" w:type="dxa"/>
            <w:vAlign w:val="bottom"/>
          </w:tcPr>
          <w:p>
            <w:pPr>
              <w:spacing w:after="0"/>
              <w:rPr>
                <w:sz w:val="1"/>
                <w:szCs w:val="1"/>
                <w:color w:val="auto"/>
              </w:rPr>
            </w:pPr>
          </w:p>
        </w:tc>
      </w:tr>
      <w:tr>
        <w:trPr>
          <w:trHeight w:val="149"/>
        </w:trPr>
        <w:tc>
          <w:tcPr>
            <w:tcW w:w="180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(192,110)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(192,110)</w:t>
            </w:r>
          </w:p>
        </w:tc>
        <w:tc>
          <w:tcPr>
            <w:tcW w:w="16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7,658</w:t>
            </w:r>
          </w:p>
        </w:tc>
        <w:tc>
          <w:tcPr>
            <w:tcW w:w="12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(184,452)</w:t>
            </w:r>
          </w:p>
        </w:tc>
        <w:tc>
          <w:tcPr>
            <w:tcW w:w="0" w:type="dxa"/>
            <w:vAlign w:val="bottom"/>
          </w:tcPr>
          <w:p>
            <w:pPr>
              <w:spacing w:after="0"/>
              <w:rPr>
                <w:sz w:val="1"/>
                <w:szCs w:val="1"/>
                <w:color w:val="auto"/>
              </w:rPr>
            </w:pPr>
          </w:p>
        </w:tc>
      </w:tr>
      <w:tr>
        <w:trPr>
          <w:trHeight w:val="130"/>
        </w:trPr>
        <w:tc>
          <w:tcPr>
            <w:tcW w:w="18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Tender offer- redemption of</w:t>
            </w: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preferred stock (Note 17)</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(19,771)</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(47,788)</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28,933</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(18,855)</w:t>
            </w:r>
          </w:p>
        </w:tc>
        <w:tc>
          <w:tcPr>
            <w:tcW w:w="1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(18,855)</w:t>
            </w:r>
          </w:p>
        </w:tc>
        <w:tc>
          <w:tcPr>
            <w:tcW w:w="0" w:type="dxa"/>
            <w:vAlign w:val="bottom"/>
          </w:tcPr>
          <w:p>
            <w:pPr>
              <w:spacing w:after="0"/>
              <w:rPr>
                <w:sz w:val="1"/>
                <w:szCs w:val="1"/>
                <w:color w:val="auto"/>
              </w:rPr>
            </w:pPr>
          </w:p>
        </w:tc>
      </w:tr>
      <w:tr>
        <w:trPr>
          <w:trHeight w:val="130"/>
        </w:trPr>
        <w:tc>
          <w:tcPr>
            <w:tcW w:w="1800" w:type="dxa"/>
            <w:vAlign w:val="bottom"/>
          </w:tcPr>
          <w:p>
            <w:pPr>
              <w:spacing w:after="0" w:line="130" w:lineRule="exact"/>
              <w:rPr>
                <w:sz w:val="20"/>
                <w:szCs w:val="20"/>
                <w:color w:val="auto"/>
              </w:rPr>
            </w:pPr>
            <w:r>
              <w:rPr>
                <w:rFonts w:ascii="Arial" w:cs="Arial" w:eastAsia="Arial" w:hAnsi="Arial"/>
                <w:sz w:val="14"/>
                <w:szCs w:val="14"/>
                <w:color w:val="auto"/>
              </w:rPr>
              <w:t>Conversion of convertible</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800" w:type="dxa"/>
            <w:vAlign w:val="bottom"/>
          </w:tcPr>
          <w:p>
            <w:pPr>
              <w:ind w:left="140"/>
              <w:spacing w:after="0" w:line="149" w:lineRule="exact"/>
              <w:rPr>
                <w:sz w:val="20"/>
                <w:szCs w:val="20"/>
                <w:color w:val="auto"/>
              </w:rPr>
            </w:pPr>
            <w:r>
              <w:rPr>
                <w:rFonts w:ascii="Arial" w:cs="Arial" w:eastAsia="Arial" w:hAnsi="Arial"/>
                <w:sz w:val="14"/>
                <w:szCs w:val="14"/>
                <w:color w:val="auto"/>
                <w:w w:val="98"/>
              </w:rPr>
              <w:t>preferred stock to common</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800" w:type="dxa"/>
            <w:vAlign w:val="bottom"/>
          </w:tcPr>
          <w:p>
            <w:pPr>
              <w:ind w:left="140"/>
              <w:spacing w:after="0"/>
              <w:rPr>
                <w:sz w:val="20"/>
                <w:szCs w:val="20"/>
                <w:color w:val="auto"/>
              </w:rPr>
            </w:pPr>
            <w:r>
              <w:rPr>
                <w:rFonts w:ascii="Arial" w:cs="Arial" w:eastAsia="Arial" w:hAnsi="Arial"/>
                <w:sz w:val="14"/>
                <w:szCs w:val="14"/>
                <w:color w:val="auto"/>
              </w:rPr>
              <w:t>stock (Note 17)</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(3,289)</w:t>
            </w:r>
          </w:p>
        </w:tc>
        <w:tc>
          <w:tcPr>
            <w:tcW w:w="100" w:type="dxa"/>
            <w:vAlign w:val="bottom"/>
          </w:tcPr>
          <w:p>
            <w:pPr>
              <w:spacing w:after="0"/>
              <w:rPr>
                <w:sz w:val="14"/>
                <w:szCs w:val="14"/>
                <w:color w:val="auto"/>
              </w:rPr>
            </w:pPr>
          </w:p>
        </w:tc>
        <w:tc>
          <w:tcPr>
            <w:tcW w:w="62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352,770</w:t>
            </w:r>
          </w:p>
        </w:tc>
        <w:tc>
          <w:tcPr>
            <w:tcW w:w="10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1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capital surplus</w:t>
            </w: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(1,123)</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30"/>
        </w:trPr>
        <w:tc>
          <w:tcPr>
            <w:tcW w:w="1800" w:type="dxa"/>
            <w:vAlign w:val="bottom"/>
          </w:tcPr>
          <w:p>
            <w:pPr>
              <w:spacing w:after="0" w:line="130" w:lineRule="exact"/>
              <w:rPr>
                <w:sz w:val="20"/>
                <w:szCs w:val="20"/>
                <w:color w:val="auto"/>
              </w:rPr>
            </w:pPr>
            <w:r>
              <w:rPr>
                <w:rFonts w:ascii="Arial" w:cs="Arial" w:eastAsia="Arial" w:hAnsi="Arial"/>
                <w:sz w:val="14"/>
                <w:szCs w:val="14"/>
                <w:color w:val="auto"/>
              </w:rPr>
              <w:t>Cancellation of shares</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00" w:type="dxa"/>
            <w:vAlign w:val="bottom"/>
          </w:tcPr>
          <w:p>
            <w:pPr>
              <w:ind w:left="140"/>
              <w:spacing w:after="0"/>
              <w:rPr>
                <w:sz w:val="20"/>
                <w:szCs w:val="20"/>
                <w:color w:val="auto"/>
              </w:rPr>
            </w:pPr>
            <w:r>
              <w:rPr>
                <w:rFonts w:ascii="Arial" w:cs="Arial" w:eastAsia="Arial" w:hAnsi="Arial"/>
                <w:sz w:val="14"/>
                <w:szCs w:val="14"/>
                <w:color w:val="auto"/>
              </w:rPr>
              <w:t>(Note 17)</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2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(3,379)</w:t>
            </w:r>
          </w:p>
        </w:tc>
        <w:tc>
          <w:tcPr>
            <w:tcW w:w="10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18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Stock-based compensation</w:t>
            </w: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expenses (Note 17)</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168,674</w:t>
            </w: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2,885</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2,885</w:t>
            </w:r>
          </w:p>
        </w:tc>
        <w:tc>
          <w:tcPr>
            <w:tcW w:w="1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2,885</w:t>
            </w:r>
          </w:p>
        </w:tc>
        <w:tc>
          <w:tcPr>
            <w:tcW w:w="0" w:type="dxa"/>
            <w:vAlign w:val="bottom"/>
          </w:tcPr>
          <w:p>
            <w:pPr>
              <w:spacing w:after="0"/>
              <w:rPr>
                <w:sz w:val="1"/>
                <w:szCs w:val="1"/>
                <w:color w:val="auto"/>
              </w:rPr>
            </w:pPr>
          </w:p>
        </w:tc>
      </w:tr>
      <w:tr>
        <w:trPr>
          <w:trHeight w:val="130"/>
        </w:trPr>
        <w:tc>
          <w:tcPr>
            <w:tcW w:w="1800" w:type="dxa"/>
            <w:vAlign w:val="bottom"/>
          </w:tcPr>
          <w:p>
            <w:pPr>
              <w:spacing w:after="0" w:line="130" w:lineRule="exact"/>
              <w:rPr>
                <w:sz w:val="20"/>
                <w:szCs w:val="20"/>
                <w:color w:val="auto"/>
              </w:rPr>
            </w:pPr>
            <w:r>
              <w:rPr>
                <w:rFonts w:ascii="Arial" w:cs="Arial" w:eastAsia="Arial" w:hAnsi="Arial"/>
                <w:sz w:val="14"/>
                <w:szCs w:val="14"/>
                <w:color w:val="auto"/>
              </w:rPr>
              <w:t>Navios Containers</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00" w:type="dxa"/>
            <w:vAlign w:val="bottom"/>
          </w:tcPr>
          <w:p>
            <w:pPr>
              <w:ind w:left="140"/>
              <w:spacing w:after="0"/>
              <w:rPr>
                <w:sz w:val="20"/>
                <w:szCs w:val="20"/>
                <w:color w:val="auto"/>
              </w:rPr>
            </w:pPr>
            <w:r>
              <w:rPr>
                <w:rFonts w:ascii="Arial" w:cs="Arial" w:eastAsia="Arial" w:hAnsi="Arial"/>
                <w:sz w:val="14"/>
                <w:szCs w:val="14"/>
                <w:color w:val="auto"/>
              </w:rPr>
              <w:t>deconsolidation</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ind w:lef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(162,230)</w:t>
            </w:r>
          </w:p>
        </w:tc>
        <w:tc>
          <w:tcPr>
            <w:tcW w:w="12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(162,230)</w:t>
            </w:r>
          </w:p>
        </w:tc>
        <w:tc>
          <w:tcPr>
            <w:tcW w:w="0" w:type="dxa"/>
            <w:vAlign w:val="bottom"/>
          </w:tcPr>
          <w:p>
            <w:pPr>
              <w:spacing w:after="0"/>
              <w:rPr>
                <w:sz w:val="1"/>
                <w:szCs w:val="1"/>
                <w:color w:val="auto"/>
              </w:rPr>
            </w:pPr>
          </w:p>
        </w:tc>
      </w:tr>
      <w:tr>
        <w:trPr>
          <w:trHeight w:val="27"/>
        </w:trPr>
        <w:tc>
          <w:tcPr>
            <w:tcW w:w="18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18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6"/>
              </w:rPr>
              <w:t>Balance December 31, 2019</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23,242</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6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b w:val="1"/>
                <w:bCs w:val="1"/>
                <w:color w:val="auto"/>
              </w:rPr>
              <w:t>—</w:t>
            </w: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w w:val="96"/>
              </w:rPr>
              <w:t>13,360,356</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1</w:t>
            </w:r>
          </w:p>
        </w:tc>
        <w:tc>
          <w:tcPr>
            <w:tcW w:w="1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b w:val="1"/>
                <w:bCs w:val="1"/>
                <w:color w:val="auto"/>
                <w:w w:val="76"/>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641,765</w:t>
            </w:r>
          </w:p>
        </w:tc>
        <w:tc>
          <w:tcPr>
            <w:tcW w:w="1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b w:val="1"/>
                <w:bCs w:val="1"/>
                <w:color w:val="auto"/>
              </w:rPr>
              <w:t>$</w:t>
            </w: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(597,916)</w:t>
            </w:r>
          </w:p>
        </w:tc>
        <w:tc>
          <w:tcPr>
            <w:tcW w:w="1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b w:val="1"/>
                <w:bCs w:val="1"/>
                <w:color w:val="auto"/>
                <w:w w:val="76"/>
              </w:rPr>
              <w:t>$</w:t>
            </w: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b w:val="1"/>
                <w:bCs w:val="1"/>
                <w:color w:val="auto"/>
              </w:rPr>
              <w:t>$</w:t>
            </w:r>
          </w:p>
        </w:tc>
        <w:tc>
          <w:tcPr>
            <w:tcW w:w="11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43,850</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115,175</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159,025</w:t>
            </w:r>
          </w:p>
        </w:tc>
        <w:tc>
          <w:tcPr>
            <w:tcW w:w="0" w:type="dxa"/>
            <w:vAlign w:val="bottom"/>
          </w:tcPr>
          <w:p>
            <w:pPr>
              <w:spacing w:after="0"/>
              <w:rPr>
                <w:sz w:val="1"/>
                <w:szCs w:val="1"/>
                <w:color w:val="auto"/>
              </w:rPr>
            </w:pPr>
          </w:p>
        </w:tc>
      </w:tr>
      <w:tr>
        <w:trPr>
          <w:trHeight w:val="149"/>
        </w:trPr>
        <w:tc>
          <w:tcPr>
            <w:tcW w:w="180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20" w:type="dxa"/>
            <w:vAlign w:val="bottom"/>
            <w:gridSpan w:val="2"/>
          </w:tcPr>
          <w:p>
            <w:pPr>
              <w:ind w:left="280"/>
              <w:spacing w:after="0" w:line="149" w:lineRule="exact"/>
              <w:rPr>
                <w:sz w:val="20"/>
                <w:szCs w:val="20"/>
                <w:color w:val="auto"/>
              </w:rPr>
            </w:pPr>
            <w:r>
              <w:rPr>
                <w:rFonts w:ascii="Arial" w:cs="Arial" w:eastAsia="Arial" w:hAnsi="Arial"/>
                <w:sz w:val="14"/>
                <w:szCs w:val="14"/>
                <w:b w:val="1"/>
                <w:bCs w:val="1"/>
                <w:color w:val="auto"/>
              </w:rPr>
              <w:t>—</w:t>
            </w: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4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(192,961)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(192,961)</w:t>
            </w:r>
          </w:p>
        </w:tc>
        <w:tc>
          <w:tcPr>
            <w:tcW w:w="16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4,356</w:t>
            </w:r>
          </w:p>
        </w:tc>
        <w:tc>
          <w:tcPr>
            <w:tcW w:w="12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(188,605)</w:t>
            </w:r>
          </w:p>
        </w:tc>
        <w:tc>
          <w:tcPr>
            <w:tcW w:w="0" w:type="dxa"/>
            <w:vAlign w:val="bottom"/>
          </w:tcPr>
          <w:p>
            <w:pPr>
              <w:spacing w:after="0"/>
              <w:rPr>
                <w:sz w:val="1"/>
                <w:szCs w:val="1"/>
                <w:color w:val="auto"/>
              </w:rPr>
            </w:pPr>
          </w:p>
        </w:tc>
      </w:tr>
      <w:tr>
        <w:trPr>
          <w:trHeight w:val="130"/>
        </w:trPr>
        <w:tc>
          <w:tcPr>
            <w:tcW w:w="18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Cancellation of shares</w:t>
            </w: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ind w:left="280"/>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(Note 17)</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(1,345)</w:t>
            </w:r>
          </w:p>
        </w:tc>
        <w:tc>
          <w:tcPr>
            <w:tcW w:w="100" w:type="dxa"/>
            <w:vAlign w:val="bottom"/>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1800" w:type="dxa"/>
            <w:vAlign w:val="bottom"/>
          </w:tcPr>
          <w:p>
            <w:pPr>
              <w:spacing w:after="0" w:line="130" w:lineRule="exact"/>
              <w:rPr>
                <w:sz w:val="20"/>
                <w:szCs w:val="20"/>
                <w:color w:val="auto"/>
              </w:rPr>
            </w:pPr>
            <w:r>
              <w:rPr>
                <w:rFonts w:ascii="Arial" w:cs="Arial" w:eastAsia="Arial" w:hAnsi="Arial"/>
                <w:sz w:val="14"/>
                <w:szCs w:val="14"/>
                <w:color w:val="auto"/>
              </w:rPr>
              <w:t>Conversion of convertible</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00" w:type="dxa"/>
            <w:vAlign w:val="bottom"/>
          </w:tcPr>
          <w:p>
            <w:pPr>
              <w:ind w:left="140"/>
              <w:spacing w:after="0" w:line="149" w:lineRule="exact"/>
              <w:rPr>
                <w:sz w:val="20"/>
                <w:szCs w:val="20"/>
                <w:color w:val="auto"/>
              </w:rPr>
            </w:pPr>
            <w:r>
              <w:rPr>
                <w:rFonts w:ascii="Arial" w:cs="Arial" w:eastAsia="Arial" w:hAnsi="Arial"/>
                <w:sz w:val="14"/>
                <w:szCs w:val="14"/>
                <w:color w:val="auto"/>
                <w:w w:val="98"/>
              </w:rPr>
              <w:t>preferred stock to common</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800" w:type="dxa"/>
            <w:vAlign w:val="bottom"/>
          </w:tcPr>
          <w:p>
            <w:pPr>
              <w:ind w:left="140"/>
              <w:spacing w:after="0"/>
              <w:rPr>
                <w:sz w:val="20"/>
                <w:szCs w:val="20"/>
                <w:color w:val="auto"/>
              </w:rPr>
            </w:pPr>
            <w:r>
              <w:rPr>
                <w:rFonts w:ascii="Arial" w:cs="Arial" w:eastAsia="Arial" w:hAnsi="Arial"/>
                <w:sz w:val="14"/>
                <w:szCs w:val="14"/>
                <w:color w:val="auto"/>
              </w:rPr>
              <w:t>stock (Note 17)</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(210)</w:t>
            </w: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22,712</w:t>
            </w:r>
          </w:p>
        </w:tc>
        <w:tc>
          <w:tcPr>
            <w:tcW w:w="10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18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common stock</w:t>
            </w: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ind w:left="280"/>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(Note 17)</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2,414,263</w:t>
            </w:r>
          </w:p>
        </w:tc>
        <w:tc>
          <w:tcPr>
            <w:tcW w:w="100" w:type="dxa"/>
            <w:vAlign w:val="bottom"/>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1800" w:type="dxa"/>
            <w:vAlign w:val="bottom"/>
          </w:tcPr>
          <w:p>
            <w:pPr>
              <w:spacing w:after="0" w:line="130" w:lineRule="exact"/>
              <w:rPr>
                <w:sz w:val="20"/>
                <w:szCs w:val="20"/>
                <w:color w:val="auto"/>
              </w:rPr>
            </w:pPr>
            <w:r>
              <w:rPr>
                <w:rFonts w:ascii="Arial" w:cs="Arial" w:eastAsia="Arial" w:hAnsi="Arial"/>
                <w:sz w:val="14"/>
                <w:szCs w:val="14"/>
                <w:color w:val="auto"/>
              </w:rPr>
              <w:t>Stock-based compensation</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00" w:type="dxa"/>
            <w:vAlign w:val="bottom"/>
          </w:tcPr>
          <w:p>
            <w:pPr>
              <w:ind w:left="140"/>
              <w:spacing w:after="0"/>
              <w:rPr>
                <w:sz w:val="20"/>
                <w:szCs w:val="20"/>
                <w:color w:val="auto"/>
              </w:rPr>
            </w:pPr>
            <w:r>
              <w:rPr>
                <w:rFonts w:ascii="Arial" w:cs="Arial" w:eastAsia="Arial" w:hAnsi="Arial"/>
                <w:sz w:val="14"/>
                <w:szCs w:val="14"/>
                <w:color w:val="auto"/>
              </w:rPr>
              <w:t>expenses (Note 17)</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85,161</w:t>
            </w:r>
          </w:p>
        </w:tc>
        <w:tc>
          <w:tcPr>
            <w:tcW w:w="10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1,268</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1,268</w:t>
            </w:r>
          </w:p>
        </w:tc>
        <w:tc>
          <w:tcPr>
            <w:tcW w:w="16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1,268</w:t>
            </w:r>
          </w:p>
        </w:tc>
        <w:tc>
          <w:tcPr>
            <w:tcW w:w="0" w:type="dxa"/>
            <w:vAlign w:val="bottom"/>
          </w:tcPr>
          <w:p>
            <w:pPr>
              <w:spacing w:after="0"/>
              <w:rPr>
                <w:sz w:val="1"/>
                <w:szCs w:val="1"/>
                <w:color w:val="auto"/>
              </w:rPr>
            </w:pPr>
          </w:p>
        </w:tc>
      </w:tr>
      <w:tr>
        <w:trPr>
          <w:trHeight w:val="130"/>
        </w:trPr>
        <w:tc>
          <w:tcPr>
            <w:tcW w:w="18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Other adjustments in</w:t>
            </w: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ind w:left="280"/>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accumulated deficit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6,285</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6,285</w:t>
            </w:r>
          </w:p>
        </w:tc>
        <w:tc>
          <w:tcPr>
            <w:tcW w:w="1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6,285</w:t>
            </w:r>
          </w:p>
        </w:tc>
        <w:tc>
          <w:tcPr>
            <w:tcW w:w="0" w:type="dxa"/>
            <w:vAlign w:val="bottom"/>
          </w:tcPr>
          <w:p>
            <w:pPr>
              <w:spacing w:after="0"/>
              <w:rPr>
                <w:sz w:val="1"/>
                <w:szCs w:val="1"/>
                <w:color w:val="auto"/>
              </w:rPr>
            </w:pPr>
          </w:p>
        </w:tc>
      </w:tr>
      <w:tr>
        <w:trPr>
          <w:trHeight w:val="130"/>
        </w:trPr>
        <w:tc>
          <w:tcPr>
            <w:tcW w:w="1800" w:type="dxa"/>
            <w:vAlign w:val="bottom"/>
          </w:tcPr>
          <w:p>
            <w:pPr>
              <w:spacing w:after="0" w:line="130" w:lineRule="exact"/>
              <w:rPr>
                <w:sz w:val="20"/>
                <w:szCs w:val="20"/>
                <w:color w:val="auto"/>
              </w:rPr>
            </w:pPr>
            <w:r>
              <w:rPr>
                <w:rFonts w:ascii="Arial" w:cs="Arial" w:eastAsia="Arial" w:hAnsi="Arial"/>
                <w:sz w:val="14"/>
                <w:szCs w:val="14"/>
                <w:color w:val="auto"/>
              </w:rPr>
              <w:t>Dividends paid to</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800" w:type="dxa"/>
            <w:vAlign w:val="bottom"/>
          </w:tcPr>
          <w:p>
            <w:pPr>
              <w:ind w:left="140"/>
              <w:spacing w:after="0" w:line="149" w:lineRule="exact"/>
              <w:rPr>
                <w:sz w:val="20"/>
                <w:szCs w:val="20"/>
                <w:color w:val="auto"/>
              </w:rPr>
            </w:pPr>
            <w:r>
              <w:rPr>
                <w:rFonts w:ascii="Arial" w:cs="Arial" w:eastAsia="Arial" w:hAnsi="Arial"/>
                <w:sz w:val="14"/>
                <w:szCs w:val="14"/>
                <w:color w:val="auto"/>
              </w:rPr>
              <w:t>noncontrolling</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w:t>
            </w:r>
          </w:p>
        </w:tc>
        <w:tc>
          <w:tcPr>
            <w:tcW w:w="140" w:type="dxa"/>
            <w:vAlign w:val="bottom"/>
            <w:vMerge w:val="restart"/>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w:t>
            </w:r>
          </w:p>
        </w:tc>
        <w:tc>
          <w:tcPr>
            <w:tcW w:w="6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800" w:type="dxa"/>
            <w:vAlign w:val="bottom"/>
          </w:tcPr>
          <w:p>
            <w:pPr>
              <w:ind w:left="140"/>
              <w:spacing w:after="0"/>
              <w:rPr>
                <w:sz w:val="20"/>
                <w:szCs w:val="20"/>
                <w:color w:val="auto"/>
              </w:rPr>
            </w:pPr>
            <w:r>
              <w:rPr>
                <w:rFonts w:ascii="Arial" w:cs="Arial" w:eastAsia="Arial" w:hAnsi="Arial"/>
                <w:sz w:val="14"/>
                <w:szCs w:val="14"/>
                <w:color w:val="auto"/>
              </w:rPr>
              <w:t>shareholders</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(12,256)</w:t>
            </w:r>
          </w:p>
        </w:tc>
        <w:tc>
          <w:tcPr>
            <w:tcW w:w="12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(12,256)</w:t>
            </w:r>
          </w:p>
        </w:tc>
        <w:tc>
          <w:tcPr>
            <w:tcW w:w="0" w:type="dxa"/>
            <w:vAlign w:val="bottom"/>
          </w:tcPr>
          <w:p>
            <w:pPr>
              <w:spacing w:after="0"/>
              <w:rPr>
                <w:sz w:val="1"/>
                <w:szCs w:val="1"/>
                <w:color w:val="auto"/>
              </w:rPr>
            </w:pPr>
          </w:p>
        </w:tc>
      </w:tr>
      <w:tr>
        <w:trPr>
          <w:trHeight w:val="27"/>
        </w:trPr>
        <w:tc>
          <w:tcPr>
            <w:tcW w:w="18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8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6"/>
              </w:rPr>
              <w:t>Balance December 31, 2020</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23,032</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6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b w:val="1"/>
                <w:bCs w:val="1"/>
                <w:color w:val="auto"/>
              </w:rPr>
              <w:t>—</w:t>
            </w: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w w:val="96"/>
              </w:rPr>
              <w:t>15,881,147</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1</w:t>
            </w:r>
          </w:p>
        </w:tc>
        <w:tc>
          <w:tcPr>
            <w:tcW w:w="1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b w:val="1"/>
                <w:bCs w:val="1"/>
                <w:color w:val="auto"/>
                <w:w w:val="76"/>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643,033</w:t>
            </w:r>
          </w:p>
        </w:tc>
        <w:tc>
          <w:tcPr>
            <w:tcW w:w="1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b w:val="1"/>
                <w:bCs w:val="1"/>
                <w:color w:val="auto"/>
              </w:rPr>
              <w:t>$</w:t>
            </w: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(784,592)</w:t>
            </w:r>
          </w:p>
        </w:tc>
        <w:tc>
          <w:tcPr>
            <w:tcW w:w="1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b w:val="1"/>
                <w:bCs w:val="1"/>
                <w:color w:val="auto"/>
                <w:w w:val="76"/>
              </w:rPr>
              <w:t>$</w:t>
            </w: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b w:val="1"/>
                <w:bCs w:val="1"/>
                <w:color w:val="auto"/>
              </w:rPr>
              <w:t>$</w:t>
            </w:r>
          </w:p>
        </w:tc>
        <w:tc>
          <w:tcPr>
            <w:tcW w:w="11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(141,558)</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107,275</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(34,283)</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40"/>
          </w:cols>
          <w:pgMar w:left="320" w:top="459" w:right="4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NAVIOS MARITIME HOLDINGS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(Expressed in thousands of U.S. dollars — except share data)</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 DESCRIPTION OF BUSINESS</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Navios Maritime Holdings Inc. (“Navios Holdings” or the “Company”) (NYSE:NM) is a global seaborne shipping and logistics company focused on the transport and transshipment of dry bulk commodities, including iron ore, coal and grain.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Navios Logistics</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Navios South American Logistics Inc. (“Navios Logistics”), a consolidated subsidiary of the Company, was incorporated under the laws of the Republic of the Marshall Islands on December 17, 2007. Navios Logistics believes it is one of the largest logistics companies in the Hidrovia region of South America, focusing on the Hidrovia river system, the main navigable river system in the region, and on cabotage trades along the eastern coast of South America. Navios Logistics is focused on providing its customers integrated transportation, storage and related services through its port facilities, its large, versatile fleet of dry and liquid cargo barges and its product tankers. Navios Logistics serves the needs of a number of growing South American industries, including mineral and grain commodity providers as well as users of refined petroleum products. As of December 31, 2020, Navios Holdings owned 63.8% of Navios Logistics’ stock.</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Navios Containers</w:t>
      </w:r>
    </w:p>
    <w:p>
      <w:pPr>
        <w:spacing w:after="0" w:line="117" w:lineRule="exact"/>
        <w:rPr>
          <w:sz w:val="20"/>
          <w:szCs w:val="20"/>
          <w:color w:val="auto"/>
        </w:rPr>
      </w:pPr>
    </w:p>
    <w:p>
      <w:pPr>
        <w:ind w:left="120" w:right="960" w:firstLine="440"/>
        <w:spacing w:after="0" w:line="277" w:lineRule="auto"/>
        <w:rPr>
          <w:sz w:val="20"/>
          <w:szCs w:val="20"/>
          <w:color w:val="auto"/>
        </w:rPr>
      </w:pPr>
      <w:r>
        <w:rPr>
          <w:rFonts w:ascii="Arial" w:cs="Arial" w:eastAsia="Arial" w:hAnsi="Arial"/>
          <w:sz w:val="18"/>
          <w:szCs w:val="18"/>
          <w:color w:val="auto"/>
        </w:rPr>
        <w:t>Navios Maritime Containers L.P. (“Navios Containers”) (NASDAQ: NMCI) is a growth-oriented international owner and operator of containerships.</w:t>
      </w:r>
    </w:p>
    <w:p>
      <w:pPr>
        <w:spacing w:after="0" w:line="170"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On November 30, 2018, Navios Maritime Containers Inc. was converted into a limited partnership named Navios Containers. Upon this conversion, Navios Containers commenced trading its common units on the Nasdaq Global Select Market (or “NASDAQ”) on December 10, 2018. In connection with the conversion, Navios Maritime Containers GP LLC, a Republic of the Marshall Islands limited liability company and wholly-owned subsidiary of Navios Holdings, was admitted as Navios Containers’ general partner. As of that date, as a result of holding the general partner interest, which had the power to govern the financial and operating policies of Navios Containers, Navios Holdings obtained control over Navios Containers and consequently the results of operations of Navios Containers were consolidated under Navios Holdings. Following the sale of Navios Containers’ general partnership interest effected on August 30, 2019, referred to in Note 3, Navios Holdings lost control and deconsolidated Navios Containers from that date onwards. The results of operations of Navios Containers for the period consolidated under Navios Holdings have been reported as discontinued operations for the periods from January 1, 2019 to August 30, 2019 and from November 30, 2018 to December 31, 2018.</w:t>
      </w:r>
    </w:p>
    <w:p>
      <w:pPr>
        <w:spacing w:after="0" w:line="166"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As a result, from August 30, 2019, Navios Containers is not a controlled subsidiary of the Company and the investment in Navios Containers is accounted for under the equity method due to Navios Holdings’ significant influence over Navios Containers.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2020, Navios Holdings had a 3.9% ownership interest in Navios Containers.</w:t>
      </w:r>
    </w:p>
    <w:p>
      <w:pPr>
        <w:spacing w:after="0" w:line="225"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Following the acquisition of Navios Containers by Navios Partners, which was completed on March 31, 2021, Navios Containers’ common units were no longer listed for trading on NASDAQ. (Refer to Note 9).</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Navios Partners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Navios Maritime Partners L.P. (“Navios Partners”) (NYSE:NMM) is an international owner and operator of dry cargo vessels and is engaged in seaborne transportation services of a wide range of dry cargo commodities including iron ore, coal, grain, fertilizer and also containerships, chartering its vessels under medium to longer-term charters.</w:t>
      </w:r>
    </w:p>
    <w:p>
      <w:pPr>
        <w:spacing w:after="0" w:line="184" w:lineRule="exact"/>
        <w:rPr>
          <w:sz w:val="20"/>
          <w:szCs w:val="20"/>
          <w:color w:val="auto"/>
        </w:rPr>
      </w:pPr>
    </w:p>
    <w:p>
      <w:pPr>
        <w:ind w:left="120" w:right="340" w:firstLine="440"/>
        <w:spacing w:after="0" w:line="308" w:lineRule="auto"/>
        <w:rPr>
          <w:sz w:val="20"/>
          <w:szCs w:val="20"/>
          <w:color w:val="auto"/>
        </w:rPr>
      </w:pPr>
      <w:r>
        <w:rPr>
          <w:rFonts w:ascii="Arial" w:cs="Arial" w:eastAsia="Arial" w:hAnsi="Arial"/>
          <w:sz w:val="17"/>
          <w:szCs w:val="17"/>
          <w:color w:val="auto"/>
        </w:rPr>
        <w:t>As of December 31, 2020 and following the sale of Navios Partners’ general partnership interest, referred to in Note 3, Navios Holdings had a 17.9% ownership interest in Navios Partners. Incentive distribution rights are held by a consolidated subsidiary of Navios Holdings.</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March 31, 2021, Navios Partners completed the acquisition of Navios Containers (Refer to Note 9).</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Navios Acquisition</w:t>
      </w:r>
    </w:p>
    <w:p>
      <w:pPr>
        <w:spacing w:after="0" w:line="117"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Navios Maritime Acquisition Corporation (“Navios Acquisition”) (NYSE: NNA), is an owner and operator of tanker vessels focusing on the transportation of petroleum products (clean and dirty) and bulk liquid chemicals.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2020, Navios Holdings owned a 29.5% economic interest in Navios Acquisition.</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Navios Europe I</w:t>
      </w:r>
    </w:p>
    <w:p>
      <w:pPr>
        <w:spacing w:after="0" w:line="117"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On October 9, 2013, Navios Holdings, Navios Acquisition and Navios Partners established Navios Europe Inc. (“Navios Europe I”) and had economic interests of 47.5%, 47.5% and 5.0%, respectively. Navios Europe I was engaged in the marine transportation industry through the ownership of five tanker and five containership vessels. Effective November 2014, Navios Holdings, Navios Acquisition and Navios Partners had voting interests of 50%, 50% and 0%, respectively. Navios Europe I was liquidated in December 2019 (Refer to Note 16).</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20"/>
          </w:cols>
          <w:pgMar w:left="320" w:top="459" w:right="459" w:bottom="862"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NAVIOS MARITIME HOLDINGS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(Expressed in thousands of U.S. dollars — except share data)</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Navios Europe II</w:t>
      </w:r>
    </w:p>
    <w:p>
      <w:pPr>
        <w:spacing w:after="0" w:line="117"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On February 18, 2015, Navios Holdings, Navios Acquisition and Navios Partners established Navios Europe (II) Inc. (“Navios Europe II”) and had economic interests of 47.5%, 47.5% and 5.0%, respectively and voting interests of 50%, 50% and 0%, respectively. Navios Europe II was engaged in the marine transportation industry through the ownership of seven dry bulk and seven containership vessels. On April 21, 2020, Navios Europe II and the lenders agreed to fully release the liabilities under the Junior Loan II for $5,000. The structure was liquidated in June 2020 (Refer to Note 16).</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35" w:lineRule="exact"/>
        <w:rPr>
          <w:sz w:val="20"/>
          <w:szCs w:val="20"/>
          <w:color w:val="auto"/>
        </w:rPr>
      </w:pPr>
    </w:p>
    <w:p>
      <w:pPr>
        <w:ind w:left="540" w:right="460" w:hanging="424"/>
        <w:spacing w:after="0" w:line="277" w:lineRule="auto"/>
        <w:tabs>
          <w:tab w:leader="none" w:pos="540" w:val="left"/>
        </w:tabs>
        <w:numPr>
          <w:ilvl w:val="0"/>
          <w:numId w:val="116"/>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Basis of presentation: </w:t>
      </w:r>
      <w:r>
        <w:rPr>
          <w:rFonts w:ascii="Arial" w:cs="Arial" w:eastAsia="Arial" w:hAnsi="Arial"/>
          <w:sz w:val="18"/>
          <w:szCs w:val="18"/>
          <w:color w:val="auto"/>
        </w:rPr>
        <w:t>The accompanying consolidated financial statements are prepared in accordance with accounting principles generally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accepted in the United States of America (U.S. GAAP).</w:t>
      </w:r>
    </w:p>
    <w:p>
      <w:pPr>
        <w:spacing w:after="0" w:line="278" w:lineRule="exact"/>
        <w:rPr>
          <w:rFonts w:ascii="Arial" w:cs="Arial" w:eastAsia="Arial" w:hAnsi="Arial"/>
          <w:sz w:val="18"/>
          <w:szCs w:val="18"/>
          <w:i w:val="1"/>
          <w:iCs w:val="1"/>
          <w:color w:val="auto"/>
        </w:rPr>
      </w:pPr>
    </w:p>
    <w:p>
      <w:pPr>
        <w:ind w:left="560"/>
        <w:spacing w:after="0"/>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Going concern</w:t>
      </w:r>
    </w:p>
    <w:p>
      <w:pPr>
        <w:spacing w:after="0" w:line="117" w:lineRule="exact"/>
        <w:rPr>
          <w:rFonts w:ascii="Arial" w:cs="Arial" w:eastAsia="Arial" w:hAnsi="Arial"/>
          <w:sz w:val="18"/>
          <w:szCs w:val="18"/>
          <w:i w:val="1"/>
          <w:iCs w:val="1"/>
          <w:color w:val="auto"/>
        </w:rPr>
      </w:pPr>
    </w:p>
    <w:p>
      <w:pPr>
        <w:ind w:left="560"/>
        <w:spacing w:after="0"/>
        <w:rPr>
          <w:rFonts w:ascii="Arial" w:cs="Arial" w:eastAsia="Arial" w:hAnsi="Arial"/>
          <w:sz w:val="18"/>
          <w:szCs w:val="18"/>
          <w:i w:val="1"/>
          <w:iCs w:val="1"/>
          <w:color w:val="auto"/>
        </w:rPr>
      </w:pPr>
      <w:r>
        <w:rPr>
          <w:rFonts w:ascii="Arial" w:cs="Arial" w:eastAsia="Arial" w:hAnsi="Arial"/>
          <w:sz w:val="18"/>
          <w:szCs w:val="18"/>
          <w:color w:val="auto"/>
        </w:rPr>
        <w:t>The consolidated financial statements have been prepared on a going concern basis.</w:t>
      </w:r>
    </w:p>
    <w:p>
      <w:pPr>
        <w:spacing w:after="0" w:line="117" w:lineRule="exact"/>
        <w:rPr>
          <w:rFonts w:ascii="Arial" w:cs="Arial" w:eastAsia="Arial" w:hAnsi="Arial"/>
          <w:sz w:val="18"/>
          <w:szCs w:val="18"/>
          <w:i w:val="1"/>
          <w:iCs w:val="1"/>
          <w:color w:val="auto"/>
        </w:rPr>
      </w:pPr>
    </w:p>
    <w:p>
      <w:pPr>
        <w:ind w:left="560" w:right="40"/>
        <w:spacing w:after="0" w:line="289" w:lineRule="auto"/>
        <w:rPr>
          <w:rFonts w:ascii="Arial" w:cs="Arial" w:eastAsia="Arial" w:hAnsi="Arial"/>
          <w:sz w:val="18"/>
          <w:szCs w:val="18"/>
          <w:i w:val="1"/>
          <w:iCs w:val="1"/>
          <w:color w:val="auto"/>
        </w:rPr>
      </w:pPr>
      <w:r>
        <w:rPr>
          <w:rFonts w:ascii="Arial" w:cs="Arial" w:eastAsia="Arial" w:hAnsi="Arial"/>
          <w:sz w:val="16"/>
          <w:szCs w:val="16"/>
          <w:color w:val="auto"/>
        </w:rPr>
        <w:t>As of December 31, 2020, Navios Holdings’ current assets totaled $194,857, while current liabilities excluding operating lease liabilities, current portion totaled $511,367, resulting in a negative working capital position of $316,510, primarily related to the classification as current of our $305,000 of 11.25% Senior Secured Notes (the “2022 Senior Secured Notes”) and balloon payments. Under the terms of the 2022 Senior Secured Notes, Navios Holdings has an obligation to make a springing maturity offer in September 2021 to repurchase those notes at par unless certain conditions relating to the refinancing of our 7.375% First Priority Ship Mortgage Notes (the “2022 Notes”) are met. In October 2020, Navios Holdings entered into a supplemental indenture (the “Sixth Supplemental Indenture” – see also Note 11) which, among other things, eliminates Navios Holdings’ obligation to make a springing maturity offer subject to the occurrence of a Qualified IPO (as defined in the Sixth Supplemental Indenture) of Navios Logistics. There can be no assurance that a Qualified IPO will occur prior to the springing maturity date, or at all. Furthermore, we had $476,822 of 2022 Notes outstanding as of December 31, 2020 maturing in January 2022.</w:t>
      </w:r>
    </w:p>
    <w:p>
      <w:pPr>
        <w:spacing w:after="0" w:line="58" w:lineRule="exact"/>
        <w:rPr>
          <w:rFonts w:ascii="Arial" w:cs="Arial" w:eastAsia="Arial" w:hAnsi="Arial"/>
          <w:sz w:val="18"/>
          <w:szCs w:val="18"/>
          <w:i w:val="1"/>
          <w:iCs w:val="1"/>
          <w:color w:val="auto"/>
        </w:rPr>
      </w:pPr>
    </w:p>
    <w:p>
      <w:pPr>
        <w:ind w:left="560"/>
        <w:spacing w:after="0" w:line="290" w:lineRule="auto"/>
        <w:rPr>
          <w:rFonts w:ascii="Arial" w:cs="Arial" w:eastAsia="Arial" w:hAnsi="Arial"/>
          <w:sz w:val="18"/>
          <w:szCs w:val="18"/>
          <w:i w:val="1"/>
          <w:iCs w:val="1"/>
          <w:color w:val="auto"/>
        </w:rPr>
      </w:pPr>
      <w:r>
        <w:rPr>
          <w:rFonts w:ascii="Arial" w:cs="Arial" w:eastAsia="Arial" w:hAnsi="Arial"/>
          <w:sz w:val="16"/>
          <w:szCs w:val="16"/>
          <w:color w:val="auto"/>
        </w:rPr>
        <w:t>Although Navios Holdings is currently attempting to address these upcoming maturities and create additional liquidity to fund working capital requirements through a Qualified IPO of Navios Logistics, the sale of assets and refinancing plans, there can be no assurance it will be successful in such attempts or that any such attempts will be consummated on terms satisfactory to us, or at all. Therefore, there is substantial doubt about the Company’s ability to continue as a going concern for the 12-month period from the date of issuance of these consolidated financial statements. In the meantime, Navios Holdings’ internal forecasts and projections indicate that the Company will generate sufficient cash to make the required principal and interest payments on its borrowings (excluding the above upcoming maturities) and provide for the normal working capital requirements of the business for a period of at least 12 months from the date of issuance of these consolidated financial statements. The consolidated financial statements do not include any adjustments that might result from the outcome of these uncertainties.</w:t>
      </w:r>
    </w:p>
    <w:p>
      <w:pPr>
        <w:spacing w:after="0" w:line="273" w:lineRule="exact"/>
        <w:rPr>
          <w:rFonts w:ascii="Arial" w:cs="Arial" w:eastAsia="Arial" w:hAnsi="Arial"/>
          <w:sz w:val="18"/>
          <w:szCs w:val="18"/>
          <w:i w:val="1"/>
          <w:iCs w:val="1"/>
          <w:color w:val="auto"/>
        </w:rPr>
      </w:pPr>
    </w:p>
    <w:p>
      <w:pPr>
        <w:ind w:left="560" w:right="8080"/>
        <w:spacing w:after="0" w:line="450" w:lineRule="auto"/>
        <w:rPr>
          <w:rFonts w:ascii="Arial" w:cs="Arial" w:eastAsia="Arial" w:hAnsi="Arial"/>
          <w:sz w:val="18"/>
          <w:szCs w:val="18"/>
          <w:i w:val="1"/>
          <w:iCs w:val="1"/>
          <w:color w:val="auto"/>
        </w:rPr>
      </w:pPr>
      <w:r>
        <w:rPr>
          <w:rFonts w:ascii="Arial" w:cs="Arial" w:eastAsia="Arial" w:hAnsi="Arial"/>
          <w:sz w:val="15"/>
          <w:szCs w:val="15"/>
          <w:b w:val="1"/>
          <w:bCs w:val="1"/>
          <w:i w:val="1"/>
          <w:iCs w:val="1"/>
          <w:color w:val="auto"/>
        </w:rPr>
        <w:t xml:space="preserve">Change in accounting principles: </w:t>
      </w:r>
      <w:r>
        <w:rPr>
          <w:rFonts w:ascii="Arial" w:cs="Arial" w:eastAsia="Arial" w:hAnsi="Arial"/>
          <w:sz w:val="15"/>
          <w:szCs w:val="15"/>
          <w:color w:val="auto"/>
        </w:rPr>
        <w:t>ASU 2016-02 Leases, ASC 842</w:t>
      </w:r>
    </w:p>
    <w:p>
      <w:pPr>
        <w:spacing w:after="0" w:line="1" w:lineRule="exact"/>
        <w:rPr>
          <w:rFonts w:ascii="Arial" w:cs="Arial" w:eastAsia="Arial" w:hAnsi="Arial"/>
          <w:sz w:val="18"/>
          <w:szCs w:val="18"/>
          <w:i w:val="1"/>
          <w:iCs w:val="1"/>
          <w:color w:val="auto"/>
        </w:rPr>
      </w:pPr>
    </w:p>
    <w:p>
      <w:pPr>
        <w:ind w:left="560" w:right="180"/>
        <w:spacing w:after="0" w:line="291" w:lineRule="auto"/>
        <w:rPr>
          <w:rFonts w:ascii="Arial" w:cs="Arial" w:eastAsia="Arial" w:hAnsi="Arial"/>
          <w:sz w:val="18"/>
          <w:szCs w:val="18"/>
          <w:i w:val="1"/>
          <w:iCs w:val="1"/>
          <w:color w:val="auto"/>
        </w:rPr>
      </w:pPr>
      <w:r>
        <w:rPr>
          <w:rFonts w:ascii="Arial" w:cs="Arial" w:eastAsia="Arial" w:hAnsi="Arial"/>
          <w:sz w:val="16"/>
          <w:szCs w:val="16"/>
          <w:color w:val="auto"/>
        </w:rPr>
        <w:t>On January 1, 2019, the Company adopted the requirements of Accounting Standards Update (“ASU”) 2016-02 “Leases” as amended (Accounting Standards Codification (“ASC”) 842 or the “new lease standard”). ASC 842 increases transparency and comparability among organizations by requiring a lessee to record right-of-use assets and related lease liabilities on its balance sheet when it commences an operating lease. The Company adopted ASC 842 using the modified retrospective transition method. Under this method, the cumulative effect of applying the new lease standard is recorded with no restatement of any comparative prior periods presented. As provided by ASC 842, the Company elected to record the required cumulative effect adjustments to the opening balance sheet in the period of adoption rather than in the earliest comparative period presented. As a result, prior periods as reported by the Company have not been impacted by the adoption of ASC 842.</w:t>
      </w:r>
    </w:p>
    <w:p>
      <w:pPr>
        <w:spacing w:after="0" w:line="58" w:lineRule="exact"/>
        <w:rPr>
          <w:rFonts w:ascii="Arial" w:cs="Arial" w:eastAsia="Arial" w:hAnsi="Arial"/>
          <w:sz w:val="18"/>
          <w:szCs w:val="18"/>
          <w:i w:val="1"/>
          <w:iCs w:val="1"/>
          <w:color w:val="auto"/>
        </w:rPr>
      </w:pPr>
    </w:p>
    <w:p>
      <w:pPr>
        <w:jc w:val="both"/>
        <w:ind w:left="560" w:right="60"/>
        <w:spacing w:after="0" w:line="286" w:lineRule="auto"/>
        <w:rPr>
          <w:rFonts w:ascii="Arial" w:cs="Arial" w:eastAsia="Arial" w:hAnsi="Arial"/>
          <w:sz w:val="18"/>
          <w:szCs w:val="18"/>
          <w:i w:val="1"/>
          <w:iCs w:val="1"/>
          <w:color w:val="auto"/>
        </w:rPr>
      </w:pPr>
      <w:r>
        <w:rPr>
          <w:rFonts w:ascii="Arial" w:cs="Arial" w:eastAsia="Arial" w:hAnsi="Arial"/>
          <w:sz w:val="17"/>
          <w:szCs w:val="17"/>
          <w:color w:val="auto"/>
        </w:rPr>
        <w:t>In connection with its adoption of ASC 842, the Company elected the “package of 3” practical expedients permitted under the transition guidance based on which the Company is allowed to not (i) reassess whether any expired or existing contracts are considered or contain leases; (ii) reassess the lease classification for any expired or existing leases; and (iii) reassess initial direct costs for any existing leases.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20"/>
          </w:cols>
          <w:pgMar w:left="320" w:top="459" w:right="4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NAVIOS MARITIME HOLDINGS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(Expressed in thousands of U.S. dollars — except share data)</w:t>
      </w:r>
    </w:p>
    <w:p>
      <w:pPr>
        <w:spacing w:after="0" w:line="143" w:lineRule="exact"/>
        <w:rPr>
          <w:sz w:val="20"/>
          <w:szCs w:val="20"/>
          <w:color w:val="auto"/>
        </w:rPr>
      </w:pPr>
    </w:p>
    <w:p>
      <w:pPr>
        <w:ind w:left="560" w:right="460"/>
        <w:spacing w:after="0" w:line="263" w:lineRule="auto"/>
        <w:rPr>
          <w:sz w:val="20"/>
          <w:szCs w:val="20"/>
          <w:color w:val="auto"/>
        </w:rPr>
      </w:pPr>
      <w:r>
        <w:rPr>
          <w:rFonts w:ascii="Arial" w:cs="Arial" w:eastAsia="Arial" w:hAnsi="Arial"/>
          <w:sz w:val="18"/>
          <w:szCs w:val="18"/>
          <w:color w:val="auto"/>
        </w:rPr>
        <w:t>Additionally, the Company elected the practical expedient allowed under the transition guidance of ASC 842 to not separate the lease and non-lease components related to a lease contract and to account for them as a single lease component for the purposes of the recognition and measurement requirements of ASC 842.</w:t>
      </w:r>
    </w:p>
    <w:p>
      <w:pPr>
        <w:spacing w:after="0" w:line="76" w:lineRule="exact"/>
        <w:rPr>
          <w:sz w:val="20"/>
          <w:szCs w:val="20"/>
          <w:color w:val="auto"/>
        </w:rPr>
      </w:pPr>
    </w:p>
    <w:p>
      <w:pPr>
        <w:ind w:left="560" w:right="80"/>
        <w:spacing w:after="0" w:line="263" w:lineRule="auto"/>
        <w:rPr>
          <w:sz w:val="20"/>
          <w:szCs w:val="20"/>
          <w:color w:val="auto"/>
        </w:rPr>
      </w:pPr>
      <w:r>
        <w:rPr>
          <w:rFonts w:ascii="Arial" w:cs="Arial" w:eastAsia="Arial" w:hAnsi="Arial"/>
          <w:sz w:val="18"/>
          <w:szCs w:val="18"/>
          <w:color w:val="auto"/>
        </w:rPr>
        <w:t>As required by ASC 842, the Company’s disclosures around its leasing activities have been significantly expanded to enable users of our consolidated financial statements to assess the amount, timing and uncertainty of cash flows arising from lease arrangements. Please refer to Note 15.</w:t>
      </w:r>
    </w:p>
    <w:p>
      <w:pPr>
        <w:spacing w:after="0" w:line="211" w:lineRule="exact"/>
        <w:rPr>
          <w:sz w:val="20"/>
          <w:szCs w:val="20"/>
          <w:color w:val="auto"/>
        </w:rPr>
      </w:pPr>
    </w:p>
    <w:p>
      <w:pPr>
        <w:ind w:left="540" w:right="80" w:hanging="424"/>
        <w:spacing w:after="0" w:line="263" w:lineRule="auto"/>
        <w:tabs>
          <w:tab w:leader="none" w:pos="540" w:val="left"/>
        </w:tabs>
        <w:numPr>
          <w:ilvl w:val="0"/>
          <w:numId w:val="1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Principles of consolidation: </w:t>
      </w:r>
      <w:r>
        <w:rPr>
          <w:rFonts w:ascii="Arial" w:cs="Arial" w:eastAsia="Arial" w:hAnsi="Arial"/>
          <w:sz w:val="18"/>
          <w:szCs w:val="18"/>
          <w:color w:val="auto"/>
        </w:rPr>
        <w:t>The accompanying consolidated financial statements include the accounts of Navios Holdings, a Marshall Islands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corporation, and both its majority and wholly-owned subsidiaries. All significant intercompany balances and transactions have been eliminated in the consolidated statements.</w:t>
      </w:r>
    </w:p>
    <w:p>
      <w:pPr>
        <w:spacing w:after="0" w:line="75" w:lineRule="exact"/>
        <w:rPr>
          <w:rFonts w:ascii="Arial" w:cs="Arial" w:eastAsia="Arial" w:hAnsi="Arial"/>
          <w:sz w:val="18"/>
          <w:szCs w:val="18"/>
          <w:b w:val="1"/>
          <w:bCs w:val="1"/>
          <w:i w:val="1"/>
          <w:iCs w:val="1"/>
          <w:color w:val="auto"/>
        </w:rPr>
      </w:pPr>
    </w:p>
    <w:p>
      <w:pPr>
        <w:ind w:left="560"/>
        <w:spacing w:after="0" w:line="272" w:lineRule="auto"/>
        <w:rPr>
          <w:rFonts w:ascii="Arial" w:cs="Arial" w:eastAsia="Arial" w:hAnsi="Arial"/>
          <w:sz w:val="18"/>
          <w:szCs w:val="18"/>
          <w:b w:val="1"/>
          <w:bCs w:val="1"/>
          <w:i w:val="1"/>
          <w:iCs w:val="1"/>
          <w:color w:val="auto"/>
        </w:rPr>
      </w:pPr>
      <w:r>
        <w:rPr>
          <w:rFonts w:ascii="Arial" w:cs="Arial" w:eastAsia="Arial" w:hAnsi="Arial"/>
          <w:sz w:val="17"/>
          <w:szCs w:val="17"/>
          <w:color w:val="auto"/>
        </w:rPr>
        <w:t>The Company also consolidates entities that are determined to be variable interest entities (“VIE”) as defined in the accounting guidance, if the Company determines that it is the primary beneficiary. A VIE is defined as a legal entity where either (i) equity interest holders as a group lack the characteristics of a controlling financial interest, including decision making ability and an interest in the entity’s residual risks and rewards, or (ii) the equity interest holders have not provided sufficient equity investment to permit the entity to finance its activities without additional subordinated financial support, or (iii) the voting rights of some investors are not proportional to their obligations to absorb the expected losses of the entity, their rights to receive the expected residual returns of the entity, or both and substantially all of the entity’s activities either involve or are conducted on behalf of an investor that has disproportionately few voting rights.</w:t>
      </w:r>
    </w:p>
    <w:p>
      <w:pPr>
        <w:spacing w:after="0" w:line="69" w:lineRule="exact"/>
        <w:rPr>
          <w:sz w:val="20"/>
          <w:szCs w:val="20"/>
          <w:color w:val="auto"/>
        </w:rPr>
      </w:pPr>
    </w:p>
    <w:p>
      <w:pPr>
        <w:ind w:left="560" w:right="80"/>
        <w:spacing w:after="0" w:line="293" w:lineRule="auto"/>
        <w:rPr>
          <w:sz w:val="20"/>
          <w:szCs w:val="20"/>
          <w:color w:val="auto"/>
        </w:rPr>
      </w:pPr>
      <w:r>
        <w:rPr>
          <w:rFonts w:ascii="Arial" w:cs="Arial" w:eastAsia="Arial" w:hAnsi="Arial"/>
          <w:sz w:val="16"/>
          <w:szCs w:val="16"/>
          <w:b w:val="1"/>
          <w:bCs w:val="1"/>
          <w:i w:val="1"/>
          <w:iCs w:val="1"/>
          <w:color w:val="auto"/>
        </w:rPr>
        <w:t xml:space="preserve">Subsidiaries: </w:t>
      </w:r>
      <w:r>
        <w:rPr>
          <w:rFonts w:ascii="Arial" w:cs="Arial" w:eastAsia="Arial" w:hAnsi="Arial"/>
          <w:sz w:val="16"/>
          <w:szCs w:val="16"/>
          <w:color w:val="auto"/>
        </w:rPr>
        <w:t>Subsidiaries are those entities in which the Company has an interest of more than one-half of the voting rights or otherwise has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power to govern the financial and operating policies of the entity. The acquisition method of accounting is used to account for the acquisition of subsidiaries. The cost of an acquisition is measured as the fair value of the assets given up, shares issued or liabilities undertaken at the date of acquisition. The excess of the cost of acquisition over the fair value of the net assets acquired and liabilities assumed is recorded as goodwill. All subsidiaries included in the consolidated financial statements are 100% owned, except for Navios Logistics and Navios Containers (for the period consolidated from November 30, 2018 to August 30, 2019), which are 63.8% and 3.7% owned by Navios Holdings, respectively.</w:t>
      </w:r>
    </w:p>
    <w:p>
      <w:pPr>
        <w:spacing w:after="0" w:line="56" w:lineRule="exact"/>
        <w:rPr>
          <w:sz w:val="20"/>
          <w:szCs w:val="20"/>
          <w:color w:val="auto"/>
        </w:rPr>
      </w:pPr>
    </w:p>
    <w:p>
      <w:pPr>
        <w:ind w:left="560" w:right="60"/>
        <w:spacing w:after="0" w:line="293" w:lineRule="auto"/>
        <w:rPr>
          <w:sz w:val="20"/>
          <w:szCs w:val="20"/>
          <w:color w:val="auto"/>
        </w:rPr>
      </w:pPr>
      <w:r>
        <w:rPr>
          <w:rFonts w:ascii="Arial" w:cs="Arial" w:eastAsia="Arial" w:hAnsi="Arial"/>
          <w:sz w:val="16"/>
          <w:szCs w:val="16"/>
          <w:b w:val="1"/>
          <w:bCs w:val="1"/>
          <w:i w:val="1"/>
          <w:iCs w:val="1"/>
          <w:color w:val="auto"/>
        </w:rPr>
        <w:t xml:space="preserve">Discontinued Operations: </w:t>
      </w:r>
      <w:r>
        <w:rPr>
          <w:rFonts w:ascii="Arial" w:cs="Arial" w:eastAsia="Arial" w:hAnsi="Arial"/>
          <w:sz w:val="16"/>
          <w:szCs w:val="16"/>
          <w:color w:val="auto"/>
        </w:rPr>
        <w:t>Discontinued operations comprise the operations of a disposed component of an entity or a group of components of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entity if the disposal represents a strategic shift that has (or will have) a major effect on an entity’s operations and financial results. The Company determined that the disposal of Navios Containers’ general partnership interest effected on August 30, 2019, referred to in Note 3, which resulted in loss of control and deconsolidation of Navios Containers from that date onwards, represented a strategic shift in Company’s business due to the fact that the Containers Business represented a reportable segment of the Company and has, therefore, recorded the results of its Containers Business operations as discontinued operations in the consolidated statements of comprehensive (loss)/ income for all the periods presented.</w:t>
      </w:r>
    </w:p>
    <w:p>
      <w:pPr>
        <w:spacing w:after="0" w:line="56" w:lineRule="exact"/>
        <w:rPr>
          <w:sz w:val="20"/>
          <w:szCs w:val="20"/>
          <w:color w:val="auto"/>
        </w:rPr>
      </w:pPr>
    </w:p>
    <w:p>
      <w:pPr>
        <w:ind w:left="560" w:right="40"/>
        <w:spacing w:after="0" w:line="290" w:lineRule="auto"/>
        <w:rPr>
          <w:sz w:val="20"/>
          <w:szCs w:val="20"/>
          <w:color w:val="auto"/>
        </w:rPr>
      </w:pPr>
      <w:r>
        <w:rPr>
          <w:rFonts w:ascii="Arial" w:cs="Arial" w:eastAsia="Arial" w:hAnsi="Arial"/>
          <w:sz w:val="16"/>
          <w:szCs w:val="16"/>
          <w:b w:val="1"/>
          <w:bCs w:val="1"/>
          <w:i w:val="1"/>
          <w:iCs w:val="1"/>
          <w:color w:val="auto"/>
        </w:rPr>
        <w:t xml:space="preserve">Investments in Affiliate Companies: </w:t>
      </w:r>
      <w:r>
        <w:rPr>
          <w:rFonts w:ascii="Arial" w:cs="Arial" w:eastAsia="Arial" w:hAnsi="Arial"/>
          <w:sz w:val="16"/>
          <w:szCs w:val="16"/>
          <w:color w:val="auto"/>
        </w:rPr>
        <w:t>Affiliate companies are entities over which the Company generally has between 20% and 50% of the voting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rights, or over which the Company has significant influence, but it does not exercise control. Investments in these entities are accounted for under the equity method of accounting. Under this method, the Company records an investment in the stock of an affiliate company at cost, and adjusts the carrying amount for its share of the earnings or losses of the affiliate company subsequent to the date of investment and reports the recognized earnings or losses in income. Dividends received from an affiliate company reduce the carrying amount of the investment. The Company recognizes gains and losses in earnings for the issuance of shares by its affiliate companies, provided that the issuance of shares qualifies as a sale of shares. When the Company’s share of losses in an affiliate equals or exceeds its interest in the affiliate, the Company does not recognize further losses, unless the Company has incurred obligations or made payments on behalf of the affiliate company.</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Affiliate companies included in the financial statements accounted for under the equity method</w:t>
      </w:r>
    </w:p>
    <w:p>
      <w:pPr>
        <w:spacing w:after="0" w:line="121" w:lineRule="exact"/>
        <w:rPr>
          <w:sz w:val="20"/>
          <w:szCs w:val="20"/>
          <w:color w:val="auto"/>
        </w:rPr>
      </w:pPr>
    </w:p>
    <w:p>
      <w:pPr>
        <w:ind w:left="560" w:right="20"/>
        <w:spacing w:after="0" w:line="273" w:lineRule="auto"/>
        <w:rPr>
          <w:sz w:val="20"/>
          <w:szCs w:val="20"/>
          <w:color w:val="auto"/>
        </w:rPr>
      </w:pPr>
      <w:r>
        <w:rPr>
          <w:rFonts w:ascii="Arial" w:cs="Arial" w:eastAsia="Arial" w:hAnsi="Arial"/>
          <w:sz w:val="17"/>
          <w:szCs w:val="17"/>
          <w:color w:val="auto"/>
        </w:rPr>
        <w:t>In the consolidated financial statements of Navios Holdings, the following entities are included as affiliate companies and are accounted for under the equity method for such periods: (i) Navios Partners and its subsidiaries (ownership interest as of December 31, 2020 was 17.9%); (ii) Navios Acquisition and its subsidiaries (economic interest as of December 31, 2020 was 29.5%); (iii) Navios Europe I and its subsidiaries (economic interest through liquidation in December 2019 was 47.5%); (iv) Navios Europe II and its subsidiaries (economic interest through liquidation in June 2020 was 47.5%); and (v) Navios Containers and its subsidiaries (ownership interest as of November 30, 2018, date of obtaining control, and from August 30, 2019, date of loss of control was 3.7% and as of December 31, 2020 was 3.9%).</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20"/>
          </w:cols>
          <w:pgMar w:left="320" w:top="459" w:right="4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NAVIOS MARITIME HOLDINGS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(Expressed in thousands of U.S. dollars — except share data)</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Subsidiaries Included in the Consolidation:</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1"/>
              </w:rPr>
              <w:t>Ownership</w:t>
            </w:r>
          </w:p>
        </w:tc>
        <w:tc>
          <w:tcPr>
            <w:tcW w:w="2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Country of</w:t>
            </w:r>
          </w:p>
        </w:tc>
        <w:tc>
          <w:tcPr>
            <w:tcW w:w="3120" w:type="dxa"/>
            <w:vAlign w:val="bottom"/>
            <w:gridSpan w:val="6"/>
          </w:tcPr>
          <w:p>
            <w:pPr>
              <w:ind w:left="760"/>
              <w:spacing w:after="0"/>
              <w:rPr>
                <w:sz w:val="20"/>
                <w:szCs w:val="20"/>
                <w:color w:val="auto"/>
              </w:rPr>
            </w:pPr>
            <w:r>
              <w:rPr>
                <w:rFonts w:ascii="Arial" w:cs="Arial" w:eastAsia="Arial" w:hAnsi="Arial"/>
                <w:sz w:val="14"/>
                <w:szCs w:val="14"/>
                <w:b w:val="1"/>
                <w:bCs w:val="1"/>
                <w:color w:val="auto"/>
              </w:rPr>
              <w:t>Statements of Operations</w:t>
            </w:r>
          </w:p>
        </w:tc>
        <w:tc>
          <w:tcPr>
            <w:tcW w:w="0" w:type="dxa"/>
            <w:vAlign w:val="bottom"/>
          </w:tcPr>
          <w:p>
            <w:pPr>
              <w:spacing w:after="0"/>
              <w:rPr>
                <w:sz w:val="1"/>
                <w:szCs w:val="1"/>
                <w:color w:val="auto"/>
              </w:rPr>
            </w:pPr>
          </w:p>
        </w:tc>
      </w:tr>
      <w:tr>
        <w:trPr>
          <w:trHeight w:val="23"/>
        </w:trPr>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w w:val="92"/>
              </w:rPr>
              <w:t>Company Name</w:t>
            </w:r>
          </w:p>
        </w:tc>
        <w:tc>
          <w:tcPr>
            <w:tcW w:w="1420" w:type="dxa"/>
            <w:vAlign w:val="bottom"/>
            <w:vMerge w:val="restart"/>
          </w:tcPr>
          <w:p>
            <w:pPr>
              <w:spacing w:after="0" w:line="20" w:lineRule="exact"/>
              <w:rPr>
                <w:sz w:val="1"/>
                <w:szCs w:val="1"/>
                <w:color w:val="auto"/>
              </w:rPr>
            </w:pPr>
          </w:p>
        </w:tc>
        <w:tc>
          <w:tcPr>
            <w:tcW w:w="2320" w:type="dxa"/>
            <w:vAlign w:val="bottom"/>
            <w:gridSpan w:val="2"/>
            <w:vMerge w:val="restart"/>
          </w:tcPr>
          <w:p>
            <w:pPr>
              <w:ind w:left="900"/>
              <w:spacing w:after="0"/>
              <w:rPr>
                <w:sz w:val="20"/>
                <w:szCs w:val="20"/>
                <w:color w:val="auto"/>
              </w:rPr>
            </w:pPr>
            <w:r>
              <w:rPr>
                <w:rFonts w:ascii="Arial" w:cs="Arial" w:eastAsia="Arial" w:hAnsi="Arial"/>
                <w:sz w:val="14"/>
                <w:szCs w:val="14"/>
                <w:b w:val="1"/>
                <w:bCs w:val="1"/>
                <w:color w:val="auto"/>
              </w:rPr>
              <w:t>Nature</w:t>
            </w:r>
          </w:p>
        </w:tc>
        <w:tc>
          <w:tcPr>
            <w:tcW w:w="10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Interest</w:t>
            </w:r>
          </w:p>
        </w:tc>
        <w:tc>
          <w:tcPr>
            <w:tcW w:w="21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Incorporation</w:t>
            </w: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1000" w:type="dxa"/>
            <w:vAlign w:val="bottom"/>
            <w:tcBorders>
              <w:bottom w:val="single" w:sz="8" w:color="auto"/>
            </w:tcBorders>
            <w:vMerge w:val="continue"/>
          </w:tcPr>
          <w:p>
            <w:pPr>
              <w:spacing w:after="0"/>
              <w:rPr>
                <w:sz w:val="12"/>
                <w:szCs w:val="12"/>
                <w:color w:val="auto"/>
              </w:rPr>
            </w:pPr>
          </w:p>
        </w:tc>
        <w:tc>
          <w:tcPr>
            <w:tcW w:w="1420" w:type="dxa"/>
            <w:vAlign w:val="bottom"/>
            <w:vMerge w:val="continue"/>
          </w:tcPr>
          <w:p>
            <w:pPr>
              <w:spacing w:after="0"/>
              <w:rPr>
                <w:sz w:val="12"/>
                <w:szCs w:val="12"/>
                <w:color w:val="auto"/>
              </w:rPr>
            </w:pPr>
          </w:p>
        </w:tc>
        <w:tc>
          <w:tcPr>
            <w:tcW w:w="232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160" w:type="dxa"/>
            <w:vAlign w:val="bottom"/>
            <w:gridSpan w:val="2"/>
            <w:vMerge w:val="continue"/>
          </w:tcPr>
          <w:p>
            <w:pPr>
              <w:spacing w:after="0"/>
              <w:rPr>
                <w:sz w:val="12"/>
                <w:szCs w:val="12"/>
                <w:color w:val="auto"/>
              </w:rPr>
            </w:pPr>
          </w:p>
        </w:tc>
        <w:tc>
          <w:tcPr>
            <w:tcW w:w="860" w:type="dxa"/>
            <w:vAlign w:val="bottom"/>
          </w:tcPr>
          <w:p>
            <w:pPr>
              <w:ind w:left="280"/>
              <w:spacing w:after="0" w:line="129"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840" w:type="dxa"/>
            <w:vAlign w:val="bottom"/>
          </w:tcPr>
          <w:p>
            <w:pPr>
              <w:jc w:val="right"/>
              <w:ind w:right="191"/>
              <w:spacing w:after="0" w:line="129"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1020" w:type="dxa"/>
            <w:vAlign w:val="bottom"/>
          </w:tcPr>
          <w:p>
            <w:pPr>
              <w:jc w:val="right"/>
              <w:ind w:right="291"/>
              <w:spacing w:after="0" w:line="129"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4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Navios Maritime Holdings Inc.</w:t>
            </w:r>
          </w:p>
        </w:tc>
        <w:tc>
          <w:tcPr>
            <w:tcW w:w="22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Holding Company</w:t>
            </w:r>
          </w:p>
        </w:tc>
        <w:tc>
          <w:tcPr>
            <w:tcW w:w="1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0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3"/>
              </w:rPr>
              <w:t>Marshall Is.</w:t>
            </w: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90"/>
              </w:rPr>
              <w:t>1/1 - 12/31</w:t>
            </w:r>
          </w:p>
        </w:tc>
        <w:tc>
          <w:tcPr>
            <w:tcW w:w="1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1/1 - 12/31</w:t>
            </w:r>
          </w:p>
        </w:tc>
        <w:tc>
          <w:tcPr>
            <w:tcW w:w="1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1/1 - 12/31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420" w:type="dxa"/>
            <w:vAlign w:val="bottom"/>
            <w:gridSpan w:val="2"/>
          </w:tcPr>
          <w:p>
            <w:pPr>
              <w:spacing w:after="0" w:line="201" w:lineRule="exact"/>
              <w:rPr>
                <w:sz w:val="20"/>
                <w:szCs w:val="20"/>
                <w:color w:val="auto"/>
              </w:rPr>
            </w:pPr>
            <w:r>
              <w:rPr>
                <w:rFonts w:ascii="Arial" w:cs="Arial" w:eastAsia="Arial" w:hAnsi="Arial"/>
                <w:sz w:val="18"/>
                <w:szCs w:val="18"/>
                <w:color w:val="auto"/>
              </w:rPr>
              <w:t>Navios South American</w:t>
            </w:r>
          </w:p>
        </w:tc>
        <w:tc>
          <w:tcPr>
            <w:tcW w:w="2320" w:type="dxa"/>
            <w:vAlign w:val="bottom"/>
            <w:gridSpan w:val="2"/>
          </w:tcPr>
          <w:p>
            <w:pPr>
              <w:spacing w:after="0" w:line="201" w:lineRule="exact"/>
              <w:rPr>
                <w:sz w:val="20"/>
                <w:szCs w:val="20"/>
                <w:color w:val="auto"/>
              </w:rPr>
            </w:pPr>
            <w:r>
              <w:rPr>
                <w:rFonts w:ascii="Arial" w:cs="Arial" w:eastAsia="Arial" w:hAnsi="Arial"/>
                <w:sz w:val="18"/>
                <w:szCs w:val="18"/>
                <w:color w:val="auto"/>
              </w:rPr>
              <w:t>Sub-Holding Company</w:t>
            </w: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20" w:type="dxa"/>
            <w:vAlign w:val="bottom"/>
            <w:gridSpan w:val="2"/>
          </w:tcPr>
          <w:p>
            <w:pPr>
              <w:ind w:left="180"/>
              <w:spacing w:after="0"/>
              <w:rPr>
                <w:sz w:val="20"/>
                <w:szCs w:val="20"/>
                <w:color w:val="auto"/>
              </w:rPr>
            </w:pPr>
            <w:r>
              <w:rPr>
                <w:rFonts w:ascii="Arial" w:cs="Arial" w:eastAsia="Arial" w:hAnsi="Arial"/>
                <w:sz w:val="18"/>
                <w:szCs w:val="18"/>
                <w:color w:val="auto"/>
              </w:rPr>
              <w:t>Logistics Inc.</w:t>
            </w: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63.8%</w:t>
            </w: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Marshall Is.</w:t>
            </w:r>
          </w:p>
        </w:tc>
        <w:tc>
          <w:tcPr>
            <w:tcW w:w="860" w:type="dxa"/>
            <w:vAlign w:val="bottom"/>
          </w:tcPr>
          <w:p>
            <w:pPr>
              <w:ind w:left="60"/>
              <w:spacing w:after="0"/>
              <w:rPr>
                <w:sz w:val="20"/>
                <w:szCs w:val="20"/>
                <w:color w:val="auto"/>
              </w:rPr>
            </w:pPr>
            <w:r>
              <w:rPr>
                <w:rFonts w:ascii="Arial" w:cs="Arial" w:eastAsia="Arial" w:hAnsi="Arial"/>
                <w:sz w:val="18"/>
                <w:szCs w:val="18"/>
                <w:color w:val="auto"/>
                <w:w w:val="90"/>
              </w:rPr>
              <w:t>1/1 - 12/31</w:t>
            </w:r>
          </w:p>
        </w:tc>
        <w:tc>
          <w:tcPr>
            <w:tcW w:w="16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1/1 - 12/31</w:t>
            </w:r>
          </w:p>
        </w:tc>
        <w:tc>
          <w:tcPr>
            <w:tcW w:w="18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1/1 - 12/31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4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Navios Maritime Containers</w:t>
            </w:r>
          </w:p>
        </w:tc>
        <w:tc>
          <w:tcPr>
            <w:tcW w:w="2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L.P.</w:t>
            </w: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Holding Company</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w:t>
            </w:r>
          </w:p>
        </w:tc>
        <w:tc>
          <w:tcPr>
            <w:tcW w:w="21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Marshall Is.</w:t>
            </w:r>
          </w:p>
        </w:tc>
        <w:tc>
          <w:tcPr>
            <w:tcW w:w="1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1/1 - 8/29</w:t>
            </w: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11/30 - 12/31</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Navios Corporation</w:t>
            </w:r>
          </w:p>
        </w:tc>
        <w:tc>
          <w:tcPr>
            <w:tcW w:w="2320" w:type="dxa"/>
            <w:vAlign w:val="bottom"/>
            <w:gridSpan w:val="2"/>
          </w:tcPr>
          <w:p>
            <w:pPr>
              <w:spacing w:after="0"/>
              <w:rPr>
                <w:sz w:val="20"/>
                <w:szCs w:val="20"/>
                <w:color w:val="auto"/>
              </w:rPr>
            </w:pPr>
            <w:r>
              <w:rPr>
                <w:rFonts w:ascii="Arial" w:cs="Arial" w:eastAsia="Arial" w:hAnsi="Arial"/>
                <w:sz w:val="18"/>
                <w:szCs w:val="18"/>
                <w:color w:val="auto"/>
              </w:rPr>
              <w:t>Sub-Holding Company</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Marshall Is.</w:t>
            </w:r>
          </w:p>
        </w:tc>
        <w:tc>
          <w:tcPr>
            <w:tcW w:w="1860" w:type="dxa"/>
            <w:vAlign w:val="bottom"/>
            <w:gridSpan w:val="3"/>
          </w:tcPr>
          <w:p>
            <w:pPr>
              <w:ind w:left="60"/>
              <w:spacing w:after="0"/>
              <w:rPr>
                <w:sz w:val="20"/>
                <w:szCs w:val="20"/>
                <w:color w:val="auto"/>
              </w:rPr>
            </w:pPr>
            <w:r>
              <w:rPr>
                <w:rFonts w:ascii="Arial" w:cs="Arial" w:eastAsia="Arial" w:hAnsi="Arial"/>
                <w:sz w:val="18"/>
                <w:szCs w:val="18"/>
                <w:color w:val="auto"/>
                <w:w w:val="95"/>
              </w:rPr>
              <w:t>1/1 - 12/31   1/1 - 12/31</w:t>
            </w:r>
          </w:p>
        </w:tc>
        <w:tc>
          <w:tcPr>
            <w:tcW w:w="18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1/1 - 12/31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Navios International Inc.</w:t>
            </w: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Company</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21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Marshall Is.</w:t>
            </w:r>
          </w:p>
        </w:tc>
        <w:tc>
          <w:tcPr>
            <w:tcW w:w="18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w w:val="97"/>
              </w:rPr>
              <w:t>1/1 - 12/31   1/1 -12/31</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1/1 - 12/31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Navimax Corporation</w:t>
            </w:r>
          </w:p>
        </w:tc>
        <w:tc>
          <w:tcPr>
            <w:tcW w:w="2320" w:type="dxa"/>
            <w:vAlign w:val="bottom"/>
            <w:gridSpan w:val="2"/>
          </w:tcPr>
          <w:p>
            <w:pPr>
              <w:spacing w:after="0"/>
              <w:rPr>
                <w:sz w:val="20"/>
                <w:szCs w:val="20"/>
                <w:color w:val="auto"/>
              </w:rPr>
            </w:pPr>
            <w:r>
              <w:rPr>
                <w:rFonts w:ascii="Arial" w:cs="Arial" w:eastAsia="Arial" w:hAnsi="Arial"/>
                <w:sz w:val="18"/>
                <w:szCs w:val="18"/>
                <w:color w:val="auto"/>
              </w:rPr>
              <w:t>Operating Company</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Marshall Is.</w:t>
            </w:r>
          </w:p>
        </w:tc>
        <w:tc>
          <w:tcPr>
            <w:tcW w:w="1860" w:type="dxa"/>
            <w:vAlign w:val="bottom"/>
            <w:gridSpan w:val="3"/>
          </w:tcPr>
          <w:p>
            <w:pPr>
              <w:ind w:left="60"/>
              <w:spacing w:after="0"/>
              <w:rPr>
                <w:sz w:val="20"/>
                <w:szCs w:val="20"/>
                <w:color w:val="auto"/>
              </w:rPr>
            </w:pPr>
            <w:r>
              <w:rPr>
                <w:rFonts w:ascii="Arial" w:cs="Arial" w:eastAsia="Arial" w:hAnsi="Arial"/>
                <w:sz w:val="18"/>
                <w:szCs w:val="18"/>
                <w:color w:val="auto"/>
                <w:w w:val="95"/>
              </w:rPr>
              <w:t>1/1 - 12/31   1/1 - 12/31</w:t>
            </w:r>
          </w:p>
        </w:tc>
        <w:tc>
          <w:tcPr>
            <w:tcW w:w="18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1/1 - 12/31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Navios Handybulk Inc.</w:t>
            </w: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Company</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21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Marshall Is.</w:t>
            </w:r>
          </w:p>
        </w:tc>
        <w:tc>
          <w:tcPr>
            <w:tcW w:w="18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w w:val="95"/>
              </w:rPr>
              <w:t>1/1 - 12/31   1/1 - 12/31</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1/1 - 12/31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Hestia Shipping Ltd.</w:t>
            </w:r>
          </w:p>
        </w:tc>
        <w:tc>
          <w:tcPr>
            <w:tcW w:w="2320" w:type="dxa"/>
            <w:vAlign w:val="bottom"/>
            <w:gridSpan w:val="2"/>
          </w:tcPr>
          <w:p>
            <w:pPr>
              <w:spacing w:after="0"/>
              <w:rPr>
                <w:sz w:val="20"/>
                <w:szCs w:val="20"/>
                <w:color w:val="auto"/>
              </w:rPr>
            </w:pPr>
            <w:r>
              <w:rPr>
                <w:rFonts w:ascii="Arial" w:cs="Arial" w:eastAsia="Arial" w:hAnsi="Arial"/>
                <w:sz w:val="18"/>
                <w:szCs w:val="18"/>
                <w:color w:val="auto"/>
              </w:rPr>
              <w:t>Operating Company</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Malta</w:t>
            </w:r>
          </w:p>
        </w:tc>
        <w:tc>
          <w:tcPr>
            <w:tcW w:w="860" w:type="dxa"/>
            <w:vAlign w:val="bottom"/>
          </w:tcPr>
          <w:p>
            <w:pPr>
              <w:ind w:left="60"/>
              <w:spacing w:after="0"/>
              <w:rPr>
                <w:sz w:val="20"/>
                <w:szCs w:val="20"/>
                <w:color w:val="auto"/>
              </w:rPr>
            </w:pPr>
            <w:r>
              <w:rPr>
                <w:rFonts w:ascii="Arial" w:cs="Arial" w:eastAsia="Arial" w:hAnsi="Arial"/>
                <w:sz w:val="18"/>
                <w:szCs w:val="18"/>
                <w:color w:val="auto"/>
                <w:w w:val="90"/>
              </w:rPr>
              <w:t>1/1 - 12/31</w:t>
            </w:r>
          </w:p>
        </w:tc>
        <w:tc>
          <w:tcPr>
            <w:tcW w:w="1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1/1 - 12/31</w:t>
            </w:r>
          </w:p>
        </w:tc>
        <w:tc>
          <w:tcPr>
            <w:tcW w:w="18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1/1 - 12/31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4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Anemos Maritime Holdings</w:t>
            </w:r>
          </w:p>
        </w:tc>
        <w:tc>
          <w:tcPr>
            <w:tcW w:w="2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w:t>
            </w: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Sub-Holding Company</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21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Marshall Is.</w:t>
            </w:r>
          </w:p>
        </w:tc>
        <w:tc>
          <w:tcPr>
            <w:tcW w:w="18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w w:val="95"/>
              </w:rPr>
              <w:t>1/1 - 12/31   1/1 - 12/31</w:t>
            </w: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1/1 - 12/31</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Navios Shipmanagement Inc.</w:t>
            </w:r>
          </w:p>
        </w:tc>
        <w:tc>
          <w:tcPr>
            <w:tcW w:w="2320" w:type="dxa"/>
            <w:vAlign w:val="bottom"/>
            <w:gridSpan w:val="2"/>
          </w:tcPr>
          <w:p>
            <w:pPr>
              <w:spacing w:after="0"/>
              <w:rPr>
                <w:sz w:val="20"/>
                <w:szCs w:val="20"/>
                <w:color w:val="auto"/>
              </w:rPr>
            </w:pPr>
            <w:r>
              <w:rPr>
                <w:rFonts w:ascii="Arial" w:cs="Arial" w:eastAsia="Arial" w:hAnsi="Arial"/>
                <w:sz w:val="18"/>
                <w:szCs w:val="18"/>
                <w:color w:val="auto"/>
              </w:rPr>
              <w:t>Management Company</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Marshall Is.</w:t>
            </w:r>
          </w:p>
        </w:tc>
        <w:tc>
          <w:tcPr>
            <w:tcW w:w="10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1/1 - 8/29</w:t>
            </w:r>
          </w:p>
        </w:tc>
        <w:tc>
          <w:tcPr>
            <w:tcW w:w="18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1/1 - 12/31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 Holdings Limited</w:t>
            </w: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Sub-Holding Company</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21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Malta</w:t>
            </w:r>
          </w:p>
        </w:tc>
        <w:tc>
          <w:tcPr>
            <w:tcW w:w="18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w w:val="95"/>
              </w:rPr>
              <w:t>1/1 - 12/31   1/1 - 12/31</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1/1 - 12/31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420" w:type="dxa"/>
            <w:vAlign w:val="bottom"/>
            <w:gridSpan w:val="2"/>
          </w:tcPr>
          <w:p>
            <w:pPr>
              <w:spacing w:after="0" w:line="201" w:lineRule="exact"/>
              <w:rPr>
                <w:sz w:val="20"/>
                <w:szCs w:val="20"/>
                <w:color w:val="auto"/>
              </w:rPr>
            </w:pPr>
            <w:r>
              <w:rPr>
                <w:rFonts w:ascii="Arial" w:cs="Arial" w:eastAsia="Arial" w:hAnsi="Arial"/>
                <w:sz w:val="18"/>
                <w:szCs w:val="18"/>
                <w:color w:val="auto"/>
              </w:rPr>
              <w:t>Kleimar N.V.</w:t>
            </w:r>
          </w:p>
        </w:tc>
        <w:tc>
          <w:tcPr>
            <w:tcW w:w="2320" w:type="dxa"/>
            <w:vAlign w:val="bottom"/>
            <w:gridSpan w:val="2"/>
          </w:tcPr>
          <w:p>
            <w:pPr>
              <w:spacing w:after="0" w:line="201" w:lineRule="exact"/>
              <w:rPr>
                <w:sz w:val="20"/>
                <w:szCs w:val="20"/>
                <w:color w:val="auto"/>
              </w:rPr>
            </w:pPr>
            <w:r>
              <w:rPr>
                <w:rFonts w:ascii="Arial" w:cs="Arial" w:eastAsia="Arial" w:hAnsi="Arial"/>
                <w:sz w:val="18"/>
                <w:szCs w:val="18"/>
                <w:color w:val="auto"/>
              </w:rPr>
              <w:t>Operating Company/</w:t>
            </w:r>
          </w:p>
        </w:tc>
        <w:tc>
          <w:tcPr>
            <w:tcW w:w="100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100%</w:t>
            </w:r>
          </w:p>
        </w:tc>
        <w:tc>
          <w:tcPr>
            <w:tcW w:w="21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5"/>
              </w:rPr>
              <w:t>Belgium</w:t>
            </w:r>
          </w:p>
        </w:tc>
        <w:tc>
          <w:tcPr>
            <w:tcW w:w="1020" w:type="dxa"/>
            <w:vAlign w:val="bottom"/>
            <w:gridSpan w:val="2"/>
          </w:tcPr>
          <w:p>
            <w:pPr>
              <w:ind w:left="60"/>
              <w:spacing w:after="0" w:line="201" w:lineRule="exact"/>
              <w:rPr>
                <w:sz w:val="20"/>
                <w:szCs w:val="20"/>
                <w:color w:val="auto"/>
              </w:rPr>
            </w:pPr>
            <w:r>
              <w:rPr>
                <w:rFonts w:ascii="Arial" w:cs="Arial" w:eastAsia="Arial" w:hAnsi="Arial"/>
                <w:sz w:val="18"/>
                <w:szCs w:val="18"/>
                <w:color w:val="auto"/>
              </w:rPr>
              <w:t>1/1 - 12/31</w:t>
            </w:r>
          </w:p>
        </w:tc>
        <w:tc>
          <w:tcPr>
            <w:tcW w:w="102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2"/>
              </w:rPr>
              <w:t>1/1 - 12/31</w:t>
            </w:r>
          </w:p>
        </w:tc>
        <w:tc>
          <w:tcPr>
            <w:tcW w:w="108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1/1 - 12/31</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Vessel Owning</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Company/</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Management Company</w:t>
            </w: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Kleimar Ltd.</w:t>
            </w: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Company</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21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Marshall Is.</w:t>
            </w:r>
          </w:p>
        </w:tc>
        <w:tc>
          <w:tcPr>
            <w:tcW w:w="1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1/1 – 8/29</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1/1 - 12/31</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Bulkinvest S.A.</w:t>
            </w:r>
          </w:p>
        </w:tc>
        <w:tc>
          <w:tcPr>
            <w:tcW w:w="2320" w:type="dxa"/>
            <w:vAlign w:val="bottom"/>
            <w:gridSpan w:val="2"/>
          </w:tcPr>
          <w:p>
            <w:pPr>
              <w:spacing w:after="0"/>
              <w:rPr>
                <w:sz w:val="20"/>
                <w:szCs w:val="20"/>
                <w:color w:val="auto"/>
              </w:rPr>
            </w:pPr>
            <w:r>
              <w:rPr>
                <w:rFonts w:ascii="Arial" w:cs="Arial" w:eastAsia="Arial" w:hAnsi="Arial"/>
                <w:sz w:val="18"/>
                <w:szCs w:val="18"/>
                <w:color w:val="auto"/>
              </w:rPr>
              <w:t>Operating Company</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Luxembourg</w:t>
            </w:r>
          </w:p>
        </w:tc>
        <w:tc>
          <w:tcPr>
            <w:tcW w:w="860" w:type="dxa"/>
            <w:vAlign w:val="bottom"/>
          </w:tcPr>
          <w:p>
            <w:pPr>
              <w:ind w:left="60"/>
              <w:spacing w:after="0"/>
              <w:rPr>
                <w:sz w:val="20"/>
                <w:szCs w:val="20"/>
                <w:color w:val="auto"/>
              </w:rPr>
            </w:pPr>
            <w:r>
              <w:rPr>
                <w:rFonts w:ascii="Arial" w:cs="Arial" w:eastAsia="Arial" w:hAnsi="Arial"/>
                <w:sz w:val="18"/>
                <w:szCs w:val="18"/>
                <w:color w:val="auto"/>
                <w:w w:val="90"/>
              </w:rPr>
              <w:t>1/1 - 12/31</w:t>
            </w:r>
          </w:p>
        </w:tc>
        <w:tc>
          <w:tcPr>
            <w:tcW w:w="1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1/1 - 12/31</w:t>
            </w:r>
          </w:p>
        </w:tc>
        <w:tc>
          <w:tcPr>
            <w:tcW w:w="18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1/1 - 12/31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4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Primavera Shipping</w:t>
            </w:r>
          </w:p>
        </w:tc>
        <w:tc>
          <w:tcPr>
            <w:tcW w:w="2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Corporation</w:t>
            </w: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Company</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21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Marshall Is.</w:t>
            </w:r>
          </w:p>
        </w:tc>
        <w:tc>
          <w:tcPr>
            <w:tcW w:w="18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w w:val="95"/>
              </w:rPr>
              <w:t>1/1 - 12/31   1/1 - 12/31</w:t>
            </w: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1/1 - 12/31</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Ginger Services Co.</w:t>
            </w:r>
          </w:p>
        </w:tc>
        <w:tc>
          <w:tcPr>
            <w:tcW w:w="2320" w:type="dxa"/>
            <w:vAlign w:val="bottom"/>
            <w:gridSpan w:val="2"/>
          </w:tcPr>
          <w:p>
            <w:pPr>
              <w:spacing w:after="0"/>
              <w:rPr>
                <w:sz w:val="20"/>
                <w:szCs w:val="20"/>
                <w:color w:val="auto"/>
              </w:rPr>
            </w:pPr>
            <w:r>
              <w:rPr>
                <w:rFonts w:ascii="Arial" w:cs="Arial" w:eastAsia="Arial" w:hAnsi="Arial"/>
                <w:sz w:val="18"/>
                <w:szCs w:val="18"/>
                <w:color w:val="auto"/>
              </w:rPr>
              <w:t>Operating Company</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Marshall Is.</w:t>
            </w:r>
          </w:p>
        </w:tc>
        <w:tc>
          <w:tcPr>
            <w:tcW w:w="1860" w:type="dxa"/>
            <w:vAlign w:val="bottom"/>
            <w:gridSpan w:val="3"/>
          </w:tcPr>
          <w:p>
            <w:pPr>
              <w:ind w:left="60"/>
              <w:spacing w:after="0"/>
              <w:rPr>
                <w:sz w:val="20"/>
                <w:szCs w:val="20"/>
                <w:color w:val="auto"/>
              </w:rPr>
            </w:pPr>
            <w:r>
              <w:rPr>
                <w:rFonts w:ascii="Arial" w:cs="Arial" w:eastAsia="Arial" w:hAnsi="Arial"/>
                <w:sz w:val="18"/>
                <w:szCs w:val="18"/>
                <w:color w:val="auto"/>
                <w:w w:val="95"/>
              </w:rPr>
              <w:t>1/1 - 12/31   1/1 - 12/31</w:t>
            </w:r>
          </w:p>
        </w:tc>
        <w:tc>
          <w:tcPr>
            <w:tcW w:w="18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1/1 - 12/31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Aquis Marine Corp.</w:t>
            </w: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Sub-Holding Company</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21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Marshall Is.</w:t>
            </w:r>
          </w:p>
        </w:tc>
        <w:tc>
          <w:tcPr>
            <w:tcW w:w="860" w:type="dxa"/>
            <w:vAlign w:val="bottom"/>
            <w:shd w:val="clear" w:color="auto" w:fill="CCEEFF"/>
          </w:tcPr>
          <w:p>
            <w:pPr>
              <w:ind w:left="60"/>
              <w:spacing w:after="0"/>
              <w:rPr>
                <w:sz w:val="20"/>
                <w:szCs w:val="20"/>
                <w:color w:val="auto"/>
              </w:rPr>
            </w:pPr>
            <w:r>
              <w:rPr>
                <w:rFonts w:ascii="Arial" w:cs="Arial" w:eastAsia="Arial" w:hAnsi="Arial"/>
                <w:sz w:val="18"/>
                <w:szCs w:val="18"/>
                <w:color w:val="auto"/>
                <w:w w:val="90"/>
              </w:rPr>
              <w:t>1/1 - 12/31</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1/1 - 12/31</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1/1 - 12/31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420" w:type="dxa"/>
            <w:vAlign w:val="bottom"/>
            <w:gridSpan w:val="2"/>
          </w:tcPr>
          <w:p>
            <w:pPr>
              <w:spacing w:after="0" w:line="201" w:lineRule="exact"/>
              <w:rPr>
                <w:sz w:val="20"/>
                <w:szCs w:val="20"/>
                <w:color w:val="auto"/>
              </w:rPr>
            </w:pPr>
            <w:r>
              <w:rPr>
                <w:rFonts w:ascii="Arial" w:cs="Arial" w:eastAsia="Arial" w:hAnsi="Arial"/>
                <w:sz w:val="18"/>
                <w:szCs w:val="18"/>
                <w:color w:val="auto"/>
              </w:rPr>
              <w:t>Navios Tankers Management</w:t>
            </w:r>
          </w:p>
        </w:tc>
        <w:tc>
          <w:tcPr>
            <w:tcW w:w="2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20" w:type="dxa"/>
            <w:vAlign w:val="bottom"/>
            <w:gridSpan w:val="2"/>
          </w:tcPr>
          <w:p>
            <w:pPr>
              <w:ind w:left="180"/>
              <w:spacing w:after="0"/>
              <w:rPr>
                <w:sz w:val="20"/>
                <w:szCs w:val="20"/>
                <w:color w:val="auto"/>
              </w:rPr>
            </w:pPr>
            <w:r>
              <w:rPr>
                <w:rFonts w:ascii="Arial" w:cs="Arial" w:eastAsia="Arial" w:hAnsi="Arial"/>
                <w:sz w:val="18"/>
                <w:szCs w:val="18"/>
                <w:color w:val="auto"/>
              </w:rPr>
              <w:t>Inc.</w:t>
            </w:r>
          </w:p>
        </w:tc>
        <w:tc>
          <w:tcPr>
            <w:tcW w:w="2320" w:type="dxa"/>
            <w:vAlign w:val="bottom"/>
            <w:gridSpan w:val="2"/>
          </w:tcPr>
          <w:p>
            <w:pPr>
              <w:spacing w:after="0"/>
              <w:rPr>
                <w:sz w:val="20"/>
                <w:szCs w:val="20"/>
                <w:color w:val="auto"/>
              </w:rPr>
            </w:pPr>
            <w:r>
              <w:rPr>
                <w:rFonts w:ascii="Arial" w:cs="Arial" w:eastAsia="Arial" w:hAnsi="Arial"/>
                <w:sz w:val="18"/>
                <w:szCs w:val="18"/>
                <w:color w:val="auto"/>
              </w:rPr>
              <w:t>Management Company</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Marshall Is.</w:t>
            </w:r>
          </w:p>
        </w:tc>
        <w:tc>
          <w:tcPr>
            <w:tcW w:w="10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1/1 - 8/29</w:t>
            </w:r>
          </w:p>
        </w:tc>
        <w:tc>
          <w:tcPr>
            <w:tcW w:w="18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1/1 - 12/31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Astra Maritime Corporation</w:t>
            </w: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Vessel Owning Company</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21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Marshall Is.</w:t>
            </w:r>
          </w:p>
        </w:tc>
        <w:tc>
          <w:tcPr>
            <w:tcW w:w="18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w w:val="95"/>
              </w:rPr>
              <w:t>1/1 - 12/31   1/1 - 12/31</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1/1 - 12/31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Achilles Shipping Corporation</w:t>
            </w:r>
          </w:p>
        </w:tc>
        <w:tc>
          <w:tcPr>
            <w:tcW w:w="2320" w:type="dxa"/>
            <w:vAlign w:val="bottom"/>
            <w:gridSpan w:val="2"/>
          </w:tcPr>
          <w:p>
            <w:pPr>
              <w:spacing w:after="0"/>
              <w:rPr>
                <w:sz w:val="20"/>
                <w:szCs w:val="20"/>
                <w:color w:val="auto"/>
              </w:rPr>
            </w:pPr>
            <w:r>
              <w:rPr>
                <w:rFonts w:ascii="Arial" w:cs="Arial" w:eastAsia="Arial" w:hAnsi="Arial"/>
                <w:sz w:val="18"/>
                <w:szCs w:val="18"/>
                <w:color w:val="auto"/>
              </w:rPr>
              <w:t>Operating Company</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Marshall Is.</w:t>
            </w:r>
          </w:p>
        </w:tc>
        <w:tc>
          <w:tcPr>
            <w:tcW w:w="1860" w:type="dxa"/>
            <w:vAlign w:val="bottom"/>
            <w:gridSpan w:val="3"/>
          </w:tcPr>
          <w:p>
            <w:pPr>
              <w:ind w:left="60"/>
              <w:spacing w:after="0"/>
              <w:rPr>
                <w:sz w:val="20"/>
                <w:szCs w:val="20"/>
                <w:color w:val="auto"/>
              </w:rPr>
            </w:pPr>
            <w:r>
              <w:rPr>
                <w:rFonts w:ascii="Arial" w:cs="Arial" w:eastAsia="Arial" w:hAnsi="Arial"/>
                <w:sz w:val="18"/>
                <w:szCs w:val="18"/>
                <w:color w:val="auto"/>
                <w:w w:val="95"/>
              </w:rPr>
              <w:t>1/1 - 12/31   1/1 - 12/31</w:t>
            </w:r>
          </w:p>
        </w:tc>
        <w:tc>
          <w:tcPr>
            <w:tcW w:w="18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1/1 - 12/31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Apollon Shipping Corporation</w:t>
            </w: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Company</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21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Marshall Is.</w:t>
            </w:r>
          </w:p>
        </w:tc>
        <w:tc>
          <w:tcPr>
            <w:tcW w:w="18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w w:val="95"/>
              </w:rPr>
              <w:t>1/1 - 12/31   1/1 - 12/31</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1/1 - 12/31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w w:val="97"/>
              </w:rPr>
              <w:t>Herakles Shipping Corporation</w:t>
            </w:r>
          </w:p>
        </w:tc>
        <w:tc>
          <w:tcPr>
            <w:tcW w:w="2320" w:type="dxa"/>
            <w:vAlign w:val="bottom"/>
            <w:gridSpan w:val="2"/>
          </w:tcPr>
          <w:p>
            <w:pPr>
              <w:spacing w:after="0"/>
              <w:rPr>
                <w:sz w:val="20"/>
                <w:szCs w:val="20"/>
                <w:color w:val="auto"/>
              </w:rPr>
            </w:pPr>
            <w:r>
              <w:rPr>
                <w:rFonts w:ascii="Arial" w:cs="Arial" w:eastAsia="Arial" w:hAnsi="Arial"/>
                <w:sz w:val="18"/>
                <w:szCs w:val="18"/>
                <w:color w:val="auto"/>
              </w:rPr>
              <w:t>Operating Company</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Marshall Is.</w:t>
            </w:r>
          </w:p>
        </w:tc>
        <w:tc>
          <w:tcPr>
            <w:tcW w:w="1860" w:type="dxa"/>
            <w:vAlign w:val="bottom"/>
            <w:gridSpan w:val="3"/>
          </w:tcPr>
          <w:p>
            <w:pPr>
              <w:ind w:left="60"/>
              <w:spacing w:after="0"/>
              <w:rPr>
                <w:sz w:val="20"/>
                <w:szCs w:val="20"/>
                <w:color w:val="auto"/>
              </w:rPr>
            </w:pPr>
            <w:r>
              <w:rPr>
                <w:rFonts w:ascii="Arial" w:cs="Arial" w:eastAsia="Arial" w:hAnsi="Arial"/>
                <w:sz w:val="18"/>
                <w:szCs w:val="18"/>
                <w:color w:val="auto"/>
                <w:w w:val="95"/>
              </w:rPr>
              <w:t>1/1 - 12/31   1/1 - 12/31</w:t>
            </w:r>
          </w:p>
        </w:tc>
        <w:tc>
          <w:tcPr>
            <w:tcW w:w="18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1/1 - 12/31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Hios Shipping Corporation</w:t>
            </w: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Company</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21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Marshall Is.</w:t>
            </w:r>
          </w:p>
        </w:tc>
        <w:tc>
          <w:tcPr>
            <w:tcW w:w="18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w w:val="95"/>
              </w:rPr>
              <w:t>1/1 - 12/31   1/1 - 12/31</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1/1 - 12/31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Ionian Shipping Corporation</w:t>
            </w:r>
          </w:p>
        </w:tc>
        <w:tc>
          <w:tcPr>
            <w:tcW w:w="2320" w:type="dxa"/>
            <w:vAlign w:val="bottom"/>
            <w:gridSpan w:val="2"/>
          </w:tcPr>
          <w:p>
            <w:pPr>
              <w:spacing w:after="0"/>
              <w:rPr>
                <w:sz w:val="20"/>
                <w:szCs w:val="20"/>
                <w:color w:val="auto"/>
              </w:rPr>
            </w:pPr>
            <w:r>
              <w:rPr>
                <w:rFonts w:ascii="Arial" w:cs="Arial" w:eastAsia="Arial" w:hAnsi="Arial"/>
                <w:sz w:val="18"/>
                <w:szCs w:val="18"/>
                <w:color w:val="auto"/>
              </w:rPr>
              <w:t>Operating Company</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Marshall Is.</w:t>
            </w:r>
          </w:p>
        </w:tc>
        <w:tc>
          <w:tcPr>
            <w:tcW w:w="1860" w:type="dxa"/>
            <w:vAlign w:val="bottom"/>
            <w:gridSpan w:val="3"/>
          </w:tcPr>
          <w:p>
            <w:pPr>
              <w:ind w:left="60"/>
              <w:spacing w:after="0"/>
              <w:rPr>
                <w:sz w:val="20"/>
                <w:szCs w:val="20"/>
                <w:color w:val="auto"/>
              </w:rPr>
            </w:pPr>
            <w:r>
              <w:rPr>
                <w:rFonts w:ascii="Arial" w:cs="Arial" w:eastAsia="Arial" w:hAnsi="Arial"/>
                <w:sz w:val="18"/>
                <w:szCs w:val="18"/>
                <w:color w:val="auto"/>
                <w:w w:val="95"/>
              </w:rPr>
              <w:t>1/1 - 12/31   1/1 - 12/31</w:t>
            </w:r>
          </w:p>
        </w:tc>
        <w:tc>
          <w:tcPr>
            <w:tcW w:w="18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1/1 - 12/31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Kypros Shipping Corporation</w:t>
            </w: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Company</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21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Marshall Is.</w:t>
            </w:r>
          </w:p>
        </w:tc>
        <w:tc>
          <w:tcPr>
            <w:tcW w:w="860" w:type="dxa"/>
            <w:vAlign w:val="bottom"/>
            <w:shd w:val="clear" w:color="auto" w:fill="CCEEFF"/>
          </w:tcPr>
          <w:p>
            <w:pPr>
              <w:ind w:left="60"/>
              <w:spacing w:after="0"/>
              <w:rPr>
                <w:sz w:val="20"/>
                <w:szCs w:val="20"/>
                <w:color w:val="auto"/>
              </w:rPr>
            </w:pPr>
            <w:r>
              <w:rPr>
                <w:rFonts w:ascii="Arial" w:cs="Arial" w:eastAsia="Arial" w:hAnsi="Arial"/>
                <w:sz w:val="18"/>
                <w:szCs w:val="18"/>
                <w:color w:val="auto"/>
                <w:w w:val="90"/>
              </w:rPr>
              <w:t>1/1 - 12/31</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1/1 - 12/31</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1/1 - 12/31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420" w:type="dxa"/>
            <w:vAlign w:val="bottom"/>
            <w:gridSpan w:val="2"/>
          </w:tcPr>
          <w:p>
            <w:pPr>
              <w:spacing w:after="0" w:line="201" w:lineRule="exact"/>
              <w:rPr>
                <w:sz w:val="20"/>
                <w:szCs w:val="20"/>
                <w:color w:val="auto"/>
              </w:rPr>
            </w:pPr>
            <w:r>
              <w:rPr>
                <w:rFonts w:ascii="Arial" w:cs="Arial" w:eastAsia="Arial" w:hAnsi="Arial"/>
                <w:sz w:val="18"/>
                <w:szCs w:val="18"/>
                <w:color w:val="auto"/>
                <w:w w:val="99"/>
              </w:rPr>
              <w:t>Meridian Shipping Enterprises</w:t>
            </w:r>
          </w:p>
        </w:tc>
        <w:tc>
          <w:tcPr>
            <w:tcW w:w="2320" w:type="dxa"/>
            <w:vAlign w:val="bottom"/>
            <w:gridSpan w:val="2"/>
          </w:tcPr>
          <w:p>
            <w:pPr>
              <w:spacing w:after="0" w:line="201" w:lineRule="exact"/>
              <w:rPr>
                <w:sz w:val="20"/>
                <w:szCs w:val="20"/>
                <w:color w:val="auto"/>
              </w:rPr>
            </w:pPr>
            <w:r>
              <w:rPr>
                <w:rFonts w:ascii="Arial" w:cs="Arial" w:eastAsia="Arial" w:hAnsi="Arial"/>
                <w:sz w:val="18"/>
                <w:szCs w:val="18"/>
                <w:color w:val="auto"/>
              </w:rPr>
              <w:t>Vessel Owning</w:t>
            </w: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420" w:type="dxa"/>
            <w:vAlign w:val="bottom"/>
            <w:gridSpan w:val="2"/>
          </w:tcPr>
          <w:p>
            <w:pPr>
              <w:ind w:left="180"/>
              <w:spacing w:after="0"/>
              <w:rPr>
                <w:sz w:val="20"/>
                <w:szCs w:val="20"/>
                <w:color w:val="auto"/>
              </w:rPr>
            </w:pPr>
            <w:r>
              <w:rPr>
                <w:rFonts w:ascii="Arial" w:cs="Arial" w:eastAsia="Arial" w:hAnsi="Arial"/>
                <w:sz w:val="18"/>
                <w:szCs w:val="18"/>
                <w:color w:val="auto"/>
              </w:rPr>
              <w:t>Inc.</w:t>
            </w:r>
          </w:p>
        </w:tc>
        <w:tc>
          <w:tcPr>
            <w:tcW w:w="2320" w:type="dxa"/>
            <w:vAlign w:val="bottom"/>
            <w:gridSpan w:val="2"/>
          </w:tcPr>
          <w:p>
            <w:pPr>
              <w:spacing w:after="0"/>
              <w:rPr>
                <w:sz w:val="20"/>
                <w:szCs w:val="20"/>
                <w:color w:val="auto"/>
              </w:rPr>
            </w:pPr>
            <w:r>
              <w:rPr>
                <w:rFonts w:ascii="Arial" w:cs="Arial" w:eastAsia="Arial" w:hAnsi="Arial"/>
                <w:sz w:val="18"/>
                <w:szCs w:val="18"/>
                <w:color w:val="auto"/>
              </w:rPr>
              <w:t>Company</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Marshall Is.</w:t>
            </w:r>
          </w:p>
        </w:tc>
        <w:tc>
          <w:tcPr>
            <w:tcW w:w="1860" w:type="dxa"/>
            <w:vAlign w:val="bottom"/>
            <w:gridSpan w:val="3"/>
          </w:tcPr>
          <w:p>
            <w:pPr>
              <w:ind w:left="60"/>
              <w:spacing w:after="0"/>
              <w:rPr>
                <w:sz w:val="20"/>
                <w:szCs w:val="20"/>
                <w:color w:val="auto"/>
              </w:rPr>
            </w:pPr>
            <w:r>
              <w:rPr>
                <w:rFonts w:ascii="Arial" w:cs="Arial" w:eastAsia="Arial" w:hAnsi="Arial"/>
                <w:sz w:val="18"/>
                <w:szCs w:val="18"/>
                <w:color w:val="auto"/>
                <w:w w:val="95"/>
              </w:rPr>
              <w:t>1/1 - 12/31   1/1 - 12/31</w:t>
            </w:r>
          </w:p>
        </w:tc>
        <w:tc>
          <w:tcPr>
            <w:tcW w:w="18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1/1 - 12/31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Mercator Shipping Corporation</w:t>
            </w: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Vessel Owning Company</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21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Marshall Is.</w:t>
            </w:r>
          </w:p>
        </w:tc>
        <w:tc>
          <w:tcPr>
            <w:tcW w:w="18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w w:val="95"/>
              </w:rPr>
              <w:t>1/1 - 12/31   1/1 - 12/31</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1/1 - 12/31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Arc Shipping Corporation</w:t>
            </w:r>
          </w:p>
        </w:tc>
        <w:tc>
          <w:tcPr>
            <w:tcW w:w="2320" w:type="dxa"/>
            <w:vAlign w:val="bottom"/>
            <w:gridSpan w:val="2"/>
          </w:tcPr>
          <w:p>
            <w:pPr>
              <w:spacing w:after="0"/>
              <w:rPr>
                <w:sz w:val="20"/>
                <w:szCs w:val="20"/>
                <w:color w:val="auto"/>
              </w:rPr>
            </w:pPr>
            <w:r>
              <w:rPr>
                <w:rFonts w:ascii="Arial" w:cs="Arial" w:eastAsia="Arial" w:hAnsi="Arial"/>
                <w:sz w:val="18"/>
                <w:szCs w:val="18"/>
                <w:color w:val="auto"/>
              </w:rPr>
              <w:t>Vessel Owning Company</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Marshall Is.</w:t>
            </w:r>
          </w:p>
        </w:tc>
        <w:tc>
          <w:tcPr>
            <w:tcW w:w="860" w:type="dxa"/>
            <w:vAlign w:val="bottom"/>
          </w:tcPr>
          <w:p>
            <w:pPr>
              <w:ind w:left="60"/>
              <w:spacing w:after="0"/>
              <w:rPr>
                <w:sz w:val="20"/>
                <w:szCs w:val="20"/>
                <w:color w:val="auto"/>
              </w:rPr>
            </w:pPr>
            <w:r>
              <w:rPr>
                <w:rFonts w:ascii="Arial" w:cs="Arial" w:eastAsia="Arial" w:hAnsi="Arial"/>
                <w:sz w:val="18"/>
                <w:szCs w:val="18"/>
                <w:color w:val="auto"/>
                <w:w w:val="90"/>
              </w:rPr>
              <w:t>1/1 - 12/31</w:t>
            </w:r>
          </w:p>
        </w:tc>
        <w:tc>
          <w:tcPr>
            <w:tcW w:w="1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1/1 - 12/31</w:t>
            </w:r>
          </w:p>
        </w:tc>
        <w:tc>
          <w:tcPr>
            <w:tcW w:w="18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1/1 - 12/31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4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Horizon Shipping Enterprises</w:t>
            </w:r>
          </w:p>
        </w:tc>
        <w:tc>
          <w:tcPr>
            <w:tcW w:w="2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Corporation</w:t>
            </w: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Vessel Owning Company</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21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Marshall Is.</w:t>
            </w:r>
          </w:p>
        </w:tc>
        <w:tc>
          <w:tcPr>
            <w:tcW w:w="18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w w:val="95"/>
              </w:rPr>
              <w:t>1/1 - 12/31   1/1 - 12/31</w:t>
            </w: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1/1 - 12/31</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w w:val="97"/>
              </w:rPr>
              <w:t>Magellan Shipping Corporation</w:t>
            </w:r>
          </w:p>
        </w:tc>
        <w:tc>
          <w:tcPr>
            <w:tcW w:w="2320" w:type="dxa"/>
            <w:vAlign w:val="bottom"/>
            <w:gridSpan w:val="2"/>
          </w:tcPr>
          <w:p>
            <w:pPr>
              <w:spacing w:after="0"/>
              <w:rPr>
                <w:sz w:val="20"/>
                <w:szCs w:val="20"/>
                <w:color w:val="auto"/>
              </w:rPr>
            </w:pPr>
            <w:r>
              <w:rPr>
                <w:rFonts w:ascii="Arial" w:cs="Arial" w:eastAsia="Arial" w:hAnsi="Arial"/>
                <w:sz w:val="18"/>
                <w:szCs w:val="18"/>
                <w:color w:val="auto"/>
              </w:rPr>
              <w:t>Vessel Owning Company</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Marshall Is.</w:t>
            </w:r>
          </w:p>
        </w:tc>
        <w:tc>
          <w:tcPr>
            <w:tcW w:w="1860" w:type="dxa"/>
            <w:vAlign w:val="bottom"/>
            <w:gridSpan w:val="3"/>
          </w:tcPr>
          <w:p>
            <w:pPr>
              <w:ind w:left="60"/>
              <w:spacing w:after="0"/>
              <w:rPr>
                <w:sz w:val="20"/>
                <w:szCs w:val="20"/>
                <w:color w:val="auto"/>
              </w:rPr>
            </w:pPr>
            <w:r>
              <w:rPr>
                <w:rFonts w:ascii="Arial" w:cs="Arial" w:eastAsia="Arial" w:hAnsi="Arial"/>
                <w:sz w:val="18"/>
                <w:szCs w:val="18"/>
                <w:color w:val="auto"/>
                <w:w w:val="95"/>
              </w:rPr>
              <w:t>1/1 - 12/31   1/1 - 12/31</w:t>
            </w:r>
          </w:p>
        </w:tc>
        <w:tc>
          <w:tcPr>
            <w:tcW w:w="18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1/1 - 12/31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Aegean Shipping Corporation</w:t>
            </w: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Company</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21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Marshall Is.</w:t>
            </w:r>
          </w:p>
        </w:tc>
        <w:tc>
          <w:tcPr>
            <w:tcW w:w="860" w:type="dxa"/>
            <w:vAlign w:val="bottom"/>
            <w:shd w:val="clear" w:color="auto" w:fill="CCEEFF"/>
          </w:tcPr>
          <w:p>
            <w:pPr>
              <w:ind w:left="60"/>
              <w:spacing w:after="0"/>
              <w:rPr>
                <w:sz w:val="20"/>
                <w:szCs w:val="20"/>
                <w:color w:val="auto"/>
              </w:rPr>
            </w:pPr>
            <w:r>
              <w:rPr>
                <w:rFonts w:ascii="Arial" w:cs="Arial" w:eastAsia="Arial" w:hAnsi="Arial"/>
                <w:sz w:val="18"/>
                <w:szCs w:val="18"/>
                <w:color w:val="auto"/>
                <w:w w:val="90"/>
              </w:rPr>
              <w:t>1/1 - 12/31</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1/1 - 12/31</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1/1 - 12/31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10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F-15</w:t>
            </w: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NAVIOS MARITIME HOLDINGS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(Expressed in thousands of U.S. dollars — except share data)</w:t>
      </w:r>
    </w:p>
    <w:p>
      <w:pPr>
        <w:spacing w:after="0" w:line="12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1"/>
              </w:rPr>
              <w:t>Ownership</w:t>
            </w:r>
          </w:p>
        </w:tc>
        <w:tc>
          <w:tcPr>
            <w:tcW w:w="2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Country of</w:t>
            </w:r>
          </w:p>
        </w:tc>
        <w:tc>
          <w:tcPr>
            <w:tcW w:w="2740" w:type="dxa"/>
            <w:vAlign w:val="bottom"/>
            <w:gridSpan w:val="5"/>
          </w:tcPr>
          <w:p>
            <w:pPr>
              <w:jc w:val="right"/>
              <w:ind w:right="513"/>
              <w:spacing w:after="0"/>
              <w:rPr>
                <w:sz w:val="20"/>
                <w:szCs w:val="20"/>
                <w:color w:val="auto"/>
              </w:rPr>
            </w:pPr>
            <w:r>
              <w:rPr>
                <w:rFonts w:ascii="Arial" w:cs="Arial" w:eastAsia="Arial" w:hAnsi="Arial"/>
                <w:sz w:val="14"/>
                <w:szCs w:val="14"/>
                <w:b w:val="1"/>
                <w:bCs w:val="1"/>
                <w:color w:val="auto"/>
              </w:rPr>
              <w:t>Statements of Operations</w:t>
            </w:r>
          </w:p>
        </w:tc>
        <w:tc>
          <w:tcPr>
            <w:tcW w:w="0" w:type="dxa"/>
            <w:vAlign w:val="bottom"/>
          </w:tcPr>
          <w:p>
            <w:pPr>
              <w:spacing w:after="0"/>
              <w:rPr>
                <w:sz w:val="1"/>
                <w:szCs w:val="1"/>
                <w:color w:val="auto"/>
              </w:rPr>
            </w:pPr>
          </w:p>
        </w:tc>
      </w:tr>
      <w:tr>
        <w:trPr>
          <w:trHeight w:val="23"/>
        </w:trPr>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w w:val="92"/>
              </w:rPr>
              <w:t>Company Name</w:t>
            </w:r>
          </w:p>
        </w:tc>
        <w:tc>
          <w:tcPr>
            <w:tcW w:w="156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20" w:type="dxa"/>
            <w:vAlign w:val="bottom"/>
            <w:gridSpan w:val="2"/>
            <w:vMerge w:val="restart"/>
          </w:tcPr>
          <w:p>
            <w:pPr>
              <w:ind w:left="880"/>
              <w:spacing w:after="0"/>
              <w:rPr>
                <w:sz w:val="20"/>
                <w:szCs w:val="20"/>
                <w:color w:val="auto"/>
              </w:rPr>
            </w:pPr>
            <w:r>
              <w:rPr>
                <w:rFonts w:ascii="Arial" w:cs="Arial" w:eastAsia="Arial" w:hAnsi="Arial"/>
                <w:sz w:val="14"/>
                <w:szCs w:val="14"/>
                <w:b w:val="1"/>
                <w:bCs w:val="1"/>
                <w:color w:val="auto"/>
              </w:rPr>
              <w:t>Nature</w:t>
            </w:r>
          </w:p>
        </w:tc>
        <w:tc>
          <w:tcPr>
            <w:tcW w:w="10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Interest</w:t>
            </w:r>
          </w:p>
        </w:tc>
        <w:tc>
          <w:tcPr>
            <w:tcW w:w="23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Incorporation</w:t>
            </w: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1000" w:type="dxa"/>
            <w:vAlign w:val="bottom"/>
            <w:tcBorders>
              <w:bottom w:val="single" w:sz="8" w:color="auto"/>
            </w:tcBorders>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32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300" w:type="dxa"/>
            <w:vAlign w:val="bottom"/>
            <w:gridSpan w:val="2"/>
            <w:vMerge w:val="continue"/>
          </w:tcPr>
          <w:p>
            <w:pPr>
              <w:spacing w:after="0"/>
              <w:rPr>
                <w:sz w:val="12"/>
                <w:szCs w:val="12"/>
                <w:color w:val="auto"/>
              </w:rPr>
            </w:pPr>
          </w:p>
        </w:tc>
        <w:tc>
          <w:tcPr>
            <w:tcW w:w="8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2"/>
                <w:szCs w:val="12"/>
                <w:color w:val="auto"/>
              </w:rPr>
            </w:pPr>
          </w:p>
        </w:tc>
        <w:tc>
          <w:tcPr>
            <w:tcW w:w="8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2"/>
                <w:szCs w:val="12"/>
                <w:color w:val="auto"/>
              </w:rPr>
            </w:pPr>
          </w:p>
        </w:tc>
        <w:tc>
          <w:tcPr>
            <w:tcW w:w="800" w:type="dxa"/>
            <w:vAlign w:val="bottom"/>
          </w:tcPr>
          <w:p>
            <w:pPr>
              <w:jc w:val="right"/>
              <w:ind w:right="173"/>
              <w:spacing w:after="0" w:line="129"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75"/>
        </w:trPr>
        <w:tc>
          <w:tcPr>
            <w:tcW w:w="256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Star Maritime Enterprises</w:t>
            </w:r>
          </w:p>
        </w:tc>
        <w:tc>
          <w:tcPr>
            <w:tcW w:w="100" w:type="dxa"/>
            <w:vAlign w:val="bottom"/>
            <w:tcBorders>
              <w:top w:val="single" w:sz="8" w:color="CCEEFF"/>
            </w:tcBorders>
            <w:shd w:val="clear" w:color="auto" w:fill="CCEEFF"/>
          </w:tcPr>
          <w:p>
            <w:pPr>
              <w:spacing w:after="0"/>
              <w:rPr>
                <w:sz w:val="15"/>
                <w:szCs w:val="15"/>
                <w:color w:val="auto"/>
              </w:rPr>
            </w:pPr>
          </w:p>
        </w:tc>
        <w:tc>
          <w:tcPr>
            <w:tcW w:w="22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2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Corporation</w:t>
            </w:r>
          </w:p>
        </w:tc>
        <w:tc>
          <w:tcPr>
            <w:tcW w:w="24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Vessel Owning Company</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23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Marshall Is.</w:t>
            </w:r>
          </w:p>
        </w:tc>
        <w:tc>
          <w:tcPr>
            <w:tcW w:w="27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97"/>
              </w:rPr>
              <w:t>1/1 - 12/31  1/1 - 12/31  1/1 - 12/31</w:t>
            </w:r>
          </w:p>
        </w:tc>
        <w:tc>
          <w:tcPr>
            <w:tcW w:w="0" w:type="dxa"/>
            <w:vAlign w:val="bottom"/>
          </w:tcPr>
          <w:p>
            <w:pPr>
              <w:spacing w:after="0"/>
              <w:rPr>
                <w:sz w:val="1"/>
                <w:szCs w:val="1"/>
                <w:color w:val="auto"/>
              </w:rPr>
            </w:pPr>
          </w:p>
        </w:tc>
      </w:tr>
      <w:tr>
        <w:trPr>
          <w:trHeight w:val="216"/>
        </w:trPr>
        <w:tc>
          <w:tcPr>
            <w:tcW w:w="2560" w:type="dxa"/>
            <w:vAlign w:val="bottom"/>
            <w:gridSpan w:val="2"/>
          </w:tcPr>
          <w:p>
            <w:pPr>
              <w:spacing w:after="0"/>
              <w:rPr>
                <w:sz w:val="20"/>
                <w:szCs w:val="20"/>
                <w:color w:val="auto"/>
              </w:rPr>
            </w:pPr>
            <w:r>
              <w:rPr>
                <w:rFonts w:ascii="Arial" w:cs="Arial" w:eastAsia="Arial" w:hAnsi="Arial"/>
                <w:sz w:val="18"/>
                <w:szCs w:val="18"/>
                <w:color w:val="auto"/>
              </w:rPr>
              <w:t>Corsair Shipping Ltd.</w:t>
            </w:r>
          </w:p>
        </w:tc>
        <w:tc>
          <w:tcPr>
            <w:tcW w:w="2420" w:type="dxa"/>
            <w:vAlign w:val="bottom"/>
            <w:gridSpan w:val="3"/>
          </w:tcPr>
          <w:p>
            <w:pPr>
              <w:ind w:left="100"/>
              <w:spacing w:after="0"/>
              <w:rPr>
                <w:sz w:val="20"/>
                <w:szCs w:val="20"/>
                <w:color w:val="auto"/>
              </w:rPr>
            </w:pPr>
            <w:r>
              <w:rPr>
                <w:rFonts w:ascii="Arial" w:cs="Arial" w:eastAsia="Arial" w:hAnsi="Arial"/>
                <w:sz w:val="18"/>
                <w:szCs w:val="18"/>
                <w:color w:val="auto"/>
              </w:rPr>
              <w:t>Vessel Owning Company</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Marshall Is.</w:t>
            </w:r>
          </w:p>
        </w:tc>
        <w:tc>
          <w:tcPr>
            <w:tcW w:w="2740" w:type="dxa"/>
            <w:vAlign w:val="bottom"/>
            <w:gridSpan w:val="5"/>
          </w:tcPr>
          <w:p>
            <w:pPr>
              <w:jc w:val="right"/>
              <w:spacing w:after="0"/>
              <w:rPr>
                <w:sz w:val="20"/>
                <w:szCs w:val="20"/>
                <w:color w:val="auto"/>
              </w:rPr>
            </w:pPr>
            <w:r>
              <w:rPr>
                <w:rFonts w:ascii="Arial" w:cs="Arial" w:eastAsia="Arial" w:hAnsi="Arial"/>
                <w:sz w:val="18"/>
                <w:szCs w:val="18"/>
                <w:color w:val="auto"/>
                <w:w w:val="97"/>
              </w:rPr>
              <w:t>1/1 - 12/31  1/1 - 12/31  1/1 - 12/31</w:t>
            </w:r>
          </w:p>
        </w:tc>
        <w:tc>
          <w:tcPr>
            <w:tcW w:w="0" w:type="dxa"/>
            <w:vAlign w:val="bottom"/>
          </w:tcPr>
          <w:p>
            <w:pPr>
              <w:spacing w:after="0"/>
              <w:rPr>
                <w:sz w:val="1"/>
                <w:szCs w:val="1"/>
                <w:color w:val="auto"/>
              </w:rPr>
            </w:pPr>
          </w:p>
        </w:tc>
      </w:tr>
      <w:tr>
        <w:trPr>
          <w:trHeight w:val="216"/>
        </w:trPr>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Rowboat Marine Inc.</w:t>
            </w:r>
          </w:p>
        </w:tc>
        <w:tc>
          <w:tcPr>
            <w:tcW w:w="24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Operating Company</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23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Marshall Is.</w:t>
            </w:r>
          </w:p>
        </w:tc>
        <w:tc>
          <w:tcPr>
            <w:tcW w:w="27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97"/>
              </w:rPr>
              <w:t>1/1 - 12/31  1/1 - 12/31  1/1 - 12/31</w:t>
            </w:r>
          </w:p>
        </w:tc>
        <w:tc>
          <w:tcPr>
            <w:tcW w:w="0" w:type="dxa"/>
            <w:vAlign w:val="bottom"/>
          </w:tcPr>
          <w:p>
            <w:pPr>
              <w:spacing w:after="0"/>
              <w:rPr>
                <w:sz w:val="1"/>
                <w:szCs w:val="1"/>
                <w:color w:val="auto"/>
              </w:rPr>
            </w:pPr>
          </w:p>
        </w:tc>
      </w:tr>
      <w:tr>
        <w:trPr>
          <w:trHeight w:val="216"/>
        </w:trPr>
        <w:tc>
          <w:tcPr>
            <w:tcW w:w="2560" w:type="dxa"/>
            <w:vAlign w:val="bottom"/>
            <w:gridSpan w:val="2"/>
          </w:tcPr>
          <w:p>
            <w:pPr>
              <w:spacing w:after="0"/>
              <w:rPr>
                <w:sz w:val="20"/>
                <w:szCs w:val="20"/>
                <w:color w:val="auto"/>
              </w:rPr>
            </w:pPr>
            <w:r>
              <w:rPr>
                <w:rFonts w:ascii="Arial" w:cs="Arial" w:eastAsia="Arial" w:hAnsi="Arial"/>
                <w:sz w:val="18"/>
                <w:szCs w:val="18"/>
                <w:color w:val="auto"/>
              </w:rPr>
              <w:t>Rondine Management Corp</w:t>
            </w:r>
            <w:r>
              <w:rPr>
                <w:rFonts w:ascii="Arial" w:cs="Arial" w:eastAsia="Arial" w:hAnsi="Arial"/>
                <w:sz w:val="15"/>
                <w:szCs w:val="15"/>
                <w:color w:val="auto"/>
              </w:rPr>
              <w:t>.</w:t>
            </w:r>
          </w:p>
        </w:tc>
        <w:tc>
          <w:tcPr>
            <w:tcW w:w="2420" w:type="dxa"/>
            <w:vAlign w:val="bottom"/>
            <w:gridSpan w:val="3"/>
          </w:tcPr>
          <w:p>
            <w:pPr>
              <w:ind w:left="100"/>
              <w:spacing w:after="0"/>
              <w:rPr>
                <w:sz w:val="20"/>
                <w:szCs w:val="20"/>
                <w:color w:val="auto"/>
              </w:rPr>
            </w:pPr>
            <w:r>
              <w:rPr>
                <w:rFonts w:ascii="Arial" w:cs="Arial" w:eastAsia="Arial" w:hAnsi="Arial"/>
                <w:sz w:val="18"/>
                <w:szCs w:val="18"/>
                <w:color w:val="auto"/>
              </w:rPr>
              <w:t>Vessel Owning Company</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Marshall Is.</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1/1 - 9/30</w:t>
            </w:r>
          </w:p>
        </w:tc>
        <w:tc>
          <w:tcPr>
            <w:tcW w:w="1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3/22 - 12/31</w:t>
            </w:r>
          </w:p>
        </w:tc>
        <w:tc>
          <w:tcPr>
            <w:tcW w:w="120" w:type="dxa"/>
            <w:vAlign w:val="bottom"/>
          </w:tcPr>
          <w:p>
            <w:pPr>
              <w:spacing w:after="0"/>
              <w:rPr>
                <w:sz w:val="18"/>
                <w:szCs w:val="18"/>
                <w:color w:val="auto"/>
              </w:rPr>
            </w:pPr>
          </w:p>
        </w:tc>
        <w:tc>
          <w:tcPr>
            <w:tcW w:w="800" w:type="dxa"/>
            <w:vAlign w:val="bottom"/>
          </w:tcPr>
          <w:p>
            <w:pPr>
              <w:jc w:val="right"/>
              <w:ind w:right="2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Vernazza Shiptrade Inc.</w:t>
            </w:r>
          </w:p>
        </w:tc>
        <w:tc>
          <w:tcPr>
            <w:tcW w:w="24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Operating Company</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23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Marshall Is.</w:t>
            </w:r>
          </w:p>
        </w:tc>
        <w:tc>
          <w:tcPr>
            <w:tcW w:w="9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1/1—12/31</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9/25 - 12/31</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560" w:type="dxa"/>
            <w:vAlign w:val="bottom"/>
            <w:gridSpan w:val="2"/>
          </w:tcPr>
          <w:p>
            <w:pPr>
              <w:spacing w:after="0" w:line="201" w:lineRule="exact"/>
              <w:rPr>
                <w:sz w:val="20"/>
                <w:szCs w:val="20"/>
                <w:color w:val="auto"/>
              </w:rPr>
            </w:pPr>
            <w:r>
              <w:rPr>
                <w:rFonts w:ascii="Arial" w:cs="Arial" w:eastAsia="Arial" w:hAnsi="Arial"/>
                <w:sz w:val="18"/>
                <w:szCs w:val="18"/>
                <w:color w:val="auto"/>
                <w:w w:val="96"/>
              </w:rPr>
              <w:t>Navios Corporation Management</w:t>
            </w:r>
          </w:p>
        </w:tc>
        <w:tc>
          <w:tcPr>
            <w:tcW w:w="1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60" w:type="dxa"/>
            <w:vAlign w:val="bottom"/>
            <w:gridSpan w:val="2"/>
          </w:tcPr>
          <w:p>
            <w:pPr>
              <w:ind w:left="180"/>
              <w:spacing w:after="0"/>
              <w:rPr>
                <w:sz w:val="20"/>
                <w:szCs w:val="20"/>
                <w:color w:val="auto"/>
              </w:rPr>
            </w:pPr>
            <w:r>
              <w:rPr>
                <w:rFonts w:ascii="Arial" w:cs="Arial" w:eastAsia="Arial" w:hAnsi="Arial"/>
                <w:sz w:val="18"/>
                <w:szCs w:val="18"/>
                <w:color w:val="auto"/>
              </w:rPr>
              <w:t>Inc.</w:t>
            </w:r>
          </w:p>
        </w:tc>
        <w:tc>
          <w:tcPr>
            <w:tcW w:w="2420" w:type="dxa"/>
            <w:vAlign w:val="bottom"/>
            <w:gridSpan w:val="3"/>
          </w:tcPr>
          <w:p>
            <w:pPr>
              <w:ind w:left="100"/>
              <w:spacing w:after="0"/>
              <w:rPr>
                <w:sz w:val="20"/>
                <w:szCs w:val="20"/>
                <w:color w:val="auto"/>
              </w:rPr>
            </w:pPr>
            <w:r>
              <w:rPr>
                <w:rFonts w:ascii="Arial" w:cs="Arial" w:eastAsia="Arial" w:hAnsi="Arial"/>
                <w:sz w:val="18"/>
                <w:szCs w:val="18"/>
                <w:color w:val="auto"/>
              </w:rPr>
              <w:t>Operating Company</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Marshall Is.</w:t>
            </w:r>
          </w:p>
        </w:tc>
        <w:tc>
          <w:tcPr>
            <w:tcW w:w="9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7/4 - 8/29</w:t>
            </w:r>
          </w:p>
        </w:tc>
        <w:tc>
          <w:tcPr>
            <w:tcW w:w="120" w:type="dxa"/>
            <w:vAlign w:val="bottom"/>
          </w:tcPr>
          <w:p>
            <w:pPr>
              <w:spacing w:after="0"/>
              <w:rPr>
                <w:sz w:val="20"/>
                <w:szCs w:val="20"/>
                <w:color w:val="auto"/>
              </w:rPr>
            </w:pPr>
          </w:p>
        </w:tc>
        <w:tc>
          <w:tcPr>
            <w:tcW w:w="800" w:type="dxa"/>
            <w:vAlign w:val="bottom"/>
          </w:tcPr>
          <w:p>
            <w:pPr>
              <w:jc w:val="right"/>
              <w:ind w:right="2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Beaufiks Shipping Corporation</w:t>
            </w:r>
          </w:p>
        </w:tc>
        <w:tc>
          <w:tcPr>
            <w:tcW w:w="24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Operating Company</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23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Marshall Is.</w:t>
            </w:r>
          </w:p>
        </w:tc>
        <w:tc>
          <w:tcPr>
            <w:tcW w:w="27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97"/>
              </w:rPr>
              <w:t>1/1 - 12/31  1/1 - 12/31  1/1 - 12/31</w:t>
            </w:r>
          </w:p>
        </w:tc>
        <w:tc>
          <w:tcPr>
            <w:tcW w:w="0" w:type="dxa"/>
            <w:vAlign w:val="bottom"/>
          </w:tcPr>
          <w:p>
            <w:pPr>
              <w:spacing w:after="0"/>
              <w:rPr>
                <w:sz w:val="1"/>
                <w:szCs w:val="1"/>
                <w:color w:val="auto"/>
              </w:rPr>
            </w:pPr>
          </w:p>
        </w:tc>
      </w:tr>
      <w:tr>
        <w:trPr>
          <w:trHeight w:val="216"/>
        </w:trPr>
        <w:tc>
          <w:tcPr>
            <w:tcW w:w="2560" w:type="dxa"/>
            <w:vAlign w:val="bottom"/>
            <w:gridSpan w:val="2"/>
          </w:tcPr>
          <w:p>
            <w:pPr>
              <w:spacing w:after="0"/>
              <w:rPr>
                <w:sz w:val="20"/>
                <w:szCs w:val="20"/>
                <w:color w:val="auto"/>
              </w:rPr>
            </w:pPr>
            <w:r>
              <w:rPr>
                <w:rFonts w:ascii="Arial" w:cs="Arial" w:eastAsia="Arial" w:hAnsi="Arial"/>
                <w:sz w:val="18"/>
                <w:szCs w:val="18"/>
                <w:color w:val="auto"/>
              </w:rPr>
              <w:t>Nostos Shipmanagement Corp.</w:t>
            </w:r>
          </w:p>
        </w:tc>
        <w:tc>
          <w:tcPr>
            <w:tcW w:w="2420" w:type="dxa"/>
            <w:vAlign w:val="bottom"/>
            <w:gridSpan w:val="3"/>
          </w:tcPr>
          <w:p>
            <w:pPr>
              <w:ind w:left="100"/>
              <w:spacing w:after="0"/>
              <w:rPr>
                <w:sz w:val="20"/>
                <w:szCs w:val="20"/>
                <w:color w:val="auto"/>
              </w:rPr>
            </w:pPr>
            <w:r>
              <w:rPr>
                <w:rFonts w:ascii="Arial" w:cs="Arial" w:eastAsia="Arial" w:hAnsi="Arial"/>
                <w:sz w:val="18"/>
                <w:szCs w:val="18"/>
                <w:color w:val="auto"/>
              </w:rPr>
              <w:t>Vessel Owning Company</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Marshall Is.</w:t>
            </w:r>
          </w:p>
        </w:tc>
        <w:tc>
          <w:tcPr>
            <w:tcW w:w="2740" w:type="dxa"/>
            <w:vAlign w:val="bottom"/>
            <w:gridSpan w:val="5"/>
          </w:tcPr>
          <w:p>
            <w:pPr>
              <w:jc w:val="right"/>
              <w:spacing w:after="0"/>
              <w:rPr>
                <w:sz w:val="20"/>
                <w:szCs w:val="20"/>
                <w:color w:val="auto"/>
              </w:rPr>
            </w:pPr>
            <w:r>
              <w:rPr>
                <w:rFonts w:ascii="Arial" w:cs="Arial" w:eastAsia="Arial" w:hAnsi="Arial"/>
                <w:sz w:val="18"/>
                <w:szCs w:val="18"/>
                <w:color w:val="auto"/>
                <w:w w:val="97"/>
              </w:rPr>
              <w:t>1/1 - 12/31  1/1 - 12/31  1/1 - 12/31</w:t>
            </w:r>
          </w:p>
        </w:tc>
        <w:tc>
          <w:tcPr>
            <w:tcW w:w="0" w:type="dxa"/>
            <w:vAlign w:val="bottom"/>
          </w:tcPr>
          <w:p>
            <w:pPr>
              <w:spacing w:after="0"/>
              <w:rPr>
                <w:sz w:val="1"/>
                <w:szCs w:val="1"/>
                <w:color w:val="auto"/>
              </w:rPr>
            </w:pPr>
          </w:p>
        </w:tc>
      </w:tr>
      <w:tr>
        <w:trPr>
          <w:trHeight w:val="216"/>
        </w:trPr>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Portorosa Marine Corp.</w:t>
            </w:r>
          </w:p>
        </w:tc>
        <w:tc>
          <w:tcPr>
            <w:tcW w:w="24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Operating Company</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23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Marshall Is.</w:t>
            </w:r>
          </w:p>
        </w:tc>
        <w:tc>
          <w:tcPr>
            <w:tcW w:w="27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97"/>
              </w:rPr>
              <w:t>1/1 - 12/31  1/1 - 12/31  1/1 - 12/31</w:t>
            </w:r>
          </w:p>
        </w:tc>
        <w:tc>
          <w:tcPr>
            <w:tcW w:w="0" w:type="dxa"/>
            <w:vAlign w:val="bottom"/>
          </w:tcPr>
          <w:p>
            <w:pPr>
              <w:spacing w:after="0"/>
              <w:rPr>
                <w:sz w:val="1"/>
                <w:szCs w:val="1"/>
                <w:color w:val="auto"/>
              </w:rPr>
            </w:pPr>
          </w:p>
        </w:tc>
      </w:tr>
      <w:tr>
        <w:trPr>
          <w:trHeight w:val="216"/>
        </w:trPr>
        <w:tc>
          <w:tcPr>
            <w:tcW w:w="2560" w:type="dxa"/>
            <w:vAlign w:val="bottom"/>
            <w:gridSpan w:val="2"/>
          </w:tcPr>
          <w:p>
            <w:pPr>
              <w:spacing w:after="0"/>
              <w:rPr>
                <w:sz w:val="20"/>
                <w:szCs w:val="20"/>
                <w:color w:val="auto"/>
              </w:rPr>
            </w:pPr>
            <w:r>
              <w:rPr>
                <w:rFonts w:ascii="Arial" w:cs="Arial" w:eastAsia="Arial" w:hAnsi="Arial"/>
                <w:sz w:val="18"/>
                <w:szCs w:val="18"/>
                <w:color w:val="auto"/>
              </w:rPr>
              <w:t>Shikhar Ventures S.A.</w:t>
            </w:r>
          </w:p>
        </w:tc>
        <w:tc>
          <w:tcPr>
            <w:tcW w:w="2420" w:type="dxa"/>
            <w:vAlign w:val="bottom"/>
            <w:gridSpan w:val="3"/>
          </w:tcPr>
          <w:p>
            <w:pPr>
              <w:ind w:left="100"/>
              <w:spacing w:after="0"/>
              <w:rPr>
                <w:sz w:val="20"/>
                <w:szCs w:val="20"/>
                <w:color w:val="auto"/>
              </w:rPr>
            </w:pPr>
            <w:r>
              <w:rPr>
                <w:rFonts w:ascii="Arial" w:cs="Arial" w:eastAsia="Arial" w:hAnsi="Arial"/>
                <w:sz w:val="18"/>
                <w:szCs w:val="18"/>
                <w:color w:val="auto"/>
              </w:rPr>
              <w:t>Vessel Owning Company</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Liberia</w:t>
            </w:r>
          </w:p>
        </w:tc>
        <w:tc>
          <w:tcPr>
            <w:tcW w:w="2740" w:type="dxa"/>
            <w:vAlign w:val="bottom"/>
            <w:gridSpan w:val="5"/>
          </w:tcPr>
          <w:p>
            <w:pPr>
              <w:jc w:val="right"/>
              <w:spacing w:after="0"/>
              <w:rPr>
                <w:sz w:val="20"/>
                <w:szCs w:val="20"/>
                <w:color w:val="auto"/>
              </w:rPr>
            </w:pPr>
            <w:r>
              <w:rPr>
                <w:rFonts w:ascii="Arial" w:cs="Arial" w:eastAsia="Arial" w:hAnsi="Arial"/>
                <w:sz w:val="18"/>
                <w:szCs w:val="18"/>
                <w:color w:val="auto"/>
                <w:w w:val="97"/>
              </w:rPr>
              <w:t>1/1 - 12/31  1/1 - 12/31  1/1 - 12/31</w:t>
            </w:r>
          </w:p>
        </w:tc>
        <w:tc>
          <w:tcPr>
            <w:tcW w:w="0" w:type="dxa"/>
            <w:vAlign w:val="bottom"/>
          </w:tcPr>
          <w:p>
            <w:pPr>
              <w:spacing w:after="0"/>
              <w:rPr>
                <w:sz w:val="1"/>
                <w:szCs w:val="1"/>
                <w:color w:val="auto"/>
              </w:rPr>
            </w:pPr>
          </w:p>
        </w:tc>
      </w:tr>
      <w:tr>
        <w:trPr>
          <w:trHeight w:val="216"/>
        </w:trPr>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Sizzling Ventures Inc.</w:t>
            </w:r>
          </w:p>
        </w:tc>
        <w:tc>
          <w:tcPr>
            <w:tcW w:w="24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Operating Company</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23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6"/>
              </w:rPr>
              <w:t>Liberia</w:t>
            </w:r>
          </w:p>
        </w:tc>
        <w:tc>
          <w:tcPr>
            <w:tcW w:w="27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97"/>
              </w:rPr>
              <w:t>1/1 - 12/31  1/1 - 12/31  1/1 - 12/31</w:t>
            </w:r>
          </w:p>
        </w:tc>
        <w:tc>
          <w:tcPr>
            <w:tcW w:w="0" w:type="dxa"/>
            <w:vAlign w:val="bottom"/>
          </w:tcPr>
          <w:p>
            <w:pPr>
              <w:spacing w:after="0"/>
              <w:rPr>
                <w:sz w:val="1"/>
                <w:szCs w:val="1"/>
                <w:color w:val="auto"/>
              </w:rPr>
            </w:pPr>
          </w:p>
        </w:tc>
      </w:tr>
      <w:tr>
        <w:trPr>
          <w:trHeight w:val="216"/>
        </w:trPr>
        <w:tc>
          <w:tcPr>
            <w:tcW w:w="2560" w:type="dxa"/>
            <w:vAlign w:val="bottom"/>
            <w:gridSpan w:val="2"/>
          </w:tcPr>
          <w:p>
            <w:pPr>
              <w:spacing w:after="0"/>
              <w:rPr>
                <w:sz w:val="20"/>
                <w:szCs w:val="20"/>
                <w:color w:val="auto"/>
              </w:rPr>
            </w:pPr>
            <w:r>
              <w:rPr>
                <w:rFonts w:ascii="Arial" w:cs="Arial" w:eastAsia="Arial" w:hAnsi="Arial"/>
                <w:sz w:val="18"/>
                <w:szCs w:val="18"/>
                <w:color w:val="auto"/>
              </w:rPr>
              <w:t>Rheia Associates Co.</w:t>
            </w:r>
          </w:p>
        </w:tc>
        <w:tc>
          <w:tcPr>
            <w:tcW w:w="2420" w:type="dxa"/>
            <w:vAlign w:val="bottom"/>
            <w:gridSpan w:val="3"/>
          </w:tcPr>
          <w:p>
            <w:pPr>
              <w:ind w:left="100"/>
              <w:spacing w:after="0"/>
              <w:rPr>
                <w:sz w:val="20"/>
                <w:szCs w:val="20"/>
                <w:color w:val="auto"/>
              </w:rPr>
            </w:pPr>
            <w:r>
              <w:rPr>
                <w:rFonts w:ascii="Arial" w:cs="Arial" w:eastAsia="Arial" w:hAnsi="Arial"/>
                <w:sz w:val="18"/>
                <w:szCs w:val="18"/>
                <w:color w:val="auto"/>
              </w:rPr>
              <w:t>Operating Company</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Marshall Is.</w:t>
            </w:r>
          </w:p>
        </w:tc>
        <w:tc>
          <w:tcPr>
            <w:tcW w:w="2740" w:type="dxa"/>
            <w:vAlign w:val="bottom"/>
            <w:gridSpan w:val="5"/>
          </w:tcPr>
          <w:p>
            <w:pPr>
              <w:jc w:val="right"/>
              <w:spacing w:after="0"/>
              <w:rPr>
                <w:sz w:val="20"/>
                <w:szCs w:val="20"/>
                <w:color w:val="auto"/>
              </w:rPr>
            </w:pPr>
            <w:r>
              <w:rPr>
                <w:rFonts w:ascii="Arial" w:cs="Arial" w:eastAsia="Arial" w:hAnsi="Arial"/>
                <w:sz w:val="18"/>
                <w:szCs w:val="18"/>
                <w:color w:val="auto"/>
                <w:w w:val="97"/>
              </w:rPr>
              <w:t>1/1 - 12/31  1/1 - 12/31  1/1 - 12/31</w:t>
            </w:r>
          </w:p>
        </w:tc>
        <w:tc>
          <w:tcPr>
            <w:tcW w:w="0" w:type="dxa"/>
            <w:vAlign w:val="bottom"/>
          </w:tcPr>
          <w:p>
            <w:pPr>
              <w:spacing w:after="0"/>
              <w:rPr>
                <w:sz w:val="1"/>
                <w:szCs w:val="1"/>
                <w:color w:val="auto"/>
              </w:rPr>
            </w:pPr>
          </w:p>
        </w:tc>
      </w:tr>
      <w:tr>
        <w:trPr>
          <w:trHeight w:val="216"/>
        </w:trPr>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Taharqa Spirit Corp.</w:t>
            </w:r>
          </w:p>
        </w:tc>
        <w:tc>
          <w:tcPr>
            <w:tcW w:w="24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Operating Company</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23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Marshall Is.</w:t>
            </w:r>
          </w:p>
        </w:tc>
        <w:tc>
          <w:tcPr>
            <w:tcW w:w="27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97"/>
              </w:rPr>
              <w:t>1/1 - 12/31  1/1 - 12/31  1/1 - 12/31</w:t>
            </w:r>
          </w:p>
        </w:tc>
        <w:tc>
          <w:tcPr>
            <w:tcW w:w="0" w:type="dxa"/>
            <w:vAlign w:val="bottom"/>
          </w:tcPr>
          <w:p>
            <w:pPr>
              <w:spacing w:after="0"/>
              <w:rPr>
                <w:sz w:val="1"/>
                <w:szCs w:val="1"/>
                <w:color w:val="auto"/>
              </w:rPr>
            </w:pPr>
          </w:p>
        </w:tc>
      </w:tr>
      <w:tr>
        <w:trPr>
          <w:trHeight w:val="216"/>
        </w:trPr>
        <w:tc>
          <w:tcPr>
            <w:tcW w:w="2560" w:type="dxa"/>
            <w:vAlign w:val="bottom"/>
            <w:gridSpan w:val="2"/>
          </w:tcPr>
          <w:p>
            <w:pPr>
              <w:spacing w:after="0"/>
              <w:rPr>
                <w:sz w:val="20"/>
                <w:szCs w:val="20"/>
                <w:color w:val="auto"/>
              </w:rPr>
            </w:pPr>
            <w:r>
              <w:rPr>
                <w:rFonts w:ascii="Arial" w:cs="Arial" w:eastAsia="Arial" w:hAnsi="Arial"/>
                <w:sz w:val="18"/>
                <w:szCs w:val="18"/>
                <w:color w:val="auto"/>
              </w:rPr>
              <w:t>Rumer Holding Ltd.</w:t>
            </w:r>
          </w:p>
        </w:tc>
        <w:tc>
          <w:tcPr>
            <w:tcW w:w="2420" w:type="dxa"/>
            <w:vAlign w:val="bottom"/>
            <w:gridSpan w:val="3"/>
          </w:tcPr>
          <w:p>
            <w:pPr>
              <w:ind w:left="100"/>
              <w:spacing w:after="0"/>
              <w:rPr>
                <w:sz w:val="20"/>
                <w:szCs w:val="20"/>
                <w:color w:val="auto"/>
              </w:rPr>
            </w:pPr>
            <w:r>
              <w:rPr>
                <w:rFonts w:ascii="Arial" w:cs="Arial" w:eastAsia="Arial" w:hAnsi="Arial"/>
                <w:sz w:val="18"/>
                <w:szCs w:val="18"/>
                <w:color w:val="auto"/>
              </w:rPr>
              <w:t>Vessel Owning Company</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Marshall Is.</w:t>
            </w:r>
          </w:p>
        </w:tc>
        <w:tc>
          <w:tcPr>
            <w:tcW w:w="2740" w:type="dxa"/>
            <w:vAlign w:val="bottom"/>
            <w:gridSpan w:val="5"/>
          </w:tcPr>
          <w:p>
            <w:pPr>
              <w:jc w:val="right"/>
              <w:spacing w:after="0"/>
              <w:rPr>
                <w:sz w:val="20"/>
                <w:szCs w:val="20"/>
                <w:color w:val="auto"/>
              </w:rPr>
            </w:pPr>
            <w:r>
              <w:rPr>
                <w:rFonts w:ascii="Arial" w:cs="Arial" w:eastAsia="Arial" w:hAnsi="Arial"/>
                <w:sz w:val="18"/>
                <w:szCs w:val="18"/>
                <w:color w:val="auto"/>
                <w:w w:val="97"/>
              </w:rPr>
              <w:t>1/1 - 12/31  1/1 - 12/31  1/1 - 12/31</w:t>
            </w:r>
          </w:p>
        </w:tc>
        <w:tc>
          <w:tcPr>
            <w:tcW w:w="0" w:type="dxa"/>
            <w:vAlign w:val="bottom"/>
          </w:tcPr>
          <w:p>
            <w:pPr>
              <w:spacing w:after="0"/>
              <w:rPr>
                <w:sz w:val="1"/>
                <w:szCs w:val="1"/>
                <w:color w:val="auto"/>
              </w:rPr>
            </w:pPr>
          </w:p>
        </w:tc>
      </w:tr>
      <w:tr>
        <w:trPr>
          <w:trHeight w:val="216"/>
        </w:trPr>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Pharos Navigation S.A.</w:t>
            </w:r>
          </w:p>
        </w:tc>
        <w:tc>
          <w:tcPr>
            <w:tcW w:w="24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Vessel Owning Company</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23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Marshall Is.</w:t>
            </w:r>
          </w:p>
        </w:tc>
        <w:tc>
          <w:tcPr>
            <w:tcW w:w="27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97"/>
              </w:rPr>
              <w:t>1/1 - 12/31  1/1 - 12/31  1/1 - 12/31</w:t>
            </w:r>
          </w:p>
        </w:tc>
        <w:tc>
          <w:tcPr>
            <w:tcW w:w="0" w:type="dxa"/>
            <w:vAlign w:val="bottom"/>
          </w:tcPr>
          <w:p>
            <w:pPr>
              <w:spacing w:after="0"/>
              <w:rPr>
                <w:sz w:val="1"/>
                <w:szCs w:val="1"/>
                <w:color w:val="auto"/>
              </w:rPr>
            </w:pPr>
          </w:p>
        </w:tc>
      </w:tr>
      <w:tr>
        <w:trPr>
          <w:trHeight w:val="216"/>
        </w:trPr>
        <w:tc>
          <w:tcPr>
            <w:tcW w:w="2560" w:type="dxa"/>
            <w:vAlign w:val="bottom"/>
            <w:gridSpan w:val="2"/>
          </w:tcPr>
          <w:p>
            <w:pPr>
              <w:spacing w:after="0"/>
              <w:rPr>
                <w:sz w:val="20"/>
                <w:szCs w:val="20"/>
                <w:color w:val="auto"/>
              </w:rPr>
            </w:pPr>
            <w:r>
              <w:rPr>
                <w:rFonts w:ascii="Arial" w:cs="Arial" w:eastAsia="Arial" w:hAnsi="Arial"/>
                <w:sz w:val="18"/>
                <w:szCs w:val="18"/>
                <w:color w:val="auto"/>
              </w:rPr>
              <w:t>Pueblo Holdings Ltd.</w:t>
            </w:r>
          </w:p>
        </w:tc>
        <w:tc>
          <w:tcPr>
            <w:tcW w:w="2420" w:type="dxa"/>
            <w:vAlign w:val="bottom"/>
            <w:gridSpan w:val="3"/>
          </w:tcPr>
          <w:p>
            <w:pPr>
              <w:ind w:left="100"/>
              <w:spacing w:after="0"/>
              <w:rPr>
                <w:sz w:val="20"/>
                <w:szCs w:val="20"/>
                <w:color w:val="auto"/>
              </w:rPr>
            </w:pPr>
            <w:r>
              <w:rPr>
                <w:rFonts w:ascii="Arial" w:cs="Arial" w:eastAsia="Arial" w:hAnsi="Arial"/>
                <w:sz w:val="18"/>
                <w:szCs w:val="18"/>
                <w:color w:val="auto"/>
              </w:rPr>
              <w:t>Vessel Owning Company</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Marshall Is.</w:t>
            </w:r>
          </w:p>
        </w:tc>
        <w:tc>
          <w:tcPr>
            <w:tcW w:w="2740" w:type="dxa"/>
            <w:vAlign w:val="bottom"/>
            <w:gridSpan w:val="5"/>
          </w:tcPr>
          <w:p>
            <w:pPr>
              <w:jc w:val="right"/>
              <w:spacing w:after="0"/>
              <w:rPr>
                <w:sz w:val="20"/>
                <w:szCs w:val="20"/>
                <w:color w:val="auto"/>
              </w:rPr>
            </w:pPr>
            <w:r>
              <w:rPr>
                <w:rFonts w:ascii="Arial" w:cs="Arial" w:eastAsia="Arial" w:hAnsi="Arial"/>
                <w:sz w:val="18"/>
                <w:szCs w:val="18"/>
                <w:color w:val="auto"/>
                <w:w w:val="97"/>
              </w:rPr>
              <w:t>1/1 - 12/31  1/1 - 12/31  1/1 - 12/31</w:t>
            </w:r>
          </w:p>
        </w:tc>
        <w:tc>
          <w:tcPr>
            <w:tcW w:w="0" w:type="dxa"/>
            <w:vAlign w:val="bottom"/>
          </w:tcPr>
          <w:p>
            <w:pPr>
              <w:spacing w:after="0"/>
              <w:rPr>
                <w:sz w:val="1"/>
                <w:szCs w:val="1"/>
                <w:color w:val="auto"/>
              </w:rPr>
            </w:pPr>
          </w:p>
        </w:tc>
      </w:tr>
      <w:tr>
        <w:trPr>
          <w:trHeight w:val="216"/>
        </w:trPr>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Quena Shipmanagement Inc.</w:t>
            </w:r>
          </w:p>
        </w:tc>
        <w:tc>
          <w:tcPr>
            <w:tcW w:w="24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Operating Company</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23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Marshall Is.</w:t>
            </w:r>
          </w:p>
        </w:tc>
        <w:tc>
          <w:tcPr>
            <w:tcW w:w="27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97"/>
              </w:rPr>
              <w:t>1/1 - 12/31  1/1 - 12/31  1/1 - 12/31</w:t>
            </w:r>
          </w:p>
        </w:tc>
        <w:tc>
          <w:tcPr>
            <w:tcW w:w="0" w:type="dxa"/>
            <w:vAlign w:val="bottom"/>
          </w:tcPr>
          <w:p>
            <w:pPr>
              <w:spacing w:after="0"/>
              <w:rPr>
                <w:sz w:val="1"/>
                <w:szCs w:val="1"/>
                <w:color w:val="auto"/>
              </w:rPr>
            </w:pPr>
          </w:p>
        </w:tc>
      </w:tr>
      <w:tr>
        <w:trPr>
          <w:trHeight w:val="216"/>
        </w:trPr>
        <w:tc>
          <w:tcPr>
            <w:tcW w:w="2560" w:type="dxa"/>
            <w:vAlign w:val="bottom"/>
            <w:gridSpan w:val="2"/>
          </w:tcPr>
          <w:p>
            <w:pPr>
              <w:spacing w:after="0"/>
              <w:rPr>
                <w:sz w:val="20"/>
                <w:szCs w:val="20"/>
                <w:color w:val="auto"/>
              </w:rPr>
            </w:pPr>
            <w:r>
              <w:rPr>
                <w:rFonts w:ascii="Arial" w:cs="Arial" w:eastAsia="Arial" w:hAnsi="Arial"/>
                <w:sz w:val="18"/>
                <w:szCs w:val="18"/>
                <w:color w:val="auto"/>
              </w:rPr>
              <w:t>Aramis Navigation Inc.</w:t>
            </w:r>
          </w:p>
        </w:tc>
        <w:tc>
          <w:tcPr>
            <w:tcW w:w="2420" w:type="dxa"/>
            <w:vAlign w:val="bottom"/>
            <w:gridSpan w:val="3"/>
          </w:tcPr>
          <w:p>
            <w:pPr>
              <w:ind w:left="100"/>
              <w:spacing w:after="0"/>
              <w:rPr>
                <w:sz w:val="20"/>
                <w:szCs w:val="20"/>
                <w:color w:val="auto"/>
              </w:rPr>
            </w:pPr>
            <w:r>
              <w:rPr>
                <w:rFonts w:ascii="Arial" w:cs="Arial" w:eastAsia="Arial" w:hAnsi="Arial"/>
                <w:sz w:val="18"/>
                <w:szCs w:val="18"/>
                <w:color w:val="auto"/>
              </w:rPr>
              <w:t>Vessel Owning Company</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Marshall Is.</w:t>
            </w:r>
          </w:p>
        </w:tc>
        <w:tc>
          <w:tcPr>
            <w:tcW w:w="2740" w:type="dxa"/>
            <w:vAlign w:val="bottom"/>
            <w:gridSpan w:val="5"/>
          </w:tcPr>
          <w:p>
            <w:pPr>
              <w:jc w:val="right"/>
              <w:spacing w:after="0"/>
              <w:rPr>
                <w:sz w:val="20"/>
                <w:szCs w:val="20"/>
                <w:color w:val="auto"/>
              </w:rPr>
            </w:pPr>
            <w:r>
              <w:rPr>
                <w:rFonts w:ascii="Arial" w:cs="Arial" w:eastAsia="Arial" w:hAnsi="Arial"/>
                <w:sz w:val="18"/>
                <w:szCs w:val="18"/>
                <w:color w:val="auto"/>
                <w:w w:val="97"/>
              </w:rPr>
              <w:t>1/1 - 12/31  1/1 - 12/31  1/1 - 12/31</w:t>
            </w:r>
          </w:p>
        </w:tc>
        <w:tc>
          <w:tcPr>
            <w:tcW w:w="0" w:type="dxa"/>
            <w:vAlign w:val="bottom"/>
          </w:tcPr>
          <w:p>
            <w:pPr>
              <w:spacing w:after="0"/>
              <w:rPr>
                <w:sz w:val="1"/>
                <w:szCs w:val="1"/>
                <w:color w:val="auto"/>
              </w:rPr>
            </w:pPr>
          </w:p>
        </w:tc>
      </w:tr>
      <w:tr>
        <w:trPr>
          <w:trHeight w:val="216"/>
        </w:trPr>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White Narcissus Marine S.A.</w:t>
            </w:r>
          </w:p>
        </w:tc>
        <w:tc>
          <w:tcPr>
            <w:tcW w:w="24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Vessel Owning Company</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23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3"/>
              </w:rPr>
              <w:t>Panama</w:t>
            </w:r>
          </w:p>
        </w:tc>
        <w:tc>
          <w:tcPr>
            <w:tcW w:w="27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97"/>
              </w:rPr>
              <w:t>1/1 - 12/31  1/1 - 12/31  1/1 - 12/31</w:t>
            </w:r>
          </w:p>
        </w:tc>
        <w:tc>
          <w:tcPr>
            <w:tcW w:w="0" w:type="dxa"/>
            <w:vAlign w:val="bottom"/>
          </w:tcPr>
          <w:p>
            <w:pPr>
              <w:spacing w:after="0"/>
              <w:rPr>
                <w:sz w:val="1"/>
                <w:szCs w:val="1"/>
                <w:color w:val="auto"/>
              </w:rPr>
            </w:pPr>
          </w:p>
        </w:tc>
      </w:tr>
      <w:tr>
        <w:trPr>
          <w:trHeight w:val="216"/>
        </w:trPr>
        <w:tc>
          <w:tcPr>
            <w:tcW w:w="2560" w:type="dxa"/>
            <w:vAlign w:val="bottom"/>
            <w:gridSpan w:val="2"/>
          </w:tcPr>
          <w:p>
            <w:pPr>
              <w:spacing w:after="0"/>
              <w:rPr>
                <w:sz w:val="20"/>
                <w:szCs w:val="20"/>
                <w:color w:val="auto"/>
              </w:rPr>
            </w:pPr>
            <w:r>
              <w:rPr>
                <w:rFonts w:ascii="Arial" w:cs="Arial" w:eastAsia="Arial" w:hAnsi="Arial"/>
                <w:sz w:val="18"/>
                <w:szCs w:val="18"/>
                <w:color w:val="auto"/>
              </w:rPr>
              <w:t>Navios GP L.L.C.</w:t>
            </w:r>
          </w:p>
        </w:tc>
        <w:tc>
          <w:tcPr>
            <w:tcW w:w="2420" w:type="dxa"/>
            <w:vAlign w:val="bottom"/>
            <w:gridSpan w:val="3"/>
          </w:tcPr>
          <w:p>
            <w:pPr>
              <w:ind w:left="100"/>
              <w:spacing w:after="0"/>
              <w:rPr>
                <w:sz w:val="20"/>
                <w:szCs w:val="20"/>
                <w:color w:val="auto"/>
              </w:rPr>
            </w:pPr>
            <w:r>
              <w:rPr>
                <w:rFonts w:ascii="Arial" w:cs="Arial" w:eastAsia="Arial" w:hAnsi="Arial"/>
                <w:sz w:val="18"/>
                <w:szCs w:val="18"/>
                <w:color w:val="auto"/>
              </w:rPr>
              <w:t>Operating Company</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Marshall Is.</w:t>
            </w:r>
          </w:p>
        </w:tc>
        <w:tc>
          <w:tcPr>
            <w:tcW w:w="2740" w:type="dxa"/>
            <w:vAlign w:val="bottom"/>
            <w:gridSpan w:val="5"/>
          </w:tcPr>
          <w:p>
            <w:pPr>
              <w:jc w:val="right"/>
              <w:spacing w:after="0"/>
              <w:rPr>
                <w:sz w:val="20"/>
                <w:szCs w:val="20"/>
                <w:color w:val="auto"/>
              </w:rPr>
            </w:pPr>
            <w:r>
              <w:rPr>
                <w:rFonts w:ascii="Arial" w:cs="Arial" w:eastAsia="Arial" w:hAnsi="Arial"/>
                <w:sz w:val="18"/>
                <w:szCs w:val="18"/>
                <w:color w:val="auto"/>
                <w:w w:val="97"/>
              </w:rPr>
              <w:t>1/1 - 12/31  1/1 - 12/31  1/1 - 12/31</w:t>
            </w:r>
          </w:p>
        </w:tc>
        <w:tc>
          <w:tcPr>
            <w:tcW w:w="0" w:type="dxa"/>
            <w:vAlign w:val="bottom"/>
          </w:tcPr>
          <w:p>
            <w:pPr>
              <w:spacing w:after="0"/>
              <w:rPr>
                <w:sz w:val="1"/>
                <w:szCs w:val="1"/>
                <w:color w:val="auto"/>
              </w:rPr>
            </w:pPr>
          </w:p>
        </w:tc>
      </w:tr>
      <w:tr>
        <w:trPr>
          <w:trHeight w:val="216"/>
        </w:trPr>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 Rose Shipping Corp.</w:t>
            </w:r>
          </w:p>
        </w:tc>
        <w:tc>
          <w:tcPr>
            <w:tcW w:w="24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Vessel Owning Company</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23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Marshall Is.</w:t>
            </w:r>
          </w:p>
        </w:tc>
        <w:tc>
          <w:tcPr>
            <w:tcW w:w="27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97"/>
              </w:rPr>
              <w:t>1/1 - 12/31  1/1 - 12/31  1/1 - 12/31</w:t>
            </w:r>
          </w:p>
        </w:tc>
        <w:tc>
          <w:tcPr>
            <w:tcW w:w="0" w:type="dxa"/>
            <w:vAlign w:val="bottom"/>
          </w:tcPr>
          <w:p>
            <w:pPr>
              <w:spacing w:after="0"/>
              <w:rPr>
                <w:sz w:val="1"/>
                <w:szCs w:val="1"/>
                <w:color w:val="auto"/>
              </w:rPr>
            </w:pPr>
          </w:p>
        </w:tc>
      </w:tr>
      <w:tr>
        <w:trPr>
          <w:trHeight w:val="216"/>
        </w:trPr>
        <w:tc>
          <w:tcPr>
            <w:tcW w:w="2560" w:type="dxa"/>
            <w:vAlign w:val="bottom"/>
            <w:gridSpan w:val="2"/>
          </w:tcPr>
          <w:p>
            <w:pPr>
              <w:spacing w:after="0"/>
              <w:rPr>
                <w:sz w:val="20"/>
                <w:szCs w:val="20"/>
                <w:color w:val="auto"/>
              </w:rPr>
            </w:pPr>
            <w:r>
              <w:rPr>
                <w:rFonts w:ascii="Arial" w:cs="Arial" w:eastAsia="Arial" w:hAnsi="Arial"/>
                <w:sz w:val="18"/>
                <w:szCs w:val="18"/>
                <w:color w:val="auto"/>
              </w:rPr>
              <w:t>Highbird Management Inc.</w:t>
            </w:r>
          </w:p>
        </w:tc>
        <w:tc>
          <w:tcPr>
            <w:tcW w:w="2420" w:type="dxa"/>
            <w:vAlign w:val="bottom"/>
            <w:gridSpan w:val="3"/>
          </w:tcPr>
          <w:p>
            <w:pPr>
              <w:ind w:left="100"/>
              <w:spacing w:after="0"/>
              <w:rPr>
                <w:sz w:val="20"/>
                <w:szCs w:val="20"/>
                <w:color w:val="auto"/>
              </w:rPr>
            </w:pPr>
            <w:r>
              <w:rPr>
                <w:rFonts w:ascii="Arial" w:cs="Arial" w:eastAsia="Arial" w:hAnsi="Arial"/>
                <w:sz w:val="18"/>
                <w:szCs w:val="18"/>
                <w:color w:val="auto"/>
              </w:rPr>
              <w:t>Vessel Owning Company</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Marshall Is.</w:t>
            </w:r>
          </w:p>
        </w:tc>
        <w:tc>
          <w:tcPr>
            <w:tcW w:w="2740" w:type="dxa"/>
            <w:vAlign w:val="bottom"/>
            <w:gridSpan w:val="5"/>
          </w:tcPr>
          <w:p>
            <w:pPr>
              <w:jc w:val="right"/>
              <w:spacing w:after="0"/>
              <w:rPr>
                <w:sz w:val="20"/>
                <w:szCs w:val="20"/>
                <w:color w:val="auto"/>
              </w:rPr>
            </w:pPr>
            <w:r>
              <w:rPr>
                <w:rFonts w:ascii="Arial" w:cs="Arial" w:eastAsia="Arial" w:hAnsi="Arial"/>
                <w:sz w:val="18"/>
                <w:szCs w:val="18"/>
                <w:color w:val="auto"/>
                <w:w w:val="97"/>
              </w:rPr>
              <w:t>1/1 - 12/31  1/1 - 12/31  1/1 - 12/31</w:t>
            </w:r>
          </w:p>
        </w:tc>
        <w:tc>
          <w:tcPr>
            <w:tcW w:w="0" w:type="dxa"/>
            <w:vAlign w:val="bottom"/>
          </w:tcPr>
          <w:p>
            <w:pPr>
              <w:spacing w:after="0"/>
              <w:rPr>
                <w:sz w:val="1"/>
                <w:szCs w:val="1"/>
                <w:color w:val="auto"/>
              </w:rPr>
            </w:pPr>
          </w:p>
        </w:tc>
      </w:tr>
      <w:tr>
        <w:trPr>
          <w:trHeight w:val="216"/>
        </w:trPr>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Ducale Marine Inc.</w:t>
            </w:r>
          </w:p>
        </w:tc>
        <w:tc>
          <w:tcPr>
            <w:tcW w:w="24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Vessel Owning Company</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23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Marshall Is.</w:t>
            </w:r>
          </w:p>
        </w:tc>
        <w:tc>
          <w:tcPr>
            <w:tcW w:w="27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97"/>
              </w:rPr>
              <w:t>1/1 - 12/31  1/1 - 12/31  1/1 - 12/31</w:t>
            </w:r>
          </w:p>
        </w:tc>
        <w:tc>
          <w:tcPr>
            <w:tcW w:w="0" w:type="dxa"/>
            <w:vAlign w:val="bottom"/>
          </w:tcPr>
          <w:p>
            <w:pPr>
              <w:spacing w:after="0"/>
              <w:rPr>
                <w:sz w:val="1"/>
                <w:szCs w:val="1"/>
                <w:color w:val="auto"/>
              </w:rPr>
            </w:pPr>
          </w:p>
        </w:tc>
      </w:tr>
      <w:tr>
        <w:trPr>
          <w:trHeight w:val="216"/>
        </w:trPr>
        <w:tc>
          <w:tcPr>
            <w:tcW w:w="2560" w:type="dxa"/>
            <w:vAlign w:val="bottom"/>
            <w:gridSpan w:val="2"/>
          </w:tcPr>
          <w:p>
            <w:pPr>
              <w:spacing w:after="0"/>
              <w:rPr>
                <w:sz w:val="20"/>
                <w:szCs w:val="20"/>
                <w:color w:val="auto"/>
              </w:rPr>
            </w:pPr>
            <w:r>
              <w:rPr>
                <w:rFonts w:ascii="Arial" w:cs="Arial" w:eastAsia="Arial" w:hAnsi="Arial"/>
                <w:sz w:val="18"/>
                <w:szCs w:val="18"/>
                <w:color w:val="auto"/>
              </w:rPr>
              <w:t>Vector Shipping Corporation</w:t>
            </w:r>
          </w:p>
        </w:tc>
        <w:tc>
          <w:tcPr>
            <w:tcW w:w="2420" w:type="dxa"/>
            <w:vAlign w:val="bottom"/>
            <w:gridSpan w:val="3"/>
          </w:tcPr>
          <w:p>
            <w:pPr>
              <w:ind w:left="100"/>
              <w:spacing w:after="0"/>
              <w:rPr>
                <w:sz w:val="20"/>
                <w:szCs w:val="20"/>
                <w:color w:val="auto"/>
              </w:rPr>
            </w:pPr>
            <w:r>
              <w:rPr>
                <w:rFonts w:ascii="Arial" w:cs="Arial" w:eastAsia="Arial" w:hAnsi="Arial"/>
                <w:sz w:val="18"/>
                <w:szCs w:val="18"/>
                <w:color w:val="auto"/>
              </w:rPr>
              <w:t>Vessel Owning Company</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Marshall Is.</w:t>
            </w:r>
          </w:p>
        </w:tc>
        <w:tc>
          <w:tcPr>
            <w:tcW w:w="2740" w:type="dxa"/>
            <w:vAlign w:val="bottom"/>
            <w:gridSpan w:val="5"/>
          </w:tcPr>
          <w:p>
            <w:pPr>
              <w:jc w:val="right"/>
              <w:spacing w:after="0"/>
              <w:rPr>
                <w:sz w:val="20"/>
                <w:szCs w:val="20"/>
                <w:color w:val="auto"/>
              </w:rPr>
            </w:pPr>
            <w:r>
              <w:rPr>
                <w:rFonts w:ascii="Arial" w:cs="Arial" w:eastAsia="Arial" w:hAnsi="Arial"/>
                <w:sz w:val="18"/>
                <w:szCs w:val="18"/>
                <w:color w:val="auto"/>
                <w:w w:val="97"/>
              </w:rPr>
              <w:t>1/1 - 12/31  1/1 - 12/31  1/1 - 12/31</w:t>
            </w:r>
          </w:p>
        </w:tc>
        <w:tc>
          <w:tcPr>
            <w:tcW w:w="0" w:type="dxa"/>
            <w:vAlign w:val="bottom"/>
          </w:tcPr>
          <w:p>
            <w:pPr>
              <w:spacing w:after="0"/>
              <w:rPr>
                <w:sz w:val="1"/>
                <w:szCs w:val="1"/>
                <w:color w:val="auto"/>
              </w:rPr>
            </w:pPr>
          </w:p>
        </w:tc>
      </w:tr>
      <w:tr>
        <w:trPr>
          <w:trHeight w:val="216"/>
        </w:trPr>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Faith Marine Ltd.</w:t>
            </w:r>
          </w:p>
        </w:tc>
        <w:tc>
          <w:tcPr>
            <w:tcW w:w="24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Vessel Owning Company</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23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6"/>
              </w:rPr>
              <w:t>Liberia</w:t>
            </w:r>
          </w:p>
        </w:tc>
        <w:tc>
          <w:tcPr>
            <w:tcW w:w="27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97"/>
              </w:rPr>
              <w:t>1/1 - 12/31  1/1 - 12/31  1/1 - 12/31</w:t>
            </w:r>
          </w:p>
        </w:tc>
        <w:tc>
          <w:tcPr>
            <w:tcW w:w="0" w:type="dxa"/>
            <w:vAlign w:val="bottom"/>
          </w:tcPr>
          <w:p>
            <w:pPr>
              <w:spacing w:after="0"/>
              <w:rPr>
                <w:sz w:val="1"/>
                <w:szCs w:val="1"/>
                <w:color w:val="auto"/>
              </w:rPr>
            </w:pPr>
          </w:p>
        </w:tc>
      </w:tr>
      <w:tr>
        <w:trPr>
          <w:trHeight w:val="216"/>
        </w:trPr>
        <w:tc>
          <w:tcPr>
            <w:tcW w:w="4980" w:type="dxa"/>
            <w:vAlign w:val="bottom"/>
            <w:gridSpan w:val="5"/>
          </w:tcPr>
          <w:p>
            <w:pPr>
              <w:spacing w:after="0"/>
              <w:rPr>
                <w:sz w:val="20"/>
                <w:szCs w:val="20"/>
                <w:color w:val="auto"/>
              </w:rPr>
            </w:pPr>
            <w:r>
              <w:rPr>
                <w:rFonts w:ascii="Arial" w:cs="Arial" w:eastAsia="Arial" w:hAnsi="Arial"/>
                <w:sz w:val="18"/>
                <w:szCs w:val="18"/>
                <w:color w:val="auto"/>
              </w:rPr>
              <w:t>Navios Maritime Finance (US) Inc. Operating Company</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Delaware</w:t>
            </w: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1/1 - 12/31</w:t>
            </w:r>
          </w:p>
        </w:tc>
        <w:tc>
          <w:tcPr>
            <w:tcW w:w="1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1/1 - 12/31</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8"/>
              </w:rPr>
              <w:t>1/1 - 12/31</w:t>
            </w:r>
          </w:p>
        </w:tc>
        <w:tc>
          <w:tcPr>
            <w:tcW w:w="0" w:type="dxa"/>
            <w:vAlign w:val="bottom"/>
          </w:tcPr>
          <w:p>
            <w:pPr>
              <w:spacing w:after="0"/>
              <w:rPr>
                <w:sz w:val="1"/>
                <w:szCs w:val="1"/>
                <w:color w:val="auto"/>
              </w:rPr>
            </w:pPr>
          </w:p>
        </w:tc>
      </w:tr>
      <w:tr>
        <w:trPr>
          <w:trHeight w:val="202"/>
        </w:trPr>
        <w:tc>
          <w:tcPr>
            <w:tcW w:w="2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9"/>
              </w:rPr>
              <w:t>Navios Maritime Finance II (US)</w:t>
            </w:r>
          </w:p>
        </w:tc>
        <w:tc>
          <w:tcPr>
            <w:tcW w:w="100" w:type="dxa"/>
            <w:vAlign w:val="bottom"/>
            <w:shd w:val="clear" w:color="auto" w:fill="CCEEFF"/>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w:t>
            </w:r>
          </w:p>
        </w:tc>
        <w:tc>
          <w:tcPr>
            <w:tcW w:w="24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Operating Company</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23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Delaware</w:t>
            </w:r>
          </w:p>
        </w:tc>
        <w:tc>
          <w:tcPr>
            <w:tcW w:w="27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97"/>
              </w:rPr>
              <w:t>1/1 - 12/31  1/1 - 12/31  1/1 - 12/31</w:t>
            </w:r>
          </w:p>
        </w:tc>
        <w:tc>
          <w:tcPr>
            <w:tcW w:w="0" w:type="dxa"/>
            <w:vAlign w:val="bottom"/>
          </w:tcPr>
          <w:p>
            <w:pPr>
              <w:spacing w:after="0"/>
              <w:rPr>
                <w:sz w:val="1"/>
                <w:szCs w:val="1"/>
                <w:color w:val="auto"/>
              </w:rPr>
            </w:pPr>
          </w:p>
        </w:tc>
      </w:tr>
      <w:tr>
        <w:trPr>
          <w:trHeight w:val="216"/>
        </w:trPr>
        <w:tc>
          <w:tcPr>
            <w:tcW w:w="2560" w:type="dxa"/>
            <w:vAlign w:val="bottom"/>
            <w:gridSpan w:val="2"/>
          </w:tcPr>
          <w:p>
            <w:pPr>
              <w:spacing w:after="0"/>
              <w:rPr>
                <w:sz w:val="20"/>
                <w:szCs w:val="20"/>
                <w:color w:val="auto"/>
              </w:rPr>
            </w:pPr>
            <w:r>
              <w:rPr>
                <w:rFonts w:ascii="Arial" w:cs="Arial" w:eastAsia="Arial" w:hAnsi="Arial"/>
                <w:sz w:val="18"/>
                <w:szCs w:val="18"/>
                <w:color w:val="auto"/>
              </w:rPr>
              <w:t>Tulsi Shipmanagement Co.</w:t>
            </w:r>
          </w:p>
        </w:tc>
        <w:tc>
          <w:tcPr>
            <w:tcW w:w="2420" w:type="dxa"/>
            <w:vAlign w:val="bottom"/>
            <w:gridSpan w:val="3"/>
          </w:tcPr>
          <w:p>
            <w:pPr>
              <w:ind w:left="100"/>
              <w:spacing w:after="0"/>
              <w:rPr>
                <w:sz w:val="20"/>
                <w:szCs w:val="20"/>
                <w:color w:val="auto"/>
              </w:rPr>
            </w:pPr>
            <w:r>
              <w:rPr>
                <w:rFonts w:ascii="Arial" w:cs="Arial" w:eastAsia="Arial" w:hAnsi="Arial"/>
                <w:sz w:val="18"/>
                <w:szCs w:val="18"/>
                <w:color w:val="auto"/>
              </w:rPr>
              <w:t>Operating Company</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Marshall Is.</w:t>
            </w:r>
          </w:p>
        </w:tc>
        <w:tc>
          <w:tcPr>
            <w:tcW w:w="2740" w:type="dxa"/>
            <w:vAlign w:val="bottom"/>
            <w:gridSpan w:val="5"/>
          </w:tcPr>
          <w:p>
            <w:pPr>
              <w:jc w:val="right"/>
              <w:spacing w:after="0"/>
              <w:rPr>
                <w:sz w:val="20"/>
                <w:szCs w:val="20"/>
                <w:color w:val="auto"/>
              </w:rPr>
            </w:pPr>
            <w:r>
              <w:rPr>
                <w:rFonts w:ascii="Arial" w:cs="Arial" w:eastAsia="Arial" w:hAnsi="Arial"/>
                <w:sz w:val="18"/>
                <w:szCs w:val="18"/>
                <w:color w:val="auto"/>
                <w:w w:val="97"/>
              </w:rPr>
              <w:t>1/1 - 12/31  1/1 - 12/31  1/1 - 12/31</w:t>
            </w:r>
          </w:p>
        </w:tc>
        <w:tc>
          <w:tcPr>
            <w:tcW w:w="0" w:type="dxa"/>
            <w:vAlign w:val="bottom"/>
          </w:tcPr>
          <w:p>
            <w:pPr>
              <w:spacing w:after="0"/>
              <w:rPr>
                <w:sz w:val="1"/>
                <w:szCs w:val="1"/>
                <w:color w:val="auto"/>
              </w:rPr>
            </w:pPr>
          </w:p>
        </w:tc>
      </w:tr>
      <w:tr>
        <w:trPr>
          <w:trHeight w:val="216"/>
        </w:trPr>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Cinthara Shipping Ltd.</w:t>
            </w:r>
          </w:p>
        </w:tc>
        <w:tc>
          <w:tcPr>
            <w:tcW w:w="24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Operating Company</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23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Marshall Is.</w:t>
            </w:r>
          </w:p>
        </w:tc>
        <w:tc>
          <w:tcPr>
            <w:tcW w:w="27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97"/>
              </w:rPr>
              <w:t>1/1 - 12/31  1/1 - 12/31  1/1 - 12/31</w:t>
            </w:r>
          </w:p>
        </w:tc>
        <w:tc>
          <w:tcPr>
            <w:tcW w:w="0" w:type="dxa"/>
            <w:vAlign w:val="bottom"/>
          </w:tcPr>
          <w:p>
            <w:pPr>
              <w:spacing w:after="0"/>
              <w:rPr>
                <w:sz w:val="1"/>
                <w:szCs w:val="1"/>
                <w:color w:val="auto"/>
              </w:rPr>
            </w:pPr>
          </w:p>
        </w:tc>
      </w:tr>
      <w:tr>
        <w:trPr>
          <w:trHeight w:val="216"/>
        </w:trPr>
        <w:tc>
          <w:tcPr>
            <w:tcW w:w="2560" w:type="dxa"/>
            <w:vAlign w:val="bottom"/>
            <w:gridSpan w:val="2"/>
          </w:tcPr>
          <w:p>
            <w:pPr>
              <w:spacing w:after="0"/>
              <w:rPr>
                <w:sz w:val="20"/>
                <w:szCs w:val="20"/>
                <w:color w:val="auto"/>
              </w:rPr>
            </w:pPr>
            <w:r>
              <w:rPr>
                <w:rFonts w:ascii="Arial" w:cs="Arial" w:eastAsia="Arial" w:hAnsi="Arial"/>
                <w:sz w:val="18"/>
                <w:szCs w:val="18"/>
                <w:color w:val="auto"/>
              </w:rPr>
              <w:t>Rawlin Services Company</w:t>
            </w:r>
          </w:p>
        </w:tc>
        <w:tc>
          <w:tcPr>
            <w:tcW w:w="2420" w:type="dxa"/>
            <w:vAlign w:val="bottom"/>
            <w:gridSpan w:val="3"/>
          </w:tcPr>
          <w:p>
            <w:pPr>
              <w:ind w:left="100"/>
              <w:spacing w:after="0"/>
              <w:rPr>
                <w:sz w:val="20"/>
                <w:szCs w:val="20"/>
                <w:color w:val="auto"/>
              </w:rPr>
            </w:pPr>
            <w:r>
              <w:rPr>
                <w:rFonts w:ascii="Arial" w:cs="Arial" w:eastAsia="Arial" w:hAnsi="Arial"/>
                <w:sz w:val="18"/>
                <w:szCs w:val="18"/>
                <w:color w:val="auto"/>
              </w:rPr>
              <w:t>Operating Company</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Marshall Is.</w:t>
            </w:r>
          </w:p>
        </w:tc>
        <w:tc>
          <w:tcPr>
            <w:tcW w:w="2740" w:type="dxa"/>
            <w:vAlign w:val="bottom"/>
            <w:gridSpan w:val="5"/>
          </w:tcPr>
          <w:p>
            <w:pPr>
              <w:jc w:val="right"/>
              <w:spacing w:after="0"/>
              <w:rPr>
                <w:sz w:val="20"/>
                <w:szCs w:val="20"/>
                <w:color w:val="auto"/>
              </w:rPr>
            </w:pPr>
            <w:r>
              <w:rPr>
                <w:rFonts w:ascii="Arial" w:cs="Arial" w:eastAsia="Arial" w:hAnsi="Arial"/>
                <w:sz w:val="18"/>
                <w:szCs w:val="18"/>
                <w:color w:val="auto"/>
                <w:w w:val="97"/>
              </w:rPr>
              <w:t>1/1 - 12/31  1/1 - 12/31  1/1 - 12/31</w:t>
            </w:r>
          </w:p>
        </w:tc>
        <w:tc>
          <w:tcPr>
            <w:tcW w:w="0" w:type="dxa"/>
            <w:vAlign w:val="bottom"/>
          </w:tcPr>
          <w:p>
            <w:pPr>
              <w:spacing w:after="0"/>
              <w:rPr>
                <w:sz w:val="1"/>
                <w:szCs w:val="1"/>
                <w:color w:val="auto"/>
              </w:rPr>
            </w:pPr>
          </w:p>
        </w:tc>
      </w:tr>
      <w:tr>
        <w:trPr>
          <w:trHeight w:val="216"/>
        </w:trPr>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Mauve International S.A.</w:t>
            </w:r>
          </w:p>
        </w:tc>
        <w:tc>
          <w:tcPr>
            <w:tcW w:w="24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Operating Company</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23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Marshall Is.</w:t>
            </w:r>
          </w:p>
        </w:tc>
        <w:tc>
          <w:tcPr>
            <w:tcW w:w="27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97"/>
              </w:rPr>
              <w:t>1/1 - 12/31  1/1 - 12/31  1/1 - 12/31</w:t>
            </w:r>
          </w:p>
        </w:tc>
        <w:tc>
          <w:tcPr>
            <w:tcW w:w="0" w:type="dxa"/>
            <w:vAlign w:val="bottom"/>
          </w:tcPr>
          <w:p>
            <w:pPr>
              <w:spacing w:after="0"/>
              <w:rPr>
                <w:sz w:val="1"/>
                <w:szCs w:val="1"/>
                <w:color w:val="auto"/>
              </w:rPr>
            </w:pPr>
          </w:p>
        </w:tc>
      </w:tr>
      <w:tr>
        <w:trPr>
          <w:trHeight w:val="216"/>
        </w:trPr>
        <w:tc>
          <w:tcPr>
            <w:tcW w:w="2560" w:type="dxa"/>
            <w:vAlign w:val="bottom"/>
            <w:gridSpan w:val="2"/>
          </w:tcPr>
          <w:p>
            <w:pPr>
              <w:spacing w:after="0"/>
              <w:rPr>
                <w:sz w:val="20"/>
                <w:szCs w:val="20"/>
                <w:color w:val="auto"/>
              </w:rPr>
            </w:pPr>
            <w:r>
              <w:rPr>
                <w:rFonts w:ascii="Arial" w:cs="Arial" w:eastAsia="Arial" w:hAnsi="Arial"/>
                <w:sz w:val="18"/>
                <w:szCs w:val="18"/>
                <w:color w:val="auto"/>
                <w:w w:val="93"/>
              </w:rPr>
              <w:t>Serenity Shipping Enterprises Inc.</w:t>
            </w:r>
          </w:p>
        </w:tc>
        <w:tc>
          <w:tcPr>
            <w:tcW w:w="2420" w:type="dxa"/>
            <w:vAlign w:val="bottom"/>
            <w:gridSpan w:val="3"/>
          </w:tcPr>
          <w:p>
            <w:pPr>
              <w:ind w:left="100"/>
              <w:spacing w:after="0"/>
              <w:rPr>
                <w:sz w:val="20"/>
                <w:szCs w:val="20"/>
                <w:color w:val="auto"/>
              </w:rPr>
            </w:pPr>
            <w:r>
              <w:rPr>
                <w:rFonts w:ascii="Arial" w:cs="Arial" w:eastAsia="Arial" w:hAnsi="Arial"/>
                <w:sz w:val="18"/>
                <w:szCs w:val="18"/>
                <w:color w:val="auto"/>
              </w:rPr>
              <w:t>Vessel Owning Company</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Marshall Is.</w:t>
            </w:r>
          </w:p>
        </w:tc>
        <w:tc>
          <w:tcPr>
            <w:tcW w:w="2740" w:type="dxa"/>
            <w:vAlign w:val="bottom"/>
            <w:gridSpan w:val="5"/>
          </w:tcPr>
          <w:p>
            <w:pPr>
              <w:jc w:val="right"/>
              <w:spacing w:after="0"/>
              <w:rPr>
                <w:sz w:val="20"/>
                <w:szCs w:val="20"/>
                <w:color w:val="auto"/>
              </w:rPr>
            </w:pPr>
            <w:r>
              <w:rPr>
                <w:rFonts w:ascii="Arial" w:cs="Arial" w:eastAsia="Arial" w:hAnsi="Arial"/>
                <w:sz w:val="18"/>
                <w:szCs w:val="18"/>
                <w:color w:val="auto"/>
                <w:w w:val="97"/>
              </w:rPr>
              <w:t>1/1 - 12/31  1/1 - 12/31  1/1 - 12/31</w:t>
            </w:r>
          </w:p>
        </w:tc>
        <w:tc>
          <w:tcPr>
            <w:tcW w:w="0" w:type="dxa"/>
            <w:vAlign w:val="bottom"/>
          </w:tcPr>
          <w:p>
            <w:pPr>
              <w:spacing w:after="0"/>
              <w:rPr>
                <w:sz w:val="1"/>
                <w:szCs w:val="1"/>
                <w:color w:val="auto"/>
              </w:rPr>
            </w:pPr>
          </w:p>
        </w:tc>
      </w:tr>
      <w:tr>
        <w:trPr>
          <w:trHeight w:val="216"/>
        </w:trPr>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Mandora Shipping Ltd</w:t>
            </w:r>
          </w:p>
        </w:tc>
        <w:tc>
          <w:tcPr>
            <w:tcW w:w="24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Vessel Owning Company</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23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Marshall Is.</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1/1 - 12/31</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1/1 - 12/31</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1/1 - 12/31</w:t>
            </w:r>
          </w:p>
        </w:tc>
        <w:tc>
          <w:tcPr>
            <w:tcW w:w="0" w:type="dxa"/>
            <w:vAlign w:val="bottom"/>
          </w:tcPr>
          <w:p>
            <w:pPr>
              <w:spacing w:after="0"/>
              <w:rPr>
                <w:sz w:val="1"/>
                <w:szCs w:val="1"/>
                <w:color w:val="auto"/>
              </w:rPr>
            </w:pPr>
          </w:p>
        </w:tc>
      </w:tr>
      <w:tr>
        <w:trPr>
          <w:trHeight w:val="365"/>
        </w:trPr>
        <w:tc>
          <w:tcPr>
            <w:tcW w:w="10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F-16</w:t>
            </w:r>
          </w:p>
        </w:tc>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NAVIOS MARITIME HOLDINGS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(Expressed in thousands of U.S. dollars — except share data)</w:t>
      </w:r>
    </w:p>
    <w:p>
      <w:pPr>
        <w:spacing w:after="0" w:line="12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1"/>
              </w:rPr>
              <w:t>Ownership</w:t>
            </w:r>
          </w:p>
        </w:tc>
        <w:tc>
          <w:tcPr>
            <w:tcW w:w="2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Country of</w:t>
            </w:r>
          </w:p>
        </w:tc>
        <w:tc>
          <w:tcPr>
            <w:tcW w:w="2880" w:type="dxa"/>
            <w:vAlign w:val="bottom"/>
            <w:gridSpan w:val="5"/>
          </w:tcPr>
          <w:p>
            <w:pPr>
              <w:ind w:left="660"/>
              <w:spacing w:after="0"/>
              <w:rPr>
                <w:sz w:val="20"/>
                <w:szCs w:val="20"/>
                <w:color w:val="auto"/>
              </w:rPr>
            </w:pPr>
            <w:r>
              <w:rPr>
                <w:rFonts w:ascii="Arial" w:cs="Arial" w:eastAsia="Arial" w:hAnsi="Arial"/>
                <w:sz w:val="14"/>
                <w:szCs w:val="14"/>
                <w:b w:val="1"/>
                <w:bCs w:val="1"/>
                <w:color w:val="auto"/>
              </w:rPr>
              <w:t>Statements of Operations</w:t>
            </w:r>
          </w:p>
        </w:tc>
        <w:tc>
          <w:tcPr>
            <w:tcW w:w="0" w:type="dxa"/>
            <w:vAlign w:val="bottom"/>
          </w:tcPr>
          <w:p>
            <w:pPr>
              <w:spacing w:after="0"/>
              <w:rPr>
                <w:sz w:val="1"/>
                <w:szCs w:val="1"/>
                <w:color w:val="auto"/>
              </w:rPr>
            </w:pPr>
          </w:p>
        </w:tc>
      </w:tr>
      <w:tr>
        <w:trPr>
          <w:trHeight w:val="23"/>
        </w:trPr>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w w:val="92"/>
              </w:rPr>
              <w:t>Company Name</w:t>
            </w:r>
          </w:p>
        </w:tc>
        <w:tc>
          <w:tcPr>
            <w:tcW w:w="1400" w:type="dxa"/>
            <w:vAlign w:val="bottom"/>
            <w:vMerge w:val="restart"/>
          </w:tcPr>
          <w:p>
            <w:pPr>
              <w:spacing w:after="0" w:line="20" w:lineRule="exact"/>
              <w:rPr>
                <w:sz w:val="1"/>
                <w:szCs w:val="1"/>
                <w:color w:val="auto"/>
              </w:rPr>
            </w:pPr>
          </w:p>
        </w:tc>
        <w:tc>
          <w:tcPr>
            <w:tcW w:w="2380" w:type="dxa"/>
            <w:vAlign w:val="bottom"/>
            <w:gridSpan w:val="2"/>
            <w:vMerge w:val="restart"/>
          </w:tcPr>
          <w:p>
            <w:pPr>
              <w:ind w:left="920"/>
              <w:spacing w:after="0"/>
              <w:rPr>
                <w:sz w:val="20"/>
                <w:szCs w:val="20"/>
                <w:color w:val="auto"/>
              </w:rPr>
            </w:pPr>
            <w:r>
              <w:rPr>
                <w:rFonts w:ascii="Arial" w:cs="Arial" w:eastAsia="Arial" w:hAnsi="Arial"/>
                <w:sz w:val="14"/>
                <w:szCs w:val="14"/>
                <w:b w:val="1"/>
                <w:bCs w:val="1"/>
                <w:color w:val="auto"/>
              </w:rPr>
              <w:t>Nature</w:t>
            </w:r>
          </w:p>
        </w:tc>
        <w:tc>
          <w:tcPr>
            <w:tcW w:w="10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Interest</w:t>
            </w:r>
          </w:p>
        </w:tc>
        <w:tc>
          <w:tcPr>
            <w:tcW w:w="23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Incorporation</w:t>
            </w: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3"/>
        </w:trPr>
        <w:tc>
          <w:tcPr>
            <w:tcW w:w="1000" w:type="dxa"/>
            <w:vAlign w:val="bottom"/>
            <w:tcBorders>
              <w:bottom w:val="single" w:sz="8" w:color="auto"/>
            </w:tcBorders>
            <w:vMerge w:val="continue"/>
          </w:tcPr>
          <w:p>
            <w:pPr>
              <w:spacing w:after="0"/>
              <w:rPr>
                <w:sz w:val="11"/>
                <w:szCs w:val="11"/>
                <w:color w:val="auto"/>
              </w:rPr>
            </w:pPr>
          </w:p>
        </w:tc>
        <w:tc>
          <w:tcPr>
            <w:tcW w:w="1400" w:type="dxa"/>
            <w:vAlign w:val="bottom"/>
            <w:vMerge w:val="continue"/>
          </w:tcPr>
          <w:p>
            <w:pPr>
              <w:spacing w:after="0"/>
              <w:rPr>
                <w:sz w:val="11"/>
                <w:szCs w:val="11"/>
                <w:color w:val="auto"/>
              </w:rPr>
            </w:pPr>
          </w:p>
        </w:tc>
        <w:tc>
          <w:tcPr>
            <w:tcW w:w="2380" w:type="dxa"/>
            <w:vAlign w:val="bottom"/>
            <w:gridSpan w:val="2"/>
            <w:vMerge w:val="continue"/>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2360" w:type="dxa"/>
            <w:vAlign w:val="bottom"/>
            <w:gridSpan w:val="2"/>
            <w:vMerge w:val="continue"/>
          </w:tcPr>
          <w:p>
            <w:pPr>
              <w:spacing w:after="0"/>
              <w:rPr>
                <w:sz w:val="11"/>
                <w:szCs w:val="11"/>
                <w:color w:val="auto"/>
              </w:rPr>
            </w:pPr>
          </w:p>
        </w:tc>
        <w:tc>
          <w:tcPr>
            <w:tcW w:w="8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1"/>
                <w:szCs w:val="11"/>
                <w:color w:val="auto"/>
              </w:rPr>
            </w:pPr>
          </w:p>
        </w:tc>
        <w:tc>
          <w:tcPr>
            <w:tcW w:w="8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1"/>
                <w:szCs w:val="11"/>
                <w:color w:val="auto"/>
              </w:rPr>
            </w:pPr>
          </w:p>
        </w:tc>
        <w:tc>
          <w:tcPr>
            <w:tcW w:w="9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20"/>
        </w:trPr>
        <w:tc>
          <w:tcPr>
            <w:tcW w:w="24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Solange Shipping Ltd.</w:t>
            </w:r>
          </w:p>
        </w:tc>
        <w:tc>
          <w:tcPr>
            <w:tcW w:w="226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400" w:type="dxa"/>
            <w:vAlign w:val="bottom"/>
            <w:gridSpan w:val="2"/>
            <w:vMerge w:val="continue"/>
            <w:shd w:val="clear" w:color="auto" w:fill="CCEEFF"/>
          </w:tcPr>
          <w:p>
            <w:pPr>
              <w:spacing w:after="0"/>
              <w:rPr>
                <w:sz w:val="17"/>
                <w:szCs w:val="17"/>
                <w:color w:val="auto"/>
              </w:rPr>
            </w:pPr>
          </w:p>
        </w:tc>
        <w:tc>
          <w:tcPr>
            <w:tcW w:w="22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Vessel Owning Company</w:t>
            </w:r>
          </w:p>
        </w:tc>
        <w:tc>
          <w:tcPr>
            <w:tcW w:w="120" w:type="dxa"/>
            <w:vAlign w:val="bottom"/>
            <w:vMerge w:val="continue"/>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100%</w:t>
            </w:r>
          </w:p>
        </w:tc>
        <w:tc>
          <w:tcPr>
            <w:tcW w:w="224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3"/>
              </w:rPr>
              <w:t>Marshall Is.</w:t>
            </w:r>
          </w:p>
        </w:tc>
        <w:tc>
          <w:tcPr>
            <w:tcW w:w="120" w:type="dxa"/>
            <w:vAlign w:val="bottom"/>
            <w:vMerge w:val="continue"/>
            <w:shd w:val="clear" w:color="auto" w:fill="CCEEFF"/>
          </w:tcPr>
          <w:p>
            <w:pPr>
              <w:spacing w:after="0"/>
              <w:rPr>
                <w:sz w:val="17"/>
                <w:szCs w:val="17"/>
                <w:color w:val="auto"/>
              </w:rPr>
            </w:pPr>
          </w:p>
        </w:tc>
        <w:tc>
          <w:tcPr>
            <w:tcW w:w="880" w:type="dxa"/>
            <w:vAlign w:val="bottom"/>
            <w:shd w:val="clear" w:color="auto" w:fill="CCEEFF"/>
          </w:tcPr>
          <w:p>
            <w:pPr>
              <w:ind w:left="40"/>
              <w:spacing w:after="0" w:line="203" w:lineRule="exact"/>
              <w:rPr>
                <w:sz w:val="20"/>
                <w:szCs w:val="20"/>
                <w:color w:val="auto"/>
              </w:rPr>
            </w:pPr>
            <w:r>
              <w:rPr>
                <w:rFonts w:ascii="Arial" w:cs="Arial" w:eastAsia="Arial" w:hAnsi="Arial"/>
                <w:sz w:val="18"/>
                <w:szCs w:val="18"/>
                <w:color w:val="auto"/>
                <w:w w:val="95"/>
              </w:rPr>
              <w:t>1/1 - 12/31</w:t>
            </w:r>
          </w:p>
        </w:tc>
        <w:tc>
          <w:tcPr>
            <w:tcW w:w="120" w:type="dxa"/>
            <w:vAlign w:val="bottom"/>
            <w:vMerge w:val="continue"/>
            <w:shd w:val="clear" w:color="auto" w:fill="CCEEFF"/>
          </w:tcPr>
          <w:p>
            <w:pPr>
              <w:spacing w:after="0"/>
              <w:rPr>
                <w:sz w:val="17"/>
                <w:szCs w:val="17"/>
                <w:color w:val="auto"/>
              </w:rPr>
            </w:pPr>
          </w:p>
        </w:tc>
        <w:tc>
          <w:tcPr>
            <w:tcW w:w="8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1/1 - 12/31</w:t>
            </w:r>
          </w:p>
        </w:tc>
        <w:tc>
          <w:tcPr>
            <w:tcW w:w="100" w:type="dxa"/>
            <w:vAlign w:val="bottom"/>
            <w:vMerge w:val="continue"/>
            <w:shd w:val="clear" w:color="auto" w:fill="CCEEFF"/>
          </w:tcPr>
          <w:p>
            <w:pPr>
              <w:spacing w:after="0"/>
              <w:rPr>
                <w:sz w:val="17"/>
                <w:szCs w:val="17"/>
                <w:color w:val="auto"/>
              </w:rPr>
            </w:pPr>
          </w:p>
        </w:tc>
        <w:tc>
          <w:tcPr>
            <w:tcW w:w="98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1/1 - 12/31</w:t>
            </w:r>
          </w:p>
        </w:tc>
        <w:tc>
          <w:tcPr>
            <w:tcW w:w="0" w:type="dxa"/>
            <w:vAlign w:val="bottom"/>
          </w:tcPr>
          <w:p>
            <w:pPr>
              <w:spacing w:after="0"/>
              <w:rPr>
                <w:sz w:val="1"/>
                <w:szCs w:val="1"/>
                <w:color w:val="auto"/>
              </w:rPr>
            </w:pPr>
          </w:p>
        </w:tc>
      </w:tr>
      <w:tr>
        <w:trPr>
          <w:trHeight w:val="216"/>
        </w:trPr>
        <w:tc>
          <w:tcPr>
            <w:tcW w:w="2400" w:type="dxa"/>
            <w:vAlign w:val="bottom"/>
            <w:gridSpan w:val="2"/>
          </w:tcPr>
          <w:p>
            <w:pPr>
              <w:spacing w:after="0"/>
              <w:rPr>
                <w:sz w:val="20"/>
                <w:szCs w:val="20"/>
                <w:color w:val="auto"/>
              </w:rPr>
            </w:pPr>
            <w:r>
              <w:rPr>
                <w:rFonts w:ascii="Arial" w:cs="Arial" w:eastAsia="Arial" w:hAnsi="Arial"/>
                <w:sz w:val="18"/>
                <w:szCs w:val="18"/>
                <w:color w:val="auto"/>
              </w:rPr>
              <w:t>Diesis Ship Management Ltd.</w:t>
            </w:r>
          </w:p>
        </w:tc>
        <w:tc>
          <w:tcPr>
            <w:tcW w:w="2380" w:type="dxa"/>
            <w:vAlign w:val="bottom"/>
            <w:gridSpan w:val="2"/>
          </w:tcPr>
          <w:p>
            <w:pPr>
              <w:spacing w:after="0"/>
              <w:rPr>
                <w:sz w:val="20"/>
                <w:szCs w:val="20"/>
                <w:color w:val="auto"/>
              </w:rPr>
            </w:pPr>
            <w:r>
              <w:rPr>
                <w:rFonts w:ascii="Arial" w:cs="Arial" w:eastAsia="Arial" w:hAnsi="Arial"/>
                <w:sz w:val="18"/>
                <w:szCs w:val="18"/>
                <w:color w:val="auto"/>
              </w:rPr>
              <w:t>Operating Company</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23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Marshall Is.</w:t>
            </w:r>
          </w:p>
        </w:tc>
        <w:tc>
          <w:tcPr>
            <w:tcW w:w="880" w:type="dxa"/>
            <w:vAlign w:val="bottom"/>
          </w:tcPr>
          <w:p>
            <w:pPr>
              <w:ind w:left="40"/>
              <w:spacing w:after="0"/>
              <w:rPr>
                <w:sz w:val="20"/>
                <w:szCs w:val="20"/>
                <w:color w:val="auto"/>
              </w:rPr>
            </w:pPr>
            <w:r>
              <w:rPr>
                <w:rFonts w:ascii="Arial" w:cs="Arial" w:eastAsia="Arial" w:hAnsi="Arial"/>
                <w:sz w:val="18"/>
                <w:szCs w:val="18"/>
                <w:color w:val="auto"/>
                <w:w w:val="95"/>
              </w:rPr>
              <w:t>1/1 - 12/31</w:t>
            </w:r>
          </w:p>
        </w:tc>
        <w:tc>
          <w:tcPr>
            <w:tcW w:w="1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1/1 - 12/31</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1/1 - 12/31</w:t>
            </w:r>
          </w:p>
        </w:tc>
        <w:tc>
          <w:tcPr>
            <w:tcW w:w="0" w:type="dxa"/>
            <w:vAlign w:val="bottom"/>
          </w:tcPr>
          <w:p>
            <w:pPr>
              <w:spacing w:after="0"/>
              <w:rPr>
                <w:sz w:val="1"/>
                <w:szCs w:val="1"/>
                <w:color w:val="auto"/>
              </w:rPr>
            </w:pPr>
          </w:p>
        </w:tc>
      </w:tr>
      <w:tr>
        <w:trPr>
          <w:trHeight w:val="202"/>
        </w:trPr>
        <w:tc>
          <w:tcPr>
            <w:tcW w:w="2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Navios Holdings Europe</w:t>
            </w:r>
          </w:p>
        </w:tc>
        <w:tc>
          <w:tcPr>
            <w:tcW w:w="2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Finance Inc.</w:t>
            </w:r>
          </w:p>
        </w:tc>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Sub-Holding Company</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2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Marshall Is.</w:t>
            </w:r>
          </w:p>
        </w:tc>
        <w:tc>
          <w:tcPr>
            <w:tcW w:w="18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5"/>
              </w:rPr>
              <w:t>1/1 - 12/31  1/1 - 12/31</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1/1 - 12/31</w:t>
            </w:r>
          </w:p>
        </w:tc>
        <w:tc>
          <w:tcPr>
            <w:tcW w:w="0" w:type="dxa"/>
            <w:vAlign w:val="bottom"/>
          </w:tcPr>
          <w:p>
            <w:pPr>
              <w:spacing w:after="0"/>
              <w:rPr>
                <w:sz w:val="1"/>
                <w:szCs w:val="1"/>
                <w:color w:val="auto"/>
              </w:rPr>
            </w:pPr>
          </w:p>
        </w:tc>
      </w:tr>
      <w:tr>
        <w:trPr>
          <w:trHeight w:val="216"/>
        </w:trPr>
        <w:tc>
          <w:tcPr>
            <w:tcW w:w="2400" w:type="dxa"/>
            <w:vAlign w:val="bottom"/>
            <w:gridSpan w:val="2"/>
          </w:tcPr>
          <w:p>
            <w:pPr>
              <w:spacing w:after="0"/>
              <w:rPr>
                <w:sz w:val="20"/>
                <w:szCs w:val="20"/>
                <w:color w:val="auto"/>
              </w:rPr>
            </w:pPr>
            <w:r>
              <w:rPr>
                <w:rFonts w:ascii="Arial" w:cs="Arial" w:eastAsia="Arial" w:hAnsi="Arial"/>
                <w:sz w:val="18"/>
                <w:szCs w:val="18"/>
                <w:color w:val="auto"/>
              </w:rPr>
              <w:t>Navios Asia LLC</w:t>
            </w:r>
          </w:p>
        </w:tc>
        <w:tc>
          <w:tcPr>
            <w:tcW w:w="2380" w:type="dxa"/>
            <w:vAlign w:val="bottom"/>
            <w:gridSpan w:val="2"/>
          </w:tcPr>
          <w:p>
            <w:pPr>
              <w:spacing w:after="0"/>
              <w:rPr>
                <w:sz w:val="20"/>
                <w:szCs w:val="20"/>
                <w:color w:val="auto"/>
              </w:rPr>
            </w:pPr>
            <w:r>
              <w:rPr>
                <w:rFonts w:ascii="Arial" w:cs="Arial" w:eastAsia="Arial" w:hAnsi="Arial"/>
                <w:sz w:val="18"/>
                <w:szCs w:val="18"/>
                <w:color w:val="auto"/>
              </w:rPr>
              <w:t>Sub-Holding Company</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23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Marshall Is.</w:t>
            </w:r>
          </w:p>
        </w:tc>
        <w:tc>
          <w:tcPr>
            <w:tcW w:w="1800" w:type="dxa"/>
            <w:vAlign w:val="bottom"/>
            <w:gridSpan w:val="3"/>
          </w:tcPr>
          <w:p>
            <w:pPr>
              <w:ind w:left="40"/>
              <w:spacing w:after="0"/>
              <w:rPr>
                <w:sz w:val="20"/>
                <w:szCs w:val="20"/>
                <w:color w:val="auto"/>
              </w:rPr>
            </w:pPr>
            <w:r>
              <w:rPr>
                <w:rFonts w:ascii="Arial" w:cs="Arial" w:eastAsia="Arial" w:hAnsi="Arial"/>
                <w:sz w:val="18"/>
                <w:szCs w:val="18"/>
                <w:color w:val="auto"/>
                <w:w w:val="95"/>
              </w:rPr>
              <w:t>1/1 - 12/31  1/1 - 12/31</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1/1 - 12/31</w:t>
            </w:r>
          </w:p>
        </w:tc>
        <w:tc>
          <w:tcPr>
            <w:tcW w:w="0" w:type="dxa"/>
            <w:vAlign w:val="bottom"/>
          </w:tcPr>
          <w:p>
            <w:pPr>
              <w:spacing w:after="0"/>
              <w:rPr>
                <w:sz w:val="1"/>
                <w:szCs w:val="1"/>
                <w:color w:val="auto"/>
              </w:rPr>
            </w:pPr>
          </w:p>
        </w:tc>
      </w:tr>
      <w:tr>
        <w:trPr>
          <w:trHeight w:val="216"/>
        </w:trPr>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Iris Shipping Corporation</w:t>
            </w:r>
          </w:p>
        </w:tc>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Vessel Owning Company</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2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Marshall Is.</w:t>
            </w:r>
          </w:p>
        </w:tc>
        <w:tc>
          <w:tcPr>
            <w:tcW w:w="18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5"/>
              </w:rPr>
              <w:t>1/1 - 12/31  1/1 - 12/31</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1/1 - 12/31</w:t>
            </w:r>
          </w:p>
        </w:tc>
        <w:tc>
          <w:tcPr>
            <w:tcW w:w="0" w:type="dxa"/>
            <w:vAlign w:val="bottom"/>
          </w:tcPr>
          <w:p>
            <w:pPr>
              <w:spacing w:after="0"/>
              <w:rPr>
                <w:sz w:val="1"/>
                <w:szCs w:val="1"/>
                <w:color w:val="auto"/>
              </w:rPr>
            </w:pPr>
          </w:p>
        </w:tc>
      </w:tr>
      <w:tr>
        <w:trPr>
          <w:trHeight w:val="216"/>
        </w:trPr>
        <w:tc>
          <w:tcPr>
            <w:tcW w:w="2400" w:type="dxa"/>
            <w:vAlign w:val="bottom"/>
            <w:gridSpan w:val="2"/>
          </w:tcPr>
          <w:p>
            <w:pPr>
              <w:spacing w:after="0"/>
              <w:rPr>
                <w:sz w:val="20"/>
                <w:szCs w:val="20"/>
                <w:color w:val="auto"/>
              </w:rPr>
            </w:pPr>
            <w:r>
              <w:rPr>
                <w:rFonts w:ascii="Arial" w:cs="Arial" w:eastAsia="Arial" w:hAnsi="Arial"/>
                <w:sz w:val="18"/>
                <w:szCs w:val="18"/>
                <w:color w:val="auto"/>
                <w:w w:val="98"/>
              </w:rPr>
              <w:t>Jasmine Shipping Corporation</w:t>
            </w:r>
          </w:p>
        </w:tc>
        <w:tc>
          <w:tcPr>
            <w:tcW w:w="2380" w:type="dxa"/>
            <w:vAlign w:val="bottom"/>
            <w:gridSpan w:val="2"/>
          </w:tcPr>
          <w:p>
            <w:pPr>
              <w:spacing w:after="0"/>
              <w:rPr>
                <w:sz w:val="20"/>
                <w:szCs w:val="20"/>
                <w:color w:val="auto"/>
              </w:rPr>
            </w:pPr>
            <w:r>
              <w:rPr>
                <w:rFonts w:ascii="Arial" w:cs="Arial" w:eastAsia="Arial" w:hAnsi="Arial"/>
                <w:sz w:val="18"/>
                <w:szCs w:val="18"/>
                <w:color w:val="auto"/>
              </w:rPr>
              <w:t>Vessel Owning Company</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23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Marshall Is.</w:t>
            </w:r>
          </w:p>
        </w:tc>
        <w:tc>
          <w:tcPr>
            <w:tcW w:w="880" w:type="dxa"/>
            <w:vAlign w:val="bottom"/>
          </w:tcPr>
          <w:p>
            <w:pPr>
              <w:ind w:left="40"/>
              <w:spacing w:after="0"/>
              <w:rPr>
                <w:sz w:val="20"/>
                <w:szCs w:val="20"/>
                <w:color w:val="auto"/>
              </w:rPr>
            </w:pPr>
            <w:r>
              <w:rPr>
                <w:rFonts w:ascii="Arial" w:cs="Arial" w:eastAsia="Arial" w:hAnsi="Arial"/>
                <w:sz w:val="18"/>
                <w:szCs w:val="18"/>
                <w:color w:val="auto"/>
                <w:w w:val="95"/>
              </w:rPr>
              <w:t>1/1 - 12/31</w:t>
            </w:r>
          </w:p>
        </w:tc>
        <w:tc>
          <w:tcPr>
            <w:tcW w:w="1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1/1 - 12/31</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1/1 - 12/31</w:t>
            </w:r>
          </w:p>
        </w:tc>
        <w:tc>
          <w:tcPr>
            <w:tcW w:w="0" w:type="dxa"/>
            <w:vAlign w:val="bottom"/>
          </w:tcPr>
          <w:p>
            <w:pPr>
              <w:spacing w:after="0"/>
              <w:rPr>
                <w:sz w:val="1"/>
                <w:szCs w:val="1"/>
                <w:color w:val="auto"/>
              </w:rPr>
            </w:pPr>
          </w:p>
        </w:tc>
      </w:tr>
      <w:tr>
        <w:trPr>
          <w:trHeight w:val="216"/>
        </w:trPr>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Emery Shipping Corporation</w:t>
            </w:r>
          </w:p>
        </w:tc>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Vessel Owning Company</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2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Marshall Is.</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1/1 - 9/30</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1/1 - 12/31</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1/1 - 12/31</w:t>
            </w:r>
          </w:p>
        </w:tc>
        <w:tc>
          <w:tcPr>
            <w:tcW w:w="0" w:type="dxa"/>
            <w:vAlign w:val="bottom"/>
          </w:tcPr>
          <w:p>
            <w:pPr>
              <w:spacing w:after="0"/>
              <w:rPr>
                <w:sz w:val="1"/>
                <w:szCs w:val="1"/>
                <w:color w:val="auto"/>
              </w:rPr>
            </w:pPr>
          </w:p>
        </w:tc>
      </w:tr>
      <w:tr>
        <w:trPr>
          <w:trHeight w:val="216"/>
        </w:trPr>
        <w:tc>
          <w:tcPr>
            <w:tcW w:w="2400" w:type="dxa"/>
            <w:vAlign w:val="bottom"/>
            <w:gridSpan w:val="2"/>
          </w:tcPr>
          <w:p>
            <w:pPr>
              <w:spacing w:after="0"/>
              <w:rPr>
                <w:sz w:val="20"/>
                <w:szCs w:val="20"/>
                <w:color w:val="auto"/>
              </w:rPr>
            </w:pPr>
            <w:r>
              <w:rPr>
                <w:rFonts w:ascii="Arial" w:cs="Arial" w:eastAsia="Arial" w:hAnsi="Arial"/>
                <w:sz w:val="18"/>
                <w:szCs w:val="18"/>
                <w:color w:val="auto"/>
                <w:w w:val="95"/>
              </w:rPr>
              <w:t>Lavender Shipping Corporation</w:t>
            </w:r>
          </w:p>
        </w:tc>
        <w:tc>
          <w:tcPr>
            <w:tcW w:w="2380" w:type="dxa"/>
            <w:vAlign w:val="bottom"/>
            <w:gridSpan w:val="2"/>
          </w:tcPr>
          <w:p>
            <w:pPr>
              <w:spacing w:after="0"/>
              <w:rPr>
                <w:sz w:val="20"/>
                <w:szCs w:val="20"/>
                <w:color w:val="auto"/>
              </w:rPr>
            </w:pPr>
            <w:r>
              <w:rPr>
                <w:rFonts w:ascii="Arial" w:cs="Arial" w:eastAsia="Arial" w:hAnsi="Arial"/>
                <w:sz w:val="18"/>
                <w:szCs w:val="18"/>
                <w:color w:val="auto"/>
              </w:rPr>
              <w:t>Vessel Owning Company</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23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Marshall Is.</w:t>
            </w:r>
          </w:p>
        </w:tc>
        <w:tc>
          <w:tcPr>
            <w:tcW w:w="880" w:type="dxa"/>
            <w:vAlign w:val="bottom"/>
          </w:tcPr>
          <w:p>
            <w:pPr>
              <w:ind w:left="40"/>
              <w:spacing w:after="0"/>
              <w:rPr>
                <w:sz w:val="20"/>
                <w:szCs w:val="20"/>
                <w:color w:val="auto"/>
              </w:rPr>
            </w:pPr>
            <w:r>
              <w:rPr>
                <w:rFonts w:ascii="Arial" w:cs="Arial" w:eastAsia="Arial" w:hAnsi="Arial"/>
                <w:sz w:val="18"/>
                <w:szCs w:val="18"/>
                <w:color w:val="auto"/>
                <w:w w:val="95"/>
              </w:rPr>
              <w:t>1/1 - 12/31</w:t>
            </w:r>
          </w:p>
        </w:tc>
        <w:tc>
          <w:tcPr>
            <w:tcW w:w="1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1/1 - 12/31</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1/1 - 12/31</w:t>
            </w:r>
          </w:p>
        </w:tc>
        <w:tc>
          <w:tcPr>
            <w:tcW w:w="0" w:type="dxa"/>
            <w:vAlign w:val="bottom"/>
          </w:tcPr>
          <w:p>
            <w:pPr>
              <w:spacing w:after="0"/>
              <w:rPr>
                <w:sz w:val="1"/>
                <w:szCs w:val="1"/>
                <w:color w:val="auto"/>
              </w:rPr>
            </w:pPr>
          </w:p>
        </w:tc>
      </w:tr>
      <w:tr>
        <w:trPr>
          <w:trHeight w:val="202"/>
        </w:trPr>
        <w:tc>
          <w:tcPr>
            <w:tcW w:w="2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Esmeralda Shipping</w:t>
            </w:r>
          </w:p>
        </w:tc>
        <w:tc>
          <w:tcPr>
            <w:tcW w:w="2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Corporation</w:t>
            </w:r>
          </w:p>
        </w:tc>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Vessel Owning Company</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2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Marshall Is.</w:t>
            </w:r>
          </w:p>
        </w:tc>
        <w:tc>
          <w:tcPr>
            <w:tcW w:w="10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1/1 - 8/30</w:t>
            </w:r>
          </w:p>
        </w:tc>
        <w:tc>
          <w:tcPr>
            <w:tcW w:w="0" w:type="dxa"/>
            <w:vAlign w:val="bottom"/>
          </w:tcPr>
          <w:p>
            <w:pPr>
              <w:spacing w:after="0"/>
              <w:rPr>
                <w:sz w:val="1"/>
                <w:szCs w:val="1"/>
                <w:color w:val="auto"/>
              </w:rPr>
            </w:pPr>
          </w:p>
        </w:tc>
      </w:tr>
      <w:tr>
        <w:trPr>
          <w:trHeight w:val="216"/>
        </w:trPr>
        <w:tc>
          <w:tcPr>
            <w:tcW w:w="2400" w:type="dxa"/>
            <w:vAlign w:val="bottom"/>
            <w:gridSpan w:val="2"/>
          </w:tcPr>
          <w:p>
            <w:pPr>
              <w:spacing w:after="0"/>
              <w:rPr>
                <w:sz w:val="20"/>
                <w:szCs w:val="20"/>
                <w:color w:val="auto"/>
              </w:rPr>
            </w:pPr>
            <w:r>
              <w:rPr>
                <w:rFonts w:ascii="Arial" w:cs="Arial" w:eastAsia="Arial" w:hAnsi="Arial"/>
                <w:sz w:val="18"/>
                <w:szCs w:val="18"/>
                <w:color w:val="auto"/>
                <w:w w:val="99"/>
              </w:rPr>
              <w:t>Triangle Shipping Corporation</w:t>
            </w:r>
          </w:p>
        </w:tc>
        <w:tc>
          <w:tcPr>
            <w:tcW w:w="2380" w:type="dxa"/>
            <w:vAlign w:val="bottom"/>
            <w:gridSpan w:val="2"/>
          </w:tcPr>
          <w:p>
            <w:pPr>
              <w:spacing w:after="0"/>
              <w:rPr>
                <w:sz w:val="20"/>
                <w:szCs w:val="20"/>
                <w:color w:val="auto"/>
              </w:rPr>
            </w:pPr>
            <w:r>
              <w:rPr>
                <w:rFonts w:ascii="Arial" w:cs="Arial" w:eastAsia="Arial" w:hAnsi="Arial"/>
                <w:sz w:val="18"/>
                <w:szCs w:val="18"/>
                <w:color w:val="auto"/>
              </w:rPr>
              <w:t>Vessel Owning Company</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23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Marshall Is.</w:t>
            </w:r>
          </w:p>
        </w:tc>
        <w:tc>
          <w:tcPr>
            <w:tcW w:w="10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1/1 - 8/30</w:t>
            </w:r>
          </w:p>
        </w:tc>
        <w:tc>
          <w:tcPr>
            <w:tcW w:w="0" w:type="dxa"/>
            <w:vAlign w:val="bottom"/>
          </w:tcPr>
          <w:p>
            <w:pPr>
              <w:spacing w:after="0"/>
              <w:rPr>
                <w:sz w:val="1"/>
                <w:szCs w:val="1"/>
                <w:color w:val="auto"/>
              </w:rPr>
            </w:pPr>
          </w:p>
        </w:tc>
      </w:tr>
      <w:tr>
        <w:trPr>
          <w:trHeight w:val="216"/>
        </w:trPr>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Roselite Shipping Corporation</w:t>
            </w:r>
          </w:p>
        </w:tc>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Company</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2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Marshall Is.</w:t>
            </w:r>
          </w:p>
        </w:tc>
        <w:tc>
          <w:tcPr>
            <w:tcW w:w="18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5"/>
              </w:rPr>
              <w:t>1/1 - 12/31  1/1 - 12/31</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1/1 - 12/31</w:t>
            </w:r>
          </w:p>
        </w:tc>
        <w:tc>
          <w:tcPr>
            <w:tcW w:w="0" w:type="dxa"/>
            <w:vAlign w:val="bottom"/>
          </w:tcPr>
          <w:p>
            <w:pPr>
              <w:spacing w:after="0"/>
              <w:rPr>
                <w:sz w:val="1"/>
                <w:szCs w:val="1"/>
                <w:color w:val="auto"/>
              </w:rPr>
            </w:pPr>
          </w:p>
        </w:tc>
      </w:tr>
      <w:tr>
        <w:trPr>
          <w:trHeight w:val="216"/>
        </w:trPr>
        <w:tc>
          <w:tcPr>
            <w:tcW w:w="2400" w:type="dxa"/>
            <w:vAlign w:val="bottom"/>
            <w:gridSpan w:val="2"/>
          </w:tcPr>
          <w:p>
            <w:pPr>
              <w:spacing w:after="0"/>
              <w:rPr>
                <w:sz w:val="20"/>
                <w:szCs w:val="20"/>
                <w:color w:val="auto"/>
              </w:rPr>
            </w:pPr>
            <w:r>
              <w:rPr>
                <w:rFonts w:ascii="Arial" w:cs="Arial" w:eastAsia="Arial" w:hAnsi="Arial"/>
                <w:sz w:val="18"/>
                <w:szCs w:val="18"/>
                <w:color w:val="auto"/>
                <w:w w:val="99"/>
              </w:rPr>
              <w:t>Smaltite Shipping Corporation</w:t>
            </w:r>
          </w:p>
        </w:tc>
        <w:tc>
          <w:tcPr>
            <w:tcW w:w="2380" w:type="dxa"/>
            <w:vAlign w:val="bottom"/>
            <w:gridSpan w:val="2"/>
          </w:tcPr>
          <w:p>
            <w:pPr>
              <w:spacing w:after="0"/>
              <w:rPr>
                <w:sz w:val="20"/>
                <w:szCs w:val="20"/>
                <w:color w:val="auto"/>
              </w:rPr>
            </w:pPr>
            <w:r>
              <w:rPr>
                <w:rFonts w:ascii="Arial" w:cs="Arial" w:eastAsia="Arial" w:hAnsi="Arial"/>
                <w:sz w:val="18"/>
                <w:szCs w:val="18"/>
                <w:color w:val="auto"/>
              </w:rPr>
              <w:t>Operating Company</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23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Marshall Is.</w:t>
            </w:r>
          </w:p>
        </w:tc>
        <w:tc>
          <w:tcPr>
            <w:tcW w:w="1800" w:type="dxa"/>
            <w:vAlign w:val="bottom"/>
            <w:gridSpan w:val="3"/>
          </w:tcPr>
          <w:p>
            <w:pPr>
              <w:ind w:left="40"/>
              <w:spacing w:after="0"/>
              <w:rPr>
                <w:sz w:val="20"/>
                <w:szCs w:val="20"/>
                <w:color w:val="auto"/>
              </w:rPr>
            </w:pPr>
            <w:r>
              <w:rPr>
                <w:rFonts w:ascii="Arial" w:cs="Arial" w:eastAsia="Arial" w:hAnsi="Arial"/>
                <w:sz w:val="18"/>
                <w:szCs w:val="18"/>
                <w:color w:val="auto"/>
                <w:w w:val="95"/>
              </w:rPr>
              <w:t>1/1 - 12/31  1/1 - 12/31</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1/1 - 12/31</w:t>
            </w:r>
          </w:p>
        </w:tc>
        <w:tc>
          <w:tcPr>
            <w:tcW w:w="0" w:type="dxa"/>
            <w:vAlign w:val="bottom"/>
          </w:tcPr>
          <w:p>
            <w:pPr>
              <w:spacing w:after="0"/>
              <w:rPr>
                <w:sz w:val="1"/>
                <w:szCs w:val="1"/>
                <w:color w:val="auto"/>
              </w:rPr>
            </w:pPr>
          </w:p>
        </w:tc>
      </w:tr>
      <w:tr>
        <w:trPr>
          <w:trHeight w:val="216"/>
        </w:trPr>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Motiva Trading Ltd.</w:t>
            </w:r>
          </w:p>
        </w:tc>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Company</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2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Marshall Is.</w:t>
            </w:r>
          </w:p>
        </w:tc>
        <w:tc>
          <w:tcPr>
            <w:tcW w:w="18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5"/>
              </w:rPr>
              <w:t>1/1 - 12/31  1/1 - 12/31</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1/1 - 12/31</w:t>
            </w:r>
          </w:p>
        </w:tc>
        <w:tc>
          <w:tcPr>
            <w:tcW w:w="0" w:type="dxa"/>
            <w:vAlign w:val="bottom"/>
          </w:tcPr>
          <w:p>
            <w:pPr>
              <w:spacing w:after="0"/>
              <w:rPr>
                <w:sz w:val="1"/>
                <w:szCs w:val="1"/>
                <w:color w:val="auto"/>
              </w:rPr>
            </w:pPr>
          </w:p>
        </w:tc>
      </w:tr>
      <w:tr>
        <w:trPr>
          <w:trHeight w:val="216"/>
        </w:trPr>
        <w:tc>
          <w:tcPr>
            <w:tcW w:w="2400" w:type="dxa"/>
            <w:vAlign w:val="bottom"/>
            <w:gridSpan w:val="2"/>
          </w:tcPr>
          <w:p>
            <w:pPr>
              <w:spacing w:after="0"/>
              <w:rPr>
                <w:sz w:val="20"/>
                <w:szCs w:val="20"/>
                <w:color w:val="auto"/>
              </w:rPr>
            </w:pPr>
            <w:r>
              <w:rPr>
                <w:rFonts w:ascii="Arial" w:cs="Arial" w:eastAsia="Arial" w:hAnsi="Arial"/>
                <w:sz w:val="18"/>
                <w:szCs w:val="18"/>
                <w:color w:val="auto"/>
              </w:rPr>
              <w:t>Alpha Merit Corporation</w:t>
            </w:r>
          </w:p>
        </w:tc>
        <w:tc>
          <w:tcPr>
            <w:tcW w:w="2380" w:type="dxa"/>
            <w:vAlign w:val="bottom"/>
            <w:gridSpan w:val="2"/>
          </w:tcPr>
          <w:p>
            <w:pPr>
              <w:spacing w:after="0"/>
              <w:rPr>
                <w:sz w:val="20"/>
                <w:szCs w:val="20"/>
                <w:color w:val="auto"/>
              </w:rPr>
            </w:pPr>
            <w:r>
              <w:rPr>
                <w:rFonts w:ascii="Arial" w:cs="Arial" w:eastAsia="Arial" w:hAnsi="Arial"/>
                <w:sz w:val="18"/>
                <w:szCs w:val="18"/>
                <w:color w:val="auto"/>
              </w:rPr>
              <w:t>Sub-Holding Company</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23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Marshall Is.</w:t>
            </w:r>
          </w:p>
        </w:tc>
        <w:tc>
          <w:tcPr>
            <w:tcW w:w="1800" w:type="dxa"/>
            <w:vAlign w:val="bottom"/>
            <w:gridSpan w:val="3"/>
          </w:tcPr>
          <w:p>
            <w:pPr>
              <w:ind w:left="40"/>
              <w:spacing w:after="0"/>
              <w:rPr>
                <w:sz w:val="20"/>
                <w:szCs w:val="20"/>
                <w:color w:val="auto"/>
              </w:rPr>
            </w:pPr>
            <w:r>
              <w:rPr>
                <w:rFonts w:ascii="Arial" w:cs="Arial" w:eastAsia="Arial" w:hAnsi="Arial"/>
                <w:sz w:val="18"/>
                <w:szCs w:val="18"/>
                <w:color w:val="auto"/>
                <w:w w:val="95"/>
              </w:rPr>
              <w:t>1/1 - 12/31  1/1 - 12/31</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1/1 - 12/31</w:t>
            </w:r>
          </w:p>
        </w:tc>
        <w:tc>
          <w:tcPr>
            <w:tcW w:w="0" w:type="dxa"/>
            <w:vAlign w:val="bottom"/>
          </w:tcPr>
          <w:p>
            <w:pPr>
              <w:spacing w:after="0"/>
              <w:rPr>
                <w:sz w:val="1"/>
                <w:szCs w:val="1"/>
                <w:color w:val="auto"/>
              </w:rPr>
            </w:pPr>
          </w:p>
        </w:tc>
      </w:tr>
      <w:tr>
        <w:trPr>
          <w:trHeight w:val="216"/>
        </w:trPr>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Thalassa Marine S.A.</w:t>
            </w:r>
          </w:p>
        </w:tc>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Company</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2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Marshall Is.</w:t>
            </w:r>
          </w:p>
        </w:tc>
        <w:tc>
          <w:tcPr>
            <w:tcW w:w="18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5"/>
              </w:rPr>
              <w:t>1/1 - 12/31  1/1 - 12/31</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1/1 - 12/31</w:t>
            </w:r>
          </w:p>
        </w:tc>
        <w:tc>
          <w:tcPr>
            <w:tcW w:w="0" w:type="dxa"/>
            <w:vAlign w:val="bottom"/>
          </w:tcPr>
          <w:p>
            <w:pPr>
              <w:spacing w:after="0"/>
              <w:rPr>
                <w:sz w:val="1"/>
                <w:szCs w:val="1"/>
                <w:color w:val="auto"/>
              </w:rPr>
            </w:pPr>
          </w:p>
        </w:tc>
      </w:tr>
      <w:tr>
        <w:trPr>
          <w:trHeight w:val="216"/>
        </w:trPr>
        <w:tc>
          <w:tcPr>
            <w:tcW w:w="2400" w:type="dxa"/>
            <w:vAlign w:val="bottom"/>
            <w:gridSpan w:val="2"/>
          </w:tcPr>
          <w:p>
            <w:pPr>
              <w:spacing w:after="0"/>
              <w:rPr>
                <w:sz w:val="20"/>
                <w:szCs w:val="20"/>
                <w:color w:val="auto"/>
              </w:rPr>
            </w:pPr>
            <w:r>
              <w:rPr>
                <w:rFonts w:ascii="Arial" w:cs="Arial" w:eastAsia="Arial" w:hAnsi="Arial"/>
                <w:sz w:val="18"/>
                <w:szCs w:val="18"/>
                <w:color w:val="auto"/>
              </w:rPr>
              <w:t>Asteroid Shipping S.A.</w:t>
            </w:r>
          </w:p>
        </w:tc>
        <w:tc>
          <w:tcPr>
            <w:tcW w:w="2380" w:type="dxa"/>
            <w:vAlign w:val="bottom"/>
            <w:gridSpan w:val="2"/>
          </w:tcPr>
          <w:p>
            <w:pPr>
              <w:spacing w:after="0"/>
              <w:rPr>
                <w:sz w:val="20"/>
                <w:szCs w:val="20"/>
                <w:color w:val="auto"/>
              </w:rPr>
            </w:pPr>
            <w:r>
              <w:rPr>
                <w:rFonts w:ascii="Arial" w:cs="Arial" w:eastAsia="Arial" w:hAnsi="Arial"/>
                <w:sz w:val="18"/>
                <w:szCs w:val="18"/>
                <w:color w:val="auto"/>
              </w:rPr>
              <w:t>Operating Company</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23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Marshall Is.</w:t>
            </w:r>
          </w:p>
        </w:tc>
        <w:tc>
          <w:tcPr>
            <w:tcW w:w="2880" w:type="dxa"/>
            <w:vAlign w:val="bottom"/>
            <w:gridSpan w:val="5"/>
          </w:tcPr>
          <w:p>
            <w:pPr>
              <w:ind w:left="40"/>
              <w:spacing w:after="0"/>
              <w:rPr>
                <w:sz w:val="20"/>
                <w:szCs w:val="20"/>
                <w:color w:val="auto"/>
              </w:rPr>
            </w:pPr>
            <w:r>
              <w:rPr>
                <w:rFonts w:ascii="Arial" w:cs="Arial" w:eastAsia="Arial" w:hAnsi="Arial"/>
                <w:sz w:val="18"/>
                <w:szCs w:val="18"/>
                <w:color w:val="auto"/>
                <w:w w:val="97"/>
              </w:rPr>
              <w:t>1/1 - 12/31  1/1 - 12/31  1/12 - 12/31</w:t>
            </w:r>
          </w:p>
        </w:tc>
        <w:tc>
          <w:tcPr>
            <w:tcW w:w="0" w:type="dxa"/>
            <w:vAlign w:val="bottom"/>
          </w:tcPr>
          <w:p>
            <w:pPr>
              <w:spacing w:after="0"/>
              <w:rPr>
                <w:sz w:val="1"/>
                <w:szCs w:val="1"/>
                <w:color w:val="auto"/>
              </w:rPr>
            </w:pPr>
          </w:p>
        </w:tc>
      </w:tr>
      <w:tr>
        <w:trPr>
          <w:trHeight w:val="216"/>
        </w:trPr>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Cloud Atlas Marine S.A.</w:t>
            </w:r>
          </w:p>
        </w:tc>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Company</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2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Marshall Is.</w:t>
            </w:r>
          </w:p>
        </w:tc>
        <w:tc>
          <w:tcPr>
            <w:tcW w:w="28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w w:val="97"/>
              </w:rPr>
              <w:t>1/1 - 12/31  1/1 - 12/31  1/15 - 12/31</w:t>
            </w:r>
          </w:p>
        </w:tc>
        <w:tc>
          <w:tcPr>
            <w:tcW w:w="0" w:type="dxa"/>
            <w:vAlign w:val="bottom"/>
          </w:tcPr>
          <w:p>
            <w:pPr>
              <w:spacing w:after="0"/>
              <w:rPr>
                <w:sz w:val="1"/>
                <w:szCs w:val="1"/>
                <w:color w:val="auto"/>
              </w:rPr>
            </w:pPr>
          </w:p>
        </w:tc>
      </w:tr>
      <w:tr>
        <w:trPr>
          <w:trHeight w:val="216"/>
        </w:trPr>
        <w:tc>
          <w:tcPr>
            <w:tcW w:w="2400" w:type="dxa"/>
            <w:vAlign w:val="bottom"/>
            <w:gridSpan w:val="2"/>
          </w:tcPr>
          <w:p>
            <w:pPr>
              <w:spacing w:after="0"/>
              <w:rPr>
                <w:sz w:val="20"/>
                <w:szCs w:val="20"/>
                <w:color w:val="auto"/>
              </w:rPr>
            </w:pPr>
            <w:r>
              <w:rPr>
                <w:rFonts w:ascii="Arial" w:cs="Arial" w:eastAsia="Arial" w:hAnsi="Arial"/>
                <w:sz w:val="18"/>
                <w:szCs w:val="18"/>
                <w:color w:val="auto"/>
              </w:rPr>
              <w:t>Heodor Shipping Inc.</w:t>
            </w:r>
          </w:p>
        </w:tc>
        <w:tc>
          <w:tcPr>
            <w:tcW w:w="2380" w:type="dxa"/>
            <w:vAlign w:val="bottom"/>
            <w:gridSpan w:val="2"/>
          </w:tcPr>
          <w:p>
            <w:pPr>
              <w:spacing w:after="0"/>
              <w:rPr>
                <w:sz w:val="20"/>
                <w:szCs w:val="20"/>
                <w:color w:val="auto"/>
              </w:rPr>
            </w:pPr>
            <w:r>
              <w:rPr>
                <w:rFonts w:ascii="Arial" w:cs="Arial" w:eastAsia="Arial" w:hAnsi="Arial"/>
                <w:sz w:val="18"/>
                <w:szCs w:val="18"/>
                <w:color w:val="auto"/>
              </w:rPr>
              <w:t>Vessel Owning Company</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23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Marshall Is.</w:t>
            </w:r>
          </w:p>
        </w:tc>
        <w:tc>
          <w:tcPr>
            <w:tcW w:w="880" w:type="dxa"/>
            <w:vAlign w:val="bottom"/>
          </w:tcPr>
          <w:p>
            <w:pPr>
              <w:ind w:left="40"/>
              <w:spacing w:after="0"/>
              <w:rPr>
                <w:sz w:val="20"/>
                <w:szCs w:val="20"/>
                <w:color w:val="auto"/>
              </w:rPr>
            </w:pPr>
            <w:r>
              <w:rPr>
                <w:rFonts w:ascii="Arial" w:cs="Arial" w:eastAsia="Arial" w:hAnsi="Arial"/>
                <w:sz w:val="18"/>
                <w:szCs w:val="18"/>
                <w:color w:val="auto"/>
                <w:w w:val="95"/>
              </w:rPr>
              <w:t>1/1 - 12/31</w:t>
            </w:r>
          </w:p>
        </w:tc>
        <w:tc>
          <w:tcPr>
            <w:tcW w:w="1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1/1 - 12/31</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2/13 - 12/31</w:t>
            </w:r>
          </w:p>
        </w:tc>
        <w:tc>
          <w:tcPr>
            <w:tcW w:w="0" w:type="dxa"/>
            <w:vAlign w:val="bottom"/>
          </w:tcPr>
          <w:p>
            <w:pPr>
              <w:spacing w:after="0"/>
              <w:rPr>
                <w:sz w:val="1"/>
                <w:szCs w:val="1"/>
                <w:color w:val="auto"/>
              </w:rPr>
            </w:pPr>
          </w:p>
        </w:tc>
      </w:tr>
      <w:tr>
        <w:trPr>
          <w:trHeight w:val="202"/>
        </w:trPr>
        <w:tc>
          <w:tcPr>
            <w:tcW w:w="2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Navios Maritime Containers</w:t>
            </w:r>
          </w:p>
        </w:tc>
        <w:tc>
          <w:tcPr>
            <w:tcW w:w="2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GP LLC</w:t>
            </w:r>
          </w:p>
        </w:tc>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Company</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2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Marshall Is.</w:t>
            </w:r>
          </w:p>
        </w:tc>
        <w:tc>
          <w:tcPr>
            <w:tcW w:w="10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1/1 - 8/29</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9/11 - 12/31</w:t>
            </w:r>
          </w:p>
        </w:tc>
        <w:tc>
          <w:tcPr>
            <w:tcW w:w="0" w:type="dxa"/>
            <w:vAlign w:val="bottom"/>
          </w:tcPr>
          <w:p>
            <w:pPr>
              <w:spacing w:after="0"/>
              <w:rPr>
                <w:sz w:val="1"/>
                <w:szCs w:val="1"/>
                <w:color w:val="auto"/>
              </w:rPr>
            </w:pPr>
          </w:p>
        </w:tc>
      </w:tr>
      <w:tr>
        <w:trPr>
          <w:trHeight w:val="202"/>
        </w:trPr>
        <w:tc>
          <w:tcPr>
            <w:tcW w:w="2400" w:type="dxa"/>
            <w:vAlign w:val="bottom"/>
            <w:gridSpan w:val="2"/>
          </w:tcPr>
          <w:p>
            <w:pPr>
              <w:spacing w:after="0" w:line="201" w:lineRule="exact"/>
              <w:rPr>
                <w:sz w:val="20"/>
                <w:szCs w:val="20"/>
                <w:color w:val="auto"/>
              </w:rPr>
            </w:pPr>
            <w:r>
              <w:rPr>
                <w:rFonts w:ascii="Arial" w:cs="Arial" w:eastAsia="Arial" w:hAnsi="Arial"/>
                <w:sz w:val="18"/>
                <w:szCs w:val="18"/>
                <w:color w:val="auto"/>
              </w:rPr>
              <w:t>Navios Containers</w:t>
            </w:r>
          </w:p>
        </w:tc>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00" w:type="dxa"/>
            <w:vAlign w:val="bottom"/>
            <w:gridSpan w:val="2"/>
          </w:tcPr>
          <w:p>
            <w:pPr>
              <w:ind w:left="180"/>
              <w:spacing w:after="0"/>
              <w:rPr>
                <w:sz w:val="20"/>
                <w:szCs w:val="20"/>
                <w:color w:val="auto"/>
              </w:rPr>
            </w:pPr>
            <w:r>
              <w:rPr>
                <w:rFonts w:ascii="Arial" w:cs="Arial" w:eastAsia="Arial" w:hAnsi="Arial"/>
                <w:sz w:val="18"/>
                <w:szCs w:val="18"/>
                <w:color w:val="auto"/>
              </w:rPr>
              <w:t>Management Inc.</w:t>
            </w:r>
          </w:p>
        </w:tc>
        <w:tc>
          <w:tcPr>
            <w:tcW w:w="2380" w:type="dxa"/>
            <w:vAlign w:val="bottom"/>
            <w:gridSpan w:val="2"/>
          </w:tcPr>
          <w:p>
            <w:pPr>
              <w:spacing w:after="0"/>
              <w:rPr>
                <w:sz w:val="20"/>
                <w:szCs w:val="20"/>
                <w:color w:val="auto"/>
              </w:rPr>
            </w:pPr>
            <w:r>
              <w:rPr>
                <w:rFonts w:ascii="Arial" w:cs="Arial" w:eastAsia="Arial" w:hAnsi="Arial"/>
                <w:sz w:val="18"/>
                <w:szCs w:val="18"/>
                <w:color w:val="auto"/>
              </w:rPr>
              <w:t>Management Company</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23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Marshall Is.</w:t>
            </w:r>
          </w:p>
        </w:tc>
        <w:tc>
          <w:tcPr>
            <w:tcW w:w="10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1/1 - 8/29</w:t>
            </w:r>
          </w:p>
        </w:tc>
        <w:tc>
          <w:tcPr>
            <w:tcW w:w="10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1/1 - 12/31</w:t>
            </w:r>
          </w:p>
        </w:tc>
        <w:tc>
          <w:tcPr>
            <w:tcW w:w="0" w:type="dxa"/>
            <w:vAlign w:val="bottom"/>
          </w:tcPr>
          <w:p>
            <w:pPr>
              <w:spacing w:after="0"/>
              <w:rPr>
                <w:sz w:val="1"/>
                <w:szCs w:val="1"/>
                <w:color w:val="auto"/>
              </w:rPr>
            </w:pPr>
          </w:p>
        </w:tc>
      </w:tr>
      <w:tr>
        <w:trPr>
          <w:trHeight w:val="216"/>
        </w:trPr>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Pacifico Navigation Corp.</w:t>
            </w:r>
          </w:p>
        </w:tc>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Vessel Owning Company</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2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Marshall Is.</w:t>
            </w:r>
          </w:p>
        </w:tc>
        <w:tc>
          <w:tcPr>
            <w:tcW w:w="28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w w:val="97"/>
              </w:rPr>
              <w:t>1/1 - 12/31  1/1 - 12/31  11/7 - 12/31</w:t>
            </w:r>
          </w:p>
        </w:tc>
        <w:tc>
          <w:tcPr>
            <w:tcW w:w="0" w:type="dxa"/>
            <w:vAlign w:val="bottom"/>
          </w:tcPr>
          <w:p>
            <w:pPr>
              <w:spacing w:after="0"/>
              <w:rPr>
                <w:sz w:val="1"/>
                <w:szCs w:val="1"/>
                <w:color w:val="auto"/>
              </w:rPr>
            </w:pPr>
          </w:p>
        </w:tc>
      </w:tr>
      <w:tr>
        <w:trPr>
          <w:trHeight w:val="216"/>
        </w:trPr>
        <w:tc>
          <w:tcPr>
            <w:tcW w:w="2400" w:type="dxa"/>
            <w:vAlign w:val="bottom"/>
            <w:gridSpan w:val="2"/>
          </w:tcPr>
          <w:p>
            <w:pPr>
              <w:spacing w:after="0"/>
              <w:rPr>
                <w:sz w:val="20"/>
                <w:szCs w:val="20"/>
                <w:color w:val="auto"/>
              </w:rPr>
            </w:pPr>
            <w:r>
              <w:rPr>
                <w:rFonts w:ascii="Arial" w:cs="Arial" w:eastAsia="Arial" w:hAnsi="Arial"/>
                <w:sz w:val="18"/>
                <w:szCs w:val="18"/>
                <w:color w:val="auto"/>
              </w:rPr>
              <w:t>Rider Shipmanagement Inc.</w:t>
            </w:r>
          </w:p>
        </w:tc>
        <w:tc>
          <w:tcPr>
            <w:tcW w:w="2380" w:type="dxa"/>
            <w:vAlign w:val="bottom"/>
            <w:gridSpan w:val="2"/>
          </w:tcPr>
          <w:p>
            <w:pPr>
              <w:spacing w:after="0"/>
              <w:rPr>
                <w:sz w:val="20"/>
                <w:szCs w:val="20"/>
                <w:color w:val="auto"/>
              </w:rPr>
            </w:pPr>
            <w:r>
              <w:rPr>
                <w:rFonts w:ascii="Arial" w:cs="Arial" w:eastAsia="Arial" w:hAnsi="Arial"/>
                <w:sz w:val="18"/>
                <w:szCs w:val="18"/>
                <w:color w:val="auto"/>
              </w:rPr>
              <w:t>Operating Company</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23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Marshall Is.</w:t>
            </w:r>
          </w:p>
        </w:tc>
        <w:tc>
          <w:tcPr>
            <w:tcW w:w="2880" w:type="dxa"/>
            <w:vAlign w:val="bottom"/>
            <w:gridSpan w:val="5"/>
          </w:tcPr>
          <w:p>
            <w:pPr>
              <w:ind w:left="40"/>
              <w:spacing w:after="0"/>
              <w:rPr>
                <w:sz w:val="20"/>
                <w:szCs w:val="20"/>
                <w:color w:val="auto"/>
              </w:rPr>
            </w:pPr>
            <w:r>
              <w:rPr>
                <w:rFonts w:ascii="Arial" w:cs="Arial" w:eastAsia="Arial" w:hAnsi="Arial"/>
                <w:sz w:val="18"/>
                <w:szCs w:val="18"/>
                <w:color w:val="auto"/>
                <w:w w:val="97"/>
              </w:rPr>
              <w:t>1/1 - 12/31  1/1 - 12/31  12/4 - 12/31</w:t>
            </w:r>
          </w:p>
        </w:tc>
        <w:tc>
          <w:tcPr>
            <w:tcW w:w="0" w:type="dxa"/>
            <w:vAlign w:val="bottom"/>
          </w:tcPr>
          <w:p>
            <w:pPr>
              <w:spacing w:after="0"/>
              <w:rPr>
                <w:sz w:val="1"/>
                <w:szCs w:val="1"/>
                <w:color w:val="auto"/>
              </w:rPr>
            </w:pPr>
          </w:p>
        </w:tc>
      </w:tr>
      <w:tr>
        <w:trPr>
          <w:trHeight w:val="216"/>
        </w:trPr>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Talia Shiptrade S.A.</w:t>
            </w:r>
          </w:p>
        </w:tc>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Company</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2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Marshall Is.</w:t>
            </w:r>
          </w:p>
        </w:tc>
        <w:tc>
          <w:tcPr>
            <w:tcW w:w="8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1/1 - 12/31</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1/1 - 12/31</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10/11 - 12/31</w:t>
            </w:r>
          </w:p>
        </w:tc>
        <w:tc>
          <w:tcPr>
            <w:tcW w:w="0" w:type="dxa"/>
            <w:vAlign w:val="bottom"/>
          </w:tcPr>
          <w:p>
            <w:pPr>
              <w:spacing w:after="0"/>
              <w:rPr>
                <w:sz w:val="1"/>
                <w:szCs w:val="1"/>
                <w:color w:val="auto"/>
              </w:rPr>
            </w:pPr>
          </w:p>
        </w:tc>
      </w:tr>
      <w:tr>
        <w:trPr>
          <w:trHeight w:val="202"/>
        </w:trPr>
        <w:tc>
          <w:tcPr>
            <w:tcW w:w="2400" w:type="dxa"/>
            <w:vAlign w:val="bottom"/>
            <w:gridSpan w:val="2"/>
          </w:tcPr>
          <w:p>
            <w:pPr>
              <w:spacing w:after="0" w:line="201" w:lineRule="exact"/>
              <w:rPr>
                <w:sz w:val="20"/>
                <w:szCs w:val="20"/>
                <w:color w:val="auto"/>
              </w:rPr>
            </w:pPr>
            <w:r>
              <w:rPr>
                <w:rFonts w:ascii="Arial" w:cs="Arial" w:eastAsia="Arial" w:hAnsi="Arial"/>
                <w:sz w:val="18"/>
                <w:szCs w:val="18"/>
                <w:color w:val="auto"/>
              </w:rPr>
              <w:t>Moonstone Shipping</w:t>
            </w:r>
          </w:p>
        </w:tc>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00" w:type="dxa"/>
            <w:vAlign w:val="bottom"/>
            <w:gridSpan w:val="2"/>
          </w:tcPr>
          <w:p>
            <w:pPr>
              <w:ind w:left="180"/>
              <w:spacing w:after="0"/>
              <w:rPr>
                <w:sz w:val="20"/>
                <w:szCs w:val="20"/>
                <w:color w:val="auto"/>
              </w:rPr>
            </w:pPr>
            <w:r>
              <w:rPr>
                <w:rFonts w:ascii="Arial" w:cs="Arial" w:eastAsia="Arial" w:hAnsi="Arial"/>
                <w:sz w:val="18"/>
                <w:szCs w:val="18"/>
                <w:color w:val="auto"/>
              </w:rPr>
              <w:t>Corporation</w:t>
            </w:r>
          </w:p>
        </w:tc>
        <w:tc>
          <w:tcPr>
            <w:tcW w:w="2380" w:type="dxa"/>
            <w:vAlign w:val="bottom"/>
            <w:gridSpan w:val="2"/>
          </w:tcPr>
          <w:p>
            <w:pPr>
              <w:spacing w:after="0"/>
              <w:rPr>
                <w:sz w:val="20"/>
                <w:szCs w:val="20"/>
                <w:color w:val="auto"/>
              </w:rPr>
            </w:pPr>
            <w:r>
              <w:rPr>
                <w:rFonts w:ascii="Arial" w:cs="Arial" w:eastAsia="Arial" w:hAnsi="Arial"/>
                <w:sz w:val="18"/>
                <w:szCs w:val="18"/>
                <w:color w:val="auto"/>
              </w:rPr>
              <w:t>Vessel Owning Company</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23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Marshall Is.</w:t>
            </w: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6/30 - 12/31</w:t>
            </w:r>
          </w:p>
        </w:tc>
        <w:tc>
          <w:tcPr>
            <w:tcW w:w="120" w:type="dxa"/>
            <w:vAlign w:val="bottom"/>
          </w:tcPr>
          <w:p>
            <w:pPr>
              <w:spacing w:after="0"/>
              <w:rPr>
                <w:sz w:val="20"/>
                <w:szCs w:val="20"/>
                <w:color w:val="auto"/>
              </w:rPr>
            </w:pPr>
          </w:p>
        </w:tc>
        <w:tc>
          <w:tcPr>
            <w:tcW w:w="9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80" w:type="dxa"/>
            <w:vAlign w:val="bottom"/>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Opal Shipping Corporation</w:t>
            </w:r>
          </w:p>
        </w:tc>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Vessel Owning Company</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2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Marshall Is.</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6/30 - 12/31</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60" w:hanging="424"/>
        <w:spacing w:after="0" w:line="269" w:lineRule="auto"/>
        <w:tabs>
          <w:tab w:leader="none" w:pos="540" w:val="left"/>
        </w:tabs>
        <w:numPr>
          <w:ilvl w:val="0"/>
          <w:numId w:val="118"/>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Use of Estimates: </w:t>
      </w:r>
      <w:r>
        <w:rPr>
          <w:rFonts w:ascii="Arial" w:cs="Arial" w:eastAsia="Arial" w:hAnsi="Arial"/>
          <w:sz w:val="17"/>
          <w:szCs w:val="17"/>
          <w:color w:val="auto"/>
        </w:rPr>
        <w:t>The preparation of consolidated financial statements in conformity with U.S. GAAP requires management to make estimates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assumptions that affect the reported amounts of assets and liabilities and disclosure of contingent assets and liabilities as of the dates of the financial statements and the reported amounts of revenues and expenses during the reporting periods. On an on-going basis, management evaluates the estimates and judgments, including those related to uncompleted voyages, future drydock dates, the assessment of other-than-temporary impairment related to the carrying value of investments in affiliate companies, the selection of useful lives for tangible and intangible assets, expected future cash flows from long-lived assets and operating lease assets to support impairment tests, impairment test for goodwill, allowance for credit losses necessary for accounts receivables and demurrages, provisions for legal disputes, pension benefits, contingencies and guarantees. Management bases its estimates and judgments on historical experience and on various other factors that are believed to be reasonable under the circumstances, the results of which form the basis for making judgments about the carrying values of assets and liabilities that are not readily apparent from other sources. The spread of the COVID-19 pandemic, which has been declared a pandemic by the World Health Organization, in 2020, has caused substantial disruptions in the global economy and the shipping industry, as well as significant volatility in the financial markets, the severity and duration of which remains uncertain.</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40"/>
          </w:cols>
          <w:pgMar w:left="320" w:top="459" w:right="4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NAVIOS MARITIME HOLDINGS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(Expressed in thousands of U.S. dollars — except share data)</w:t>
      </w:r>
    </w:p>
    <w:p>
      <w:pPr>
        <w:spacing w:after="0" w:line="143" w:lineRule="exact"/>
        <w:rPr>
          <w:sz w:val="20"/>
          <w:szCs w:val="20"/>
          <w:color w:val="auto"/>
        </w:rPr>
      </w:pPr>
    </w:p>
    <w:p>
      <w:pPr>
        <w:ind w:left="560"/>
        <w:spacing w:after="0" w:line="275" w:lineRule="auto"/>
        <w:rPr>
          <w:sz w:val="20"/>
          <w:szCs w:val="20"/>
          <w:color w:val="auto"/>
        </w:rPr>
      </w:pPr>
      <w:r>
        <w:rPr>
          <w:rFonts w:ascii="Arial" w:cs="Arial" w:eastAsia="Arial" w:hAnsi="Arial"/>
          <w:sz w:val="17"/>
          <w:szCs w:val="17"/>
          <w:color w:val="auto"/>
        </w:rPr>
        <w:t>The impact of the COVID-19 pandemic continues to unfold and may continue to have negative effect on our business, financial performance and the results of our operations, including due to decreased demand for global seaborne dry bulk trade and charter rates, the extent of which will depend largely on future developments. As a result, many of our estimates and assumptions required increased judgment and carry a higher degree of variability and volatility. As events continue to evolve and additional information becomes available, our estimates may change in future periods. Actual results could differ from those estimates under different assumptions and/or conditions.</w:t>
      </w:r>
    </w:p>
    <w:p>
      <w:pPr>
        <w:spacing w:after="0" w:line="82" w:lineRule="exact"/>
        <w:rPr>
          <w:sz w:val="20"/>
          <w:szCs w:val="20"/>
          <w:color w:val="auto"/>
        </w:rPr>
      </w:pPr>
    </w:p>
    <w:p>
      <w:pPr>
        <w:ind w:left="540" w:right="380" w:hanging="424"/>
        <w:spacing w:after="0" w:line="277" w:lineRule="auto"/>
        <w:tabs>
          <w:tab w:leader="none" w:pos="540" w:val="left"/>
        </w:tabs>
        <w:numPr>
          <w:ilvl w:val="0"/>
          <w:numId w:val="1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Cash and Cash Equivalents: </w:t>
      </w:r>
      <w:r>
        <w:rPr>
          <w:rFonts w:ascii="Arial" w:cs="Arial" w:eastAsia="Arial" w:hAnsi="Arial"/>
          <w:sz w:val="18"/>
          <w:szCs w:val="18"/>
          <w:color w:val="auto"/>
        </w:rPr>
        <w:t>Cash and cash equivalents consist of cash on hand, deposits held on call with banks, and other short-term liquid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investments with original maturities of three months or less.</w:t>
      </w:r>
    </w:p>
    <w:p>
      <w:pPr>
        <w:spacing w:after="0" w:line="75" w:lineRule="exact"/>
        <w:rPr>
          <w:rFonts w:ascii="Arial" w:cs="Arial" w:eastAsia="Arial" w:hAnsi="Arial"/>
          <w:sz w:val="18"/>
          <w:szCs w:val="18"/>
          <w:b w:val="1"/>
          <w:bCs w:val="1"/>
          <w:i w:val="1"/>
          <w:iCs w:val="1"/>
          <w:color w:val="auto"/>
        </w:rPr>
      </w:pPr>
    </w:p>
    <w:p>
      <w:pPr>
        <w:ind w:left="540" w:hanging="424"/>
        <w:spacing w:after="0" w:line="296" w:lineRule="auto"/>
        <w:tabs>
          <w:tab w:leader="none" w:pos="540" w:val="left"/>
        </w:tabs>
        <w:numPr>
          <w:ilvl w:val="0"/>
          <w:numId w:val="119"/>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Restricted Cash: </w:t>
      </w:r>
      <w:r>
        <w:rPr>
          <w:rFonts w:ascii="Arial" w:cs="Arial" w:eastAsia="Arial" w:hAnsi="Arial"/>
          <w:sz w:val="16"/>
          <w:szCs w:val="16"/>
          <w:color w:val="auto"/>
        </w:rPr>
        <w:t>As of December 31, 2020 and 2019, restricted cash included $684 and $726, respectively, which related to amounts held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retention accounts in order to service debt and interest payments, as required by certain of Navios Holdings’ credit facilities. Also included in restricted cash as of both December 31, 2020 and 2019 are amounts held as security in the form of letters of guarantee or letters of credit totaling $10. As of December 31, 2020 restricted cash also included an amount of $15,609 concerning the proceeds from the sale of Navios Northern Star and Navios Amitie held as cash collateral in an escrow account, following the vessels’ disposal and release from the 2022 Notes. See also Note 11.</w:t>
      </w:r>
    </w:p>
    <w:p>
      <w:pPr>
        <w:spacing w:after="0" w:line="66" w:lineRule="exact"/>
        <w:rPr>
          <w:rFonts w:ascii="Arial" w:cs="Arial" w:eastAsia="Arial" w:hAnsi="Arial"/>
          <w:sz w:val="16"/>
          <w:szCs w:val="16"/>
          <w:b w:val="1"/>
          <w:bCs w:val="1"/>
          <w:i w:val="1"/>
          <w:iCs w:val="1"/>
          <w:color w:val="auto"/>
        </w:rPr>
      </w:pPr>
    </w:p>
    <w:p>
      <w:pPr>
        <w:ind w:left="540" w:right="140" w:hanging="424"/>
        <w:spacing w:after="0" w:line="257" w:lineRule="auto"/>
        <w:tabs>
          <w:tab w:leader="none" w:pos="540" w:val="left"/>
        </w:tabs>
        <w:numPr>
          <w:ilvl w:val="0"/>
          <w:numId w:val="1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Insurance Claims: </w:t>
      </w:r>
      <w:r>
        <w:rPr>
          <w:rFonts w:ascii="Arial" w:cs="Arial" w:eastAsia="Arial" w:hAnsi="Arial"/>
          <w:sz w:val="18"/>
          <w:szCs w:val="18"/>
          <w:color w:val="auto"/>
        </w:rPr>
        <w:t>Insurance claims at each balance sheet date consist of claims submitted and/or claims in the process of compilation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submission (claims pending). They are recorded on an accrual basis and represent the claimable expenses, net of applicable deductibles, incurred through December 31 of each reporting period, which are probable to be recovered from insurance companies. Any remaining costs to complete the claims are included in accrued liabilities. The classification of insurance claims into current and non-current assets is based on management’s expectations as to their collection dates.</w:t>
      </w:r>
    </w:p>
    <w:p>
      <w:pPr>
        <w:spacing w:after="0" w:line="93" w:lineRule="exact"/>
        <w:rPr>
          <w:rFonts w:ascii="Arial" w:cs="Arial" w:eastAsia="Arial" w:hAnsi="Arial"/>
          <w:sz w:val="18"/>
          <w:szCs w:val="18"/>
          <w:b w:val="1"/>
          <w:bCs w:val="1"/>
          <w:i w:val="1"/>
          <w:iCs w:val="1"/>
          <w:color w:val="auto"/>
        </w:rPr>
      </w:pPr>
    </w:p>
    <w:p>
      <w:pPr>
        <w:ind w:left="540" w:right="280" w:hanging="424"/>
        <w:spacing w:after="0" w:line="277" w:lineRule="auto"/>
        <w:tabs>
          <w:tab w:leader="none" w:pos="540" w:val="left"/>
        </w:tabs>
        <w:numPr>
          <w:ilvl w:val="0"/>
          <w:numId w:val="1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Inventories: </w:t>
      </w:r>
      <w:r>
        <w:rPr>
          <w:rFonts w:ascii="Arial" w:cs="Arial" w:eastAsia="Arial" w:hAnsi="Arial"/>
          <w:sz w:val="18"/>
          <w:szCs w:val="18"/>
          <w:color w:val="auto"/>
        </w:rPr>
        <w:t>Inventories, which are comprised of lubricants, bunkers (when applicable) and stock provisions on board of the vessels, as well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petroleum products held by Navios Logistics, are valued at cost as determined on the first-in, first-out basis.</w:t>
      </w:r>
    </w:p>
    <w:p>
      <w:pPr>
        <w:spacing w:after="0" w:line="75" w:lineRule="exact"/>
        <w:rPr>
          <w:rFonts w:ascii="Arial" w:cs="Arial" w:eastAsia="Arial" w:hAnsi="Arial"/>
          <w:sz w:val="18"/>
          <w:szCs w:val="18"/>
          <w:b w:val="1"/>
          <w:bCs w:val="1"/>
          <w:i w:val="1"/>
          <w:iCs w:val="1"/>
          <w:color w:val="auto"/>
        </w:rPr>
      </w:pPr>
    </w:p>
    <w:p>
      <w:pPr>
        <w:ind w:left="540" w:right="100" w:hanging="424"/>
        <w:spacing w:after="0" w:line="271" w:lineRule="auto"/>
        <w:tabs>
          <w:tab w:leader="none" w:pos="540" w:val="left"/>
        </w:tabs>
        <w:numPr>
          <w:ilvl w:val="0"/>
          <w:numId w:val="119"/>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Dry Bulk Vessels, Port Terminals, Tanker Vessels, Barges, Pushboats and Other Fixed Assets, net: </w:t>
      </w:r>
      <w:r>
        <w:rPr>
          <w:rFonts w:ascii="Arial" w:cs="Arial" w:eastAsia="Arial" w:hAnsi="Arial"/>
          <w:sz w:val="17"/>
          <w:szCs w:val="17"/>
          <w:color w:val="auto"/>
        </w:rPr>
        <w:t>Dry bulk vessels, port terminals, tanker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vessels, barges, pushboats and other fixed assets acquired as parts of business combinations are recorded at fair value on the date of acquisition, and if acquired as an asset acquisition, are recorded at cost (including transaction costs). Vessels constructed by the company would be stated at historical cost, which consists of the contract price, capitalized interest and any material expenses incurred upon acquisition (improvements and delivery expenses). Subsequent expenditures for ballast water treatment system, major improvements and upgrades are capitalized, provided they appreciably extend the life, increase the earnings capability or improve the efficiency or safety of the vessels. The cost and related accumulated depreciation of assets retired or sold are removed from the accounts at the time of sale or retirement and any gain or loss is included in the accompanying consolidated statements of comprehensive (loss)/income.</w:t>
      </w:r>
    </w:p>
    <w:p>
      <w:pPr>
        <w:spacing w:after="0" w:line="70" w:lineRule="exact"/>
        <w:rPr>
          <w:rFonts w:ascii="Arial" w:cs="Arial" w:eastAsia="Arial" w:hAnsi="Arial"/>
          <w:sz w:val="17"/>
          <w:szCs w:val="17"/>
          <w:b w:val="1"/>
          <w:bCs w:val="1"/>
          <w:i w:val="1"/>
          <w:iCs w:val="1"/>
          <w:color w:val="auto"/>
        </w:rPr>
      </w:pPr>
    </w:p>
    <w:p>
      <w:pPr>
        <w:ind w:left="560"/>
        <w:spacing w:after="0"/>
        <w:rPr>
          <w:rFonts w:ascii="Arial" w:cs="Arial" w:eastAsia="Arial" w:hAnsi="Arial"/>
          <w:sz w:val="17"/>
          <w:szCs w:val="17"/>
          <w:b w:val="1"/>
          <w:bCs w:val="1"/>
          <w:i w:val="1"/>
          <w:iCs w:val="1"/>
          <w:color w:val="auto"/>
        </w:rPr>
      </w:pPr>
      <w:r>
        <w:rPr>
          <w:rFonts w:ascii="Arial" w:cs="Arial" w:eastAsia="Arial" w:hAnsi="Arial"/>
          <w:sz w:val="18"/>
          <w:szCs w:val="18"/>
          <w:color w:val="auto"/>
        </w:rPr>
        <w:t>Expenditures for routine maintenance and repairs are expensed as incurred.</w:t>
      </w:r>
    </w:p>
    <w:p>
      <w:pPr>
        <w:spacing w:after="0" w:line="117" w:lineRule="exact"/>
        <w:rPr>
          <w:rFonts w:ascii="Arial" w:cs="Arial" w:eastAsia="Arial" w:hAnsi="Arial"/>
          <w:sz w:val="17"/>
          <w:szCs w:val="17"/>
          <w:b w:val="1"/>
          <w:bCs w:val="1"/>
          <w:i w:val="1"/>
          <w:iCs w:val="1"/>
          <w:color w:val="auto"/>
        </w:rPr>
      </w:pPr>
    </w:p>
    <w:p>
      <w:pPr>
        <w:ind w:left="560" w:right="240"/>
        <w:spacing w:after="0" w:line="277" w:lineRule="auto"/>
        <w:rPr>
          <w:rFonts w:ascii="Arial" w:cs="Arial" w:eastAsia="Arial" w:hAnsi="Arial"/>
          <w:sz w:val="17"/>
          <w:szCs w:val="17"/>
          <w:b w:val="1"/>
          <w:bCs w:val="1"/>
          <w:i w:val="1"/>
          <w:iCs w:val="1"/>
          <w:color w:val="auto"/>
        </w:rPr>
      </w:pPr>
      <w:r>
        <w:rPr>
          <w:rFonts w:ascii="Arial" w:cs="Arial" w:eastAsia="Arial" w:hAnsi="Arial"/>
          <w:sz w:val="18"/>
          <w:szCs w:val="18"/>
          <w:color w:val="auto"/>
        </w:rPr>
        <w:t>Depreciation is computed using the straight-line method over the useful life of the vessels, port terminals, tanker vessels, barges, pushboats and other fixed assets, after considering the estimated residual value.</w:t>
      </w:r>
    </w:p>
    <w:p>
      <w:pPr>
        <w:spacing w:after="0" w:line="62" w:lineRule="exact"/>
        <w:rPr>
          <w:rFonts w:ascii="Arial" w:cs="Arial" w:eastAsia="Arial" w:hAnsi="Arial"/>
          <w:sz w:val="17"/>
          <w:szCs w:val="17"/>
          <w:b w:val="1"/>
          <w:bCs w:val="1"/>
          <w:i w:val="1"/>
          <w:iCs w:val="1"/>
          <w:color w:val="auto"/>
        </w:rPr>
      </w:pPr>
    </w:p>
    <w:p>
      <w:pPr>
        <w:ind w:left="560"/>
        <w:spacing w:after="0"/>
        <w:rPr>
          <w:rFonts w:ascii="Arial" w:cs="Arial" w:eastAsia="Arial" w:hAnsi="Arial"/>
          <w:sz w:val="17"/>
          <w:szCs w:val="17"/>
          <w:b w:val="1"/>
          <w:bCs w:val="1"/>
          <w:i w:val="1"/>
          <w:iCs w:val="1"/>
          <w:color w:val="auto"/>
        </w:rPr>
      </w:pPr>
      <w:r>
        <w:rPr>
          <w:rFonts w:ascii="Arial" w:cs="Arial" w:eastAsia="Arial" w:hAnsi="Arial"/>
          <w:sz w:val="18"/>
          <w:szCs w:val="18"/>
          <w:color w:val="auto"/>
        </w:rPr>
        <w:t>Annual depreciation rates used, which approximate the useful life of the assets are:</w:t>
      </w:r>
    </w:p>
    <w:p>
      <w:pPr>
        <w:spacing w:after="0" w:line="266"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Dry bulk vessels</w:t>
            </w:r>
          </w:p>
        </w:tc>
        <w:tc>
          <w:tcPr>
            <w:tcW w:w="3580" w:type="dxa"/>
            <w:vAlign w:val="bottom"/>
            <w:shd w:val="clear" w:color="auto" w:fill="CCEEFF"/>
          </w:tcPr>
          <w:p>
            <w:pPr>
              <w:jc w:val="center"/>
              <w:ind w:left="1010"/>
              <w:spacing w:after="0"/>
              <w:rPr>
                <w:sz w:val="20"/>
                <w:szCs w:val="20"/>
                <w:color w:val="auto"/>
              </w:rPr>
            </w:pPr>
            <w:r>
              <w:rPr>
                <w:rFonts w:ascii="Arial" w:cs="Arial" w:eastAsia="Arial" w:hAnsi="Arial"/>
                <w:sz w:val="18"/>
                <w:szCs w:val="18"/>
                <w:color w:val="auto"/>
                <w:w w:val="86"/>
              </w:rPr>
              <w:t>25 years</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Port terminals</w:t>
            </w:r>
          </w:p>
        </w:tc>
        <w:tc>
          <w:tcPr>
            <w:tcW w:w="3580" w:type="dxa"/>
            <w:vAlign w:val="bottom"/>
          </w:tcPr>
          <w:p>
            <w:pPr>
              <w:jc w:val="center"/>
              <w:ind w:left="1010"/>
              <w:spacing w:after="0"/>
              <w:rPr>
                <w:sz w:val="20"/>
                <w:szCs w:val="20"/>
                <w:color w:val="auto"/>
              </w:rPr>
            </w:pPr>
            <w:r>
              <w:rPr>
                <w:rFonts w:ascii="Arial" w:cs="Arial" w:eastAsia="Arial" w:hAnsi="Arial"/>
                <w:sz w:val="18"/>
                <w:szCs w:val="18"/>
                <w:color w:val="auto"/>
                <w:w w:val="88"/>
              </w:rPr>
              <w:t>5 to 49 years</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Tanker vessels, barges and pushboats</w:t>
            </w:r>
          </w:p>
        </w:tc>
        <w:tc>
          <w:tcPr>
            <w:tcW w:w="3580" w:type="dxa"/>
            <w:vAlign w:val="bottom"/>
            <w:shd w:val="clear" w:color="auto" w:fill="CCEEFF"/>
          </w:tcPr>
          <w:p>
            <w:pPr>
              <w:jc w:val="center"/>
              <w:ind w:left="1010"/>
              <w:spacing w:after="0"/>
              <w:rPr>
                <w:sz w:val="20"/>
                <w:szCs w:val="20"/>
                <w:color w:val="auto"/>
              </w:rPr>
            </w:pPr>
            <w:r>
              <w:rPr>
                <w:rFonts w:ascii="Arial" w:cs="Arial" w:eastAsia="Arial" w:hAnsi="Arial"/>
                <w:sz w:val="18"/>
                <w:szCs w:val="18"/>
                <w:color w:val="auto"/>
                <w:w w:val="87"/>
              </w:rPr>
              <w:t>15 to 45 years</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3580" w:type="dxa"/>
            <w:vAlign w:val="bottom"/>
          </w:tcPr>
          <w:p>
            <w:pPr>
              <w:jc w:val="center"/>
              <w:ind w:left="1010"/>
              <w:spacing w:after="0"/>
              <w:rPr>
                <w:sz w:val="20"/>
                <w:szCs w:val="20"/>
                <w:color w:val="auto"/>
              </w:rPr>
            </w:pPr>
            <w:r>
              <w:rPr>
                <w:rFonts w:ascii="Arial" w:cs="Arial" w:eastAsia="Arial" w:hAnsi="Arial"/>
                <w:sz w:val="18"/>
                <w:szCs w:val="18"/>
                <w:color w:val="auto"/>
                <w:w w:val="88"/>
              </w:rPr>
              <w:t>3 to 10 years</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3580" w:type="dxa"/>
            <w:vAlign w:val="bottom"/>
            <w:shd w:val="clear" w:color="auto" w:fill="CCEEFF"/>
          </w:tcPr>
          <w:p>
            <w:pPr>
              <w:jc w:val="center"/>
              <w:ind w:left="1010"/>
              <w:spacing w:after="0"/>
              <w:rPr>
                <w:sz w:val="20"/>
                <w:szCs w:val="20"/>
                <w:color w:val="auto"/>
              </w:rPr>
            </w:pPr>
            <w:r>
              <w:rPr>
                <w:rFonts w:ascii="Arial" w:cs="Arial" w:eastAsia="Arial" w:hAnsi="Arial"/>
                <w:sz w:val="18"/>
                <w:szCs w:val="18"/>
                <w:color w:val="auto"/>
                <w:w w:val="88"/>
              </w:rPr>
              <w:t>5 years</w:t>
            </w: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3580" w:type="dxa"/>
            <w:vAlign w:val="bottom"/>
          </w:tcPr>
          <w:p>
            <w:pPr>
              <w:jc w:val="center"/>
              <w:ind w:left="1010"/>
              <w:spacing w:after="0"/>
              <w:rPr>
                <w:sz w:val="20"/>
                <w:szCs w:val="20"/>
                <w:color w:val="auto"/>
              </w:rPr>
            </w:pPr>
            <w:r>
              <w:rPr>
                <w:rFonts w:ascii="Arial" w:cs="Arial" w:eastAsia="Arial" w:hAnsi="Arial"/>
                <w:sz w:val="18"/>
                <w:szCs w:val="18"/>
                <w:color w:val="auto"/>
                <w:w w:val="89"/>
              </w:rPr>
              <w:t>shorter of lease term or 6 years</w:t>
            </w:r>
          </w:p>
        </w:tc>
      </w:tr>
    </w:tbl>
    <w:p>
      <w:pPr>
        <w:spacing w:after="0" w:line="79" w:lineRule="exact"/>
        <w:rPr>
          <w:sz w:val="20"/>
          <w:szCs w:val="20"/>
          <w:color w:val="auto"/>
        </w:rPr>
      </w:pPr>
    </w:p>
    <w:p>
      <w:pPr>
        <w:ind w:left="560" w:right="140"/>
        <w:spacing w:after="0" w:line="296" w:lineRule="auto"/>
        <w:rPr>
          <w:sz w:val="20"/>
          <w:szCs w:val="20"/>
          <w:color w:val="auto"/>
        </w:rPr>
      </w:pPr>
      <w:r>
        <w:rPr>
          <w:rFonts w:ascii="Arial" w:cs="Arial" w:eastAsia="Arial" w:hAnsi="Arial"/>
          <w:sz w:val="16"/>
          <w:szCs w:val="16"/>
          <w:color w:val="auto"/>
        </w:rPr>
        <w:t>Management estimates the residual values of the Company’s dry bulk vessels based on a scrap value cost of steel times the weight of the ship noted in lightweight tons (“LWT”). Residual values are periodically reviewed and revised to recognize changes in conditions, new regulations or other reasons. Revisions of residual values affect the depreciable amount of the vessels and the depreciation expense in the period of the revision and future periods. Management estimates the residual values of the Company’s vessels based on a scrap rate of $340 per LWT after considering current market trends for scrap rates and ten-year average historical scrap rates of the residual values of the Company’s vessels.</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20"/>
          </w:cols>
          <w:pgMar w:left="320" w:top="459" w:right="4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NAVIOS MARITIME HOLDINGS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(Expressed in thousands of U.S. dollars — except share data)</w:t>
      </w:r>
    </w:p>
    <w:p>
      <w:pPr>
        <w:spacing w:after="0" w:line="143" w:lineRule="exact"/>
        <w:rPr>
          <w:sz w:val="20"/>
          <w:szCs w:val="20"/>
          <w:color w:val="auto"/>
        </w:rPr>
      </w:pPr>
    </w:p>
    <w:p>
      <w:pPr>
        <w:ind w:left="560" w:right="180"/>
        <w:spacing w:after="0" w:line="257" w:lineRule="auto"/>
        <w:rPr>
          <w:sz w:val="20"/>
          <w:szCs w:val="20"/>
          <w:color w:val="auto"/>
        </w:rPr>
      </w:pPr>
      <w:r>
        <w:rPr>
          <w:rFonts w:ascii="Arial" w:cs="Arial" w:eastAsia="Arial" w:hAnsi="Arial"/>
          <w:sz w:val="18"/>
          <w:szCs w:val="18"/>
          <w:color w:val="auto"/>
        </w:rPr>
        <w:t>Management estimates the useful life of its dry bulk vessels to be 25 years from the vessel’s original construction. However, when regulations place limitations on the ability of a vessel to trade on a worldwide basis, its useful life is re-estimated to end at the date such regulations become effective. An increase in the useful life of a vessel or in its residual value would have the effect of decreasing the annual depreciation charge and extending it into later periods. A decrease in the useful life of a vessel or in its residual value would have the effect of increasing the annual depreciation charge.</w:t>
      </w:r>
    </w:p>
    <w:p>
      <w:pPr>
        <w:spacing w:after="0" w:line="93" w:lineRule="exact"/>
        <w:rPr>
          <w:sz w:val="20"/>
          <w:szCs w:val="20"/>
          <w:color w:val="auto"/>
        </w:rPr>
      </w:pPr>
    </w:p>
    <w:p>
      <w:pPr>
        <w:ind w:left="540" w:right="20" w:hanging="424"/>
        <w:spacing w:after="0" w:line="273" w:lineRule="auto"/>
        <w:tabs>
          <w:tab w:leader="none" w:pos="540" w:val="left"/>
        </w:tabs>
        <w:numPr>
          <w:ilvl w:val="0"/>
          <w:numId w:val="120"/>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Deposits for Vessels, Port Terminals and Other Fixed Assets: </w:t>
      </w:r>
      <w:r>
        <w:rPr>
          <w:rFonts w:ascii="Arial" w:cs="Arial" w:eastAsia="Arial" w:hAnsi="Arial"/>
          <w:sz w:val="17"/>
          <w:szCs w:val="17"/>
          <w:color w:val="auto"/>
        </w:rPr>
        <w:t>This represents amounts paid by the Company in accordance with the terms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purchase agreements for the construction of vessels, port terminals and other long-lived fixed assets. Deposits for vessels, port terminals and other fixed assets also include pre-delivery expenses. Pre-delivery expenses represent any direct costs to bring the asset to the location and condition necessary for it to be capable of operating in the manner intended by management. Interest costs incurred during the construction (until the asset is substantially complete and ready for its intended use) are capitalized. Capitalized interest for the years ended December 31, 2020, 2019 and 2018 amounted to $986, $1,960 and $2,879, respectively.</w:t>
      </w:r>
    </w:p>
    <w:p>
      <w:pPr>
        <w:spacing w:after="0" w:line="83" w:lineRule="exact"/>
        <w:rPr>
          <w:rFonts w:ascii="Arial" w:cs="Arial" w:eastAsia="Arial" w:hAnsi="Arial"/>
          <w:sz w:val="17"/>
          <w:szCs w:val="17"/>
          <w:b w:val="1"/>
          <w:bCs w:val="1"/>
          <w:i w:val="1"/>
          <w:iCs w:val="1"/>
          <w:color w:val="auto"/>
        </w:rPr>
      </w:pPr>
    </w:p>
    <w:p>
      <w:pPr>
        <w:ind w:left="540" w:right="20" w:hanging="424"/>
        <w:spacing w:after="0" w:line="269" w:lineRule="auto"/>
        <w:tabs>
          <w:tab w:leader="none" w:pos="540" w:val="left"/>
        </w:tabs>
        <w:numPr>
          <w:ilvl w:val="0"/>
          <w:numId w:val="120"/>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Assets Held for Sale: </w:t>
      </w:r>
      <w:r>
        <w:rPr>
          <w:rFonts w:ascii="Arial" w:cs="Arial" w:eastAsia="Arial" w:hAnsi="Arial"/>
          <w:sz w:val="17"/>
          <w:szCs w:val="17"/>
          <w:color w:val="auto"/>
        </w:rPr>
        <w:t>It is the Company’s policy to dispose of vessels and other fixed assets when suitable opportunities occur and not necessarily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keep them until the end of their useful life. The Company classifies assets and disposal groups as being held for sale when the following criteria are met: management has committed to a plan to sell the asset (disposal group); the asset (disposal group) is available for immediate sale in its present condition; an active program to locate a buyer and other actions required to complete the plan to sell the asset (disposal group) have been initiated; the sale of the asset (disposal group) is probable, and transfer of the asset (disposal group) is expected to qualify for recognition as a completed sale within one year; the asset (disposal group) is being actively marketed for sale at a price that is reasonable in relation to its current fair value; and actions required to complete the plan indicate that it is unlikely that significant changes to the plan will be made or that the plan will be withdrawn. Long-lived assets or disposal groups classified as held for sale are measured at the lower of their carrying amount or fair value less cost to sell. These assets are not depreciated once they meet the criteria to be held for sale. No assets were classified as held for sale in any of the periods presented.</w:t>
      </w:r>
    </w:p>
    <w:p>
      <w:pPr>
        <w:spacing w:after="0" w:line="90" w:lineRule="exact"/>
        <w:rPr>
          <w:rFonts w:ascii="Arial" w:cs="Arial" w:eastAsia="Arial" w:hAnsi="Arial"/>
          <w:sz w:val="17"/>
          <w:szCs w:val="17"/>
          <w:b w:val="1"/>
          <w:bCs w:val="1"/>
          <w:i w:val="1"/>
          <w:iCs w:val="1"/>
          <w:color w:val="auto"/>
        </w:rPr>
      </w:pPr>
    </w:p>
    <w:p>
      <w:pPr>
        <w:ind w:left="540" w:hanging="424"/>
        <w:spacing w:after="0" w:line="270" w:lineRule="auto"/>
        <w:tabs>
          <w:tab w:leader="none" w:pos="540" w:val="left"/>
        </w:tabs>
        <w:numPr>
          <w:ilvl w:val="0"/>
          <w:numId w:val="120"/>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Impairment of Long Lived Assets: </w:t>
      </w:r>
      <w:r>
        <w:rPr>
          <w:rFonts w:ascii="Arial" w:cs="Arial" w:eastAsia="Arial" w:hAnsi="Arial"/>
          <w:sz w:val="17"/>
          <w:szCs w:val="17"/>
          <w:color w:val="auto"/>
        </w:rPr>
        <w:t>Vessels, other fixed assets and other long-lived assets held and used by Navios Holdings are reviewed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periodically for potential impairment whenever events or changes in circumstances indicate that the carrying amount of a particular asset may not be fully recoverable. Navios Holdings’ management evaluates the carrying amounts and periods over which long-lived assets are depreciated to determine if events or changes in circumstances have occurred that would require modification to their carrying values or useful lives. Measurement of the impairment loss is determined as the difference between the carrying value and the fair value. Navios Holdings determines the fair value of its assets on the basis of management estimates and assumptions by making use of available market data and taking into consideration third party valuations performed on an individual vessel basis. In evaluating useful lives and carrying values of long-lived assets, certain indicators of potential impairment are reviewed, such as undiscounted projected operating cash flows, vessel sales and purchases, business plans and overall market conditions.</w:t>
      </w:r>
    </w:p>
    <w:p>
      <w:pPr>
        <w:spacing w:after="0" w:line="72" w:lineRule="exact"/>
        <w:rPr>
          <w:rFonts w:ascii="Arial" w:cs="Arial" w:eastAsia="Arial" w:hAnsi="Arial"/>
          <w:sz w:val="17"/>
          <w:szCs w:val="17"/>
          <w:b w:val="1"/>
          <w:bCs w:val="1"/>
          <w:i w:val="1"/>
          <w:iCs w:val="1"/>
          <w:color w:val="auto"/>
        </w:rPr>
      </w:pPr>
    </w:p>
    <w:p>
      <w:pPr>
        <w:ind w:left="560" w:right="100"/>
        <w:spacing w:after="0" w:line="301" w:lineRule="auto"/>
        <w:rPr>
          <w:rFonts w:ascii="Arial" w:cs="Arial" w:eastAsia="Arial" w:hAnsi="Arial"/>
          <w:sz w:val="17"/>
          <w:szCs w:val="17"/>
          <w:b w:val="1"/>
          <w:bCs w:val="1"/>
          <w:i w:val="1"/>
          <w:iCs w:val="1"/>
          <w:color w:val="auto"/>
        </w:rPr>
      </w:pPr>
      <w:r>
        <w:rPr>
          <w:rFonts w:ascii="Arial" w:cs="Arial" w:eastAsia="Arial" w:hAnsi="Arial"/>
          <w:sz w:val="16"/>
          <w:szCs w:val="16"/>
          <w:color w:val="auto"/>
        </w:rPr>
        <w:t>Undiscounted projected net operating cash flows are determined for each asset group and compared to the carrying value of the vessel, the unamortized portion of deferred drydock and special survey costs, the unamortized portion of ballast water treatment system and the unamortized portion of other capitalized items, if any related to the vessel or the carrying value of deposits for newbuildings. The loss recognized either on impairment (or on disposition) will reflect the excess of carrying value over fair value (selling price) for the vessel asset group.</w:t>
      </w:r>
    </w:p>
    <w:p>
      <w:pPr>
        <w:spacing w:after="0" w:line="49" w:lineRule="exact"/>
        <w:rPr>
          <w:rFonts w:ascii="Arial" w:cs="Arial" w:eastAsia="Arial" w:hAnsi="Arial"/>
          <w:sz w:val="17"/>
          <w:szCs w:val="17"/>
          <w:b w:val="1"/>
          <w:bCs w:val="1"/>
          <w:i w:val="1"/>
          <w:iCs w:val="1"/>
          <w:color w:val="auto"/>
        </w:rPr>
      </w:pPr>
    </w:p>
    <w:p>
      <w:pPr>
        <w:ind w:left="560" w:right="60"/>
        <w:spacing w:after="0" w:line="259" w:lineRule="auto"/>
        <w:rPr>
          <w:rFonts w:ascii="Arial" w:cs="Arial" w:eastAsia="Arial" w:hAnsi="Arial"/>
          <w:sz w:val="17"/>
          <w:szCs w:val="17"/>
          <w:b w:val="1"/>
          <w:bCs w:val="1"/>
          <w:i w:val="1"/>
          <w:iCs w:val="1"/>
          <w:color w:val="auto"/>
        </w:rPr>
      </w:pPr>
      <w:r>
        <w:rPr>
          <w:rFonts w:ascii="Arial" w:cs="Arial" w:eastAsia="Arial" w:hAnsi="Arial"/>
          <w:sz w:val="18"/>
          <w:szCs w:val="18"/>
          <w:color w:val="auto"/>
        </w:rPr>
        <w:t>During the fourth quarter of fiscal year 2020, management concluded that events occurred and circumstances had changed, which indicated that potential impairment of Navios Holdings’ long-lived assets might exist. These indicators included continued volatility in the spot market, and the related impact of the current dry bulk sector has on management’s expectation for future revenues. As a result, an impairment assessment of long-lived assets (step one) was performed.</w:t>
      </w:r>
    </w:p>
    <w:p>
      <w:pPr>
        <w:spacing w:after="0" w:line="78" w:lineRule="exact"/>
        <w:rPr>
          <w:rFonts w:ascii="Arial" w:cs="Arial" w:eastAsia="Arial" w:hAnsi="Arial"/>
          <w:sz w:val="17"/>
          <w:szCs w:val="17"/>
          <w:b w:val="1"/>
          <w:bCs w:val="1"/>
          <w:i w:val="1"/>
          <w:iCs w:val="1"/>
          <w:color w:val="auto"/>
        </w:rPr>
      </w:pPr>
    </w:p>
    <w:p>
      <w:pPr>
        <w:ind w:left="560" w:right="80"/>
        <w:spacing w:after="0" w:line="253" w:lineRule="auto"/>
        <w:rPr>
          <w:rFonts w:ascii="Arial" w:cs="Arial" w:eastAsia="Arial" w:hAnsi="Arial"/>
          <w:sz w:val="17"/>
          <w:szCs w:val="17"/>
          <w:b w:val="1"/>
          <w:bCs w:val="1"/>
          <w:i w:val="1"/>
          <w:iCs w:val="1"/>
          <w:color w:val="auto"/>
        </w:rPr>
      </w:pPr>
      <w:r>
        <w:rPr>
          <w:rFonts w:ascii="Arial" w:cs="Arial" w:eastAsia="Arial" w:hAnsi="Arial"/>
          <w:sz w:val="18"/>
          <w:szCs w:val="18"/>
          <w:color w:val="auto"/>
        </w:rPr>
        <w:t>The Company determined undiscounted projected net operating cash flows for each vessel and compared it to the vessel’s carrying value together with the carrying value of deferred drydock and special survey costs, ballast water treatment system costs and other capitalized items, if any, related to the vessel. The significant factors and assumptions used in the undiscounted projected net operating cash flow analysis included: determining the projected net operating cash flows by considering the charter revenues from existing time charters for the fixed fleet days (the Company’s remaining charter agreement rates) and an estimated daily time charter equivalent for the unfixed days (based on a combination of one-year average historical time charter rates and 10-year average historical one-year time charter rates) over the remaining economic life of each vessel, net of brokerage and address commissions excluding days of scheduled off-hires, management fees for vessel operating expenses fixed until 2021 and thereafter assuming an annual increase of 3.0% every second year and a utilization rate of 99.3% based on the fleet’s historical performance.</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20"/>
          </w:cols>
          <w:pgMar w:left="320" w:top="459" w:right="4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NAVIOS MARITIME HOLDINGS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(Expressed in thousands of U.S. dollars — except share data)</w:t>
      </w:r>
    </w:p>
    <w:p>
      <w:pPr>
        <w:spacing w:after="0" w:line="143" w:lineRule="exact"/>
        <w:rPr>
          <w:sz w:val="20"/>
          <w:szCs w:val="20"/>
          <w:color w:val="auto"/>
        </w:rPr>
      </w:pPr>
    </w:p>
    <w:p>
      <w:pPr>
        <w:ind w:left="560" w:right="80"/>
        <w:spacing w:after="0" w:line="293" w:lineRule="auto"/>
        <w:rPr>
          <w:sz w:val="20"/>
          <w:szCs w:val="20"/>
          <w:color w:val="auto"/>
        </w:rPr>
      </w:pPr>
      <w:r>
        <w:rPr>
          <w:rFonts w:ascii="Arial" w:cs="Arial" w:eastAsia="Arial" w:hAnsi="Arial"/>
          <w:sz w:val="16"/>
          <w:szCs w:val="16"/>
          <w:color w:val="auto"/>
        </w:rPr>
        <w:t>Where the undiscounted projected net operating cash flows for each asset group do not exceed the carrying value of the operating lease asset and the carrying value of deposits for the option to acquire a vessel including expenses and interest, management proceeds to perform step two of the impairment assessment. In step two of the impairment assessment, the Company determined the fair value of its vessels through a combination of a discounted cash flow analysis utilizing market participant assumptions from available market data and third-party valuations performed on an individual vessel basis. The significant factors and assumptions used by management in determining fair value of vessels includes those in developing the projected net operating cash flows over the remaining economic life of each vessel and the discount rate.</w:t>
      </w:r>
    </w:p>
    <w:p>
      <w:pPr>
        <w:spacing w:after="0" w:line="56" w:lineRule="exact"/>
        <w:rPr>
          <w:sz w:val="20"/>
          <w:szCs w:val="20"/>
          <w:color w:val="auto"/>
        </w:rPr>
      </w:pPr>
    </w:p>
    <w:p>
      <w:pPr>
        <w:ind w:left="560"/>
        <w:spacing w:after="0" w:line="293" w:lineRule="auto"/>
        <w:rPr>
          <w:sz w:val="20"/>
          <w:szCs w:val="20"/>
          <w:color w:val="auto"/>
        </w:rPr>
      </w:pPr>
      <w:r>
        <w:rPr>
          <w:rFonts w:ascii="Arial" w:cs="Arial" w:eastAsia="Arial" w:hAnsi="Arial"/>
          <w:sz w:val="16"/>
          <w:szCs w:val="16"/>
          <w:color w:val="auto"/>
        </w:rPr>
        <w:t>We have evaluated the impact of current economic situation due to COVID-19 pandemic on the recoverability of the carrying amount of our vessels. As of December 31, 2020, our assessment concluded that step two of the impairment analysis was required for two of our dry bulk vessels held and used, as the undiscounted projected net operating cash flows did not exceed the carrying value. As a result, the Company recorded an impairment loss of $52,820 for these vessels, being the difference between the fair value and the vessel’s carrying value together with the carrying value of deferred drydock and special survey costs, ballast water treatment system costs and other capitalized items, if any, related to these vessels, presented within the caption “Impairment loss/ loss on sale of vessels, net” in the consolidated statements of comprehensive (loss)/income.</w:t>
      </w:r>
    </w:p>
    <w:p>
      <w:pPr>
        <w:spacing w:after="0" w:line="56" w:lineRule="exact"/>
        <w:rPr>
          <w:sz w:val="20"/>
          <w:szCs w:val="20"/>
          <w:color w:val="auto"/>
        </w:rPr>
      </w:pPr>
    </w:p>
    <w:p>
      <w:pPr>
        <w:ind w:left="560" w:right="80"/>
        <w:spacing w:after="0" w:line="259" w:lineRule="auto"/>
        <w:rPr>
          <w:sz w:val="20"/>
          <w:szCs w:val="20"/>
          <w:color w:val="auto"/>
        </w:rPr>
      </w:pPr>
      <w:r>
        <w:rPr>
          <w:rFonts w:ascii="Arial" w:cs="Arial" w:eastAsia="Arial" w:hAnsi="Arial"/>
          <w:sz w:val="18"/>
          <w:szCs w:val="18"/>
          <w:color w:val="auto"/>
        </w:rPr>
        <w:t>As of December 31, 2019, the Company recorded an impairment loss of $84,584 for two dry bulk vessels, being the difference between the fair value and the vessel’s carrying value together with the carrying value of deferred drydock and special survey costs and ballast water treatment system costs related to these vessels, presented within the caption “Impairment loss/ loss on sale of vessels, net” in the consolidated statements of comprehensive (loss)/income.</w:t>
      </w:r>
    </w:p>
    <w:p>
      <w:pPr>
        <w:spacing w:after="0" w:line="79" w:lineRule="exact"/>
        <w:rPr>
          <w:sz w:val="20"/>
          <w:szCs w:val="20"/>
          <w:color w:val="auto"/>
        </w:rPr>
      </w:pPr>
    </w:p>
    <w:p>
      <w:pPr>
        <w:ind w:left="560" w:right="120"/>
        <w:spacing w:after="0" w:line="311" w:lineRule="auto"/>
        <w:rPr>
          <w:sz w:val="20"/>
          <w:szCs w:val="20"/>
          <w:color w:val="auto"/>
        </w:rPr>
      </w:pPr>
      <w:r>
        <w:rPr>
          <w:rFonts w:ascii="Arial" w:cs="Arial" w:eastAsia="Arial" w:hAnsi="Arial"/>
          <w:sz w:val="16"/>
          <w:szCs w:val="16"/>
          <w:color w:val="auto"/>
        </w:rPr>
        <w:t>As of December 31, 2018, the Company recorded an impairment loss of $179,186 for four dry bulk vessels, being the difference between the fair value and the vessel’s carrying value together with the carrying value of deferred drydock and special survey costs related to these vessels, presented within the caption “Impairment loss/ loss on sale of vessels, net” in the consolidated statements of comprehensive (loss)/income.</w:t>
      </w:r>
    </w:p>
    <w:p>
      <w:pPr>
        <w:spacing w:after="0" w:line="54" w:lineRule="exact"/>
        <w:rPr>
          <w:sz w:val="20"/>
          <w:szCs w:val="20"/>
          <w:color w:val="auto"/>
        </w:rPr>
      </w:pPr>
    </w:p>
    <w:p>
      <w:pPr>
        <w:ind w:left="540" w:hanging="424"/>
        <w:spacing w:after="0" w:line="293" w:lineRule="auto"/>
        <w:tabs>
          <w:tab w:leader="none" w:pos="540" w:val="left"/>
        </w:tabs>
        <w:numPr>
          <w:ilvl w:val="0"/>
          <w:numId w:val="12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Deferred Drydock and Special Survey Costs: </w:t>
      </w:r>
      <w:r>
        <w:rPr>
          <w:rFonts w:ascii="Arial" w:cs="Arial" w:eastAsia="Arial" w:hAnsi="Arial"/>
          <w:sz w:val="16"/>
          <w:szCs w:val="16"/>
          <w:color w:val="auto"/>
        </w:rPr>
        <w:t>The Company’s vessels, barges and pushboats are subject to regularly scheduled drydocking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special surveys which are carried out every 30 and 60 months, respectively, for ocean-going vessels, and up to every 72 to 96 months for pushboats and barges, to coincide with the renewal of the related certificates issued by the classification societies, unless a further extension is obtained in rare cases and under certain conditions. The costs of drydocking and special surveys are deferred and amortized over the above periods or to the next drydocking or special survey date if such date has been determined. Unamortized drydocking or special survey costs of vessels, barges and pushboats sold are written-off to income in the year the vessel, barge or pushboat is sold.</w:t>
      </w:r>
    </w:p>
    <w:p>
      <w:pPr>
        <w:spacing w:after="0" w:line="56" w:lineRule="exact"/>
        <w:rPr>
          <w:rFonts w:ascii="Arial" w:cs="Arial" w:eastAsia="Arial" w:hAnsi="Arial"/>
          <w:sz w:val="16"/>
          <w:szCs w:val="16"/>
          <w:b w:val="1"/>
          <w:bCs w:val="1"/>
          <w:i w:val="1"/>
          <w:iCs w:val="1"/>
          <w:color w:val="auto"/>
        </w:rPr>
      </w:pPr>
    </w:p>
    <w:p>
      <w:pPr>
        <w:ind w:left="560" w:right="260"/>
        <w:spacing w:after="0" w:line="259" w:lineRule="auto"/>
        <w:rPr>
          <w:rFonts w:ascii="Arial" w:cs="Arial" w:eastAsia="Arial" w:hAnsi="Arial"/>
          <w:sz w:val="16"/>
          <w:szCs w:val="16"/>
          <w:b w:val="1"/>
          <w:bCs w:val="1"/>
          <w:i w:val="1"/>
          <w:iCs w:val="1"/>
          <w:color w:val="auto"/>
        </w:rPr>
      </w:pPr>
      <w:r>
        <w:rPr>
          <w:rFonts w:ascii="Arial" w:cs="Arial" w:eastAsia="Arial" w:hAnsi="Arial"/>
          <w:sz w:val="18"/>
          <w:szCs w:val="18"/>
          <w:color w:val="auto"/>
        </w:rPr>
        <w:t>Costs capitalized as part of the drydocking or special survey consist principally of the actual costs incurred at the yard, and expenses relating to spare parts, paints, lubricants and services incurred solely during the drydocking or special survey period. For each of the years ended December 31, 2020, 2019 and 2018, the amortization of deferred drydock and special survey costs from continuing operations was $10,255, $11,067 and $13,828, respectively.</w:t>
      </w:r>
    </w:p>
    <w:p>
      <w:pPr>
        <w:spacing w:after="0" w:line="92" w:lineRule="exact"/>
        <w:rPr>
          <w:rFonts w:ascii="Arial" w:cs="Arial" w:eastAsia="Arial" w:hAnsi="Arial"/>
          <w:sz w:val="16"/>
          <w:szCs w:val="16"/>
          <w:b w:val="1"/>
          <w:bCs w:val="1"/>
          <w:i w:val="1"/>
          <w:iCs w:val="1"/>
          <w:color w:val="auto"/>
        </w:rPr>
      </w:pPr>
    </w:p>
    <w:p>
      <w:pPr>
        <w:ind w:left="540" w:right="20" w:hanging="424"/>
        <w:spacing w:after="0" w:line="257" w:lineRule="auto"/>
        <w:tabs>
          <w:tab w:leader="none" w:pos="540" w:val="left"/>
        </w:tabs>
        <w:numPr>
          <w:ilvl w:val="0"/>
          <w:numId w:val="1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Deferred Financing Costs: </w:t>
      </w:r>
      <w:r>
        <w:rPr>
          <w:rFonts w:ascii="Arial" w:cs="Arial" w:eastAsia="Arial" w:hAnsi="Arial"/>
          <w:sz w:val="18"/>
          <w:szCs w:val="18"/>
          <w:color w:val="auto"/>
        </w:rPr>
        <w:t>Deferred financing costs include fees, commissions and legal expenses associated with obtaining or modifying loan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facilities. Deferred financing costs are presented as a deduction from the corresponding liability. These costs are amortized over the life of the related debt using the effective interest rate method, and are included in interest expense. Amortization and write-off of deferred financing costs from continuing operations for each of the years ended December 31, 2020, 2019 and 2018 were $7,863, $7,746 and $7,866, respectively. See also Note 18.</w:t>
      </w:r>
    </w:p>
    <w:p>
      <w:pPr>
        <w:spacing w:after="0" w:line="93" w:lineRule="exact"/>
        <w:rPr>
          <w:rFonts w:ascii="Arial" w:cs="Arial" w:eastAsia="Arial" w:hAnsi="Arial"/>
          <w:sz w:val="18"/>
          <w:szCs w:val="18"/>
          <w:b w:val="1"/>
          <w:bCs w:val="1"/>
          <w:i w:val="1"/>
          <w:iCs w:val="1"/>
          <w:color w:val="auto"/>
        </w:rPr>
      </w:pPr>
    </w:p>
    <w:p>
      <w:pPr>
        <w:ind w:left="540" w:hanging="424"/>
        <w:spacing w:after="0"/>
        <w:tabs>
          <w:tab w:leader="none" w:pos="540" w:val="left"/>
        </w:tabs>
        <w:numPr>
          <w:ilvl w:val="0"/>
          <w:numId w:val="1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Goodwill and Other Intangibles</w:t>
      </w:r>
    </w:p>
    <w:p>
      <w:pPr>
        <w:spacing w:after="0" w:line="131" w:lineRule="exact"/>
        <w:rPr>
          <w:sz w:val="20"/>
          <w:szCs w:val="20"/>
          <w:color w:val="auto"/>
        </w:rPr>
      </w:pPr>
    </w:p>
    <w:p>
      <w:pPr>
        <w:ind w:left="1080" w:hanging="532"/>
        <w:spacing w:after="0"/>
        <w:tabs>
          <w:tab w:leader="none" w:pos="1080" w:val="left"/>
        </w:tabs>
        <w:numPr>
          <w:ilvl w:val="0"/>
          <w:numId w:val="1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Goodwill: </w:t>
      </w:r>
      <w:r>
        <w:rPr>
          <w:rFonts w:ascii="Arial" w:cs="Arial" w:eastAsia="Arial" w:hAnsi="Arial"/>
          <w:sz w:val="18"/>
          <w:szCs w:val="18"/>
          <w:color w:val="auto"/>
        </w:rPr>
        <w:t>Goodwill is tested for impairment at the reporting unit level at least annually.</w:t>
      </w:r>
    </w:p>
    <w:p>
      <w:pPr>
        <w:spacing w:after="0" w:line="117" w:lineRule="exact"/>
        <w:rPr>
          <w:sz w:val="20"/>
          <w:szCs w:val="20"/>
          <w:color w:val="auto"/>
        </w:rPr>
      </w:pPr>
    </w:p>
    <w:p>
      <w:pPr>
        <w:ind w:left="560" w:right="20"/>
        <w:spacing w:after="0" w:line="255" w:lineRule="auto"/>
        <w:rPr>
          <w:sz w:val="20"/>
          <w:szCs w:val="20"/>
          <w:color w:val="auto"/>
        </w:rPr>
      </w:pPr>
      <w:r>
        <w:rPr>
          <w:rFonts w:ascii="Arial" w:cs="Arial" w:eastAsia="Arial" w:hAnsi="Arial"/>
          <w:sz w:val="18"/>
          <w:szCs w:val="18"/>
          <w:color w:val="auto"/>
        </w:rPr>
        <w:t>The Company evaluates impairment of goodwill using a single step process following the adoption of ASU 2017-04, “Intangibles-Goodwill and Other (Topic 350)” as of January 1, 2020. The aggregate fair value of the reporting unit is compared to its carrying amount, including goodwill. The Company determines the fair value of the reporting unit based on a combination of the income approach (i.e. discounted cash flows) and market approach (i.e. comparative market multiples) and believes that the combination of these two approaches is the best indicator of fair value for its individual reporting units. Goodwill impairment loss is measured as the amount by which a reporting unit’s carrying amount exceeds its fair value, not to exceed the carrying amount of goodwill.</w:t>
      </w:r>
    </w:p>
    <w:p>
      <w:pPr>
        <w:spacing w:after="0" w:line="84" w:lineRule="exact"/>
        <w:rPr>
          <w:sz w:val="20"/>
          <w:szCs w:val="20"/>
          <w:color w:val="auto"/>
        </w:rPr>
      </w:pPr>
    </w:p>
    <w:p>
      <w:pPr>
        <w:jc w:val="both"/>
        <w:ind w:left="560" w:right="360"/>
        <w:spacing w:after="0" w:line="263" w:lineRule="auto"/>
        <w:rPr>
          <w:sz w:val="20"/>
          <w:szCs w:val="20"/>
          <w:color w:val="auto"/>
        </w:rPr>
      </w:pPr>
      <w:r>
        <w:rPr>
          <w:rFonts w:ascii="Arial" w:cs="Arial" w:eastAsia="Arial" w:hAnsi="Arial"/>
          <w:sz w:val="18"/>
          <w:szCs w:val="18"/>
          <w:color w:val="auto"/>
        </w:rPr>
        <w:t>As of December 31, 2020, the Company performed its impairments test for its reporting units within the Dry Bulk Vessel Operations and the Logistics Business. The Company additionally considered that its market capitalization continued to remain at a level well below the carrying amount.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20"/>
          </w:cols>
          <w:pgMar w:left="320" w:top="459" w:right="4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NAVIOS MARITIME HOLDINGS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(Expressed in thousands of U.S. dollars — except share data)</w:t>
      </w:r>
    </w:p>
    <w:p>
      <w:pPr>
        <w:spacing w:after="0" w:line="143" w:lineRule="exact"/>
        <w:rPr>
          <w:sz w:val="20"/>
          <w:szCs w:val="20"/>
          <w:color w:val="auto"/>
        </w:rPr>
      </w:pPr>
    </w:p>
    <w:p>
      <w:pPr>
        <w:ind w:left="560" w:right="20"/>
        <w:spacing w:after="0" w:line="263" w:lineRule="auto"/>
        <w:rPr>
          <w:sz w:val="20"/>
          <w:szCs w:val="20"/>
          <w:color w:val="auto"/>
        </w:rPr>
      </w:pPr>
      <w:r>
        <w:rPr>
          <w:rFonts w:ascii="Arial" w:cs="Arial" w:eastAsia="Arial" w:hAnsi="Arial"/>
          <w:sz w:val="18"/>
          <w:szCs w:val="18"/>
          <w:color w:val="auto"/>
        </w:rPr>
        <w:t>As of December 31, 2020, the Company performed the impairment test for the Dry Bulk Vessel Operations reporting unit, which had a negative carrying amount of $144,919, and for which goodwill allocated is $56,240. The impairment test revealed that the fair value of the Dry Bulk Vessel Operations reporting unit exceeded its carrying amount.</w:t>
      </w:r>
    </w:p>
    <w:p>
      <w:pPr>
        <w:spacing w:after="0" w:line="76" w:lineRule="exact"/>
        <w:rPr>
          <w:sz w:val="20"/>
          <w:szCs w:val="20"/>
          <w:color w:val="auto"/>
        </w:rPr>
      </w:pPr>
    </w:p>
    <w:p>
      <w:pPr>
        <w:ind w:left="560" w:right="20"/>
        <w:spacing w:after="0" w:line="286" w:lineRule="auto"/>
        <w:rPr>
          <w:sz w:val="20"/>
          <w:szCs w:val="20"/>
          <w:color w:val="auto"/>
        </w:rPr>
      </w:pPr>
      <w:r>
        <w:rPr>
          <w:rFonts w:ascii="Arial" w:cs="Arial" w:eastAsia="Arial" w:hAnsi="Arial"/>
          <w:sz w:val="16"/>
          <w:szCs w:val="16"/>
          <w:color w:val="auto"/>
        </w:rPr>
        <w:t>The fair value of the Dry Bulk Vessel Operations reporting unit was estimated using a combination of income and market approaches. For the income approach, the expected present value of future cash flows used judgments and assumptions that management believes were appropriate in the circumstances. The significant factors and assumptions the Company used in its discounted cash flow analysis included: EBITDA, the discount rate used to calculate the present value of future cash flows and future capital expenditures. EBITDA assumptions included revenue assumptions, general and administrative expense growth assumptions and direct vessel expense growth assumptions. The future cash flows were determined by considering the charter revenues from existing time charters for the fixed fleet days (the Company’s remaining charter agreement rates) and an estimated daily time charter equivalent for the unfixed days (based on a combination of one-year average historical time charter rates and the 10-year average historical one-year time charter rates), which the Company believes is an objective approach for forecasting charter rates over an extended time period for long-lived assets and consistent with the cyclicality of the industry. In addition, a weighted average cost of capital (“WACC”) was used to discount future estimated cash flows to their present values. The WACC was based on externally observable data considering market participants’ and the Company’s cost of equity and debt, optimal capital structure and risk factors specific to the Company. The market approach estimated the fair value of the Company’s business based on comparable publicly-traded companies in its industry. In assessing the fair value, the Company utilized the results of the valuations and considered the range of fair values determined under all methods which indicated that the fair value exceeded the carrying amount.</w:t>
      </w:r>
    </w:p>
    <w:p>
      <w:pPr>
        <w:spacing w:after="0" w:line="63" w:lineRule="exact"/>
        <w:rPr>
          <w:sz w:val="20"/>
          <w:szCs w:val="20"/>
          <w:color w:val="auto"/>
        </w:rPr>
      </w:pPr>
    </w:p>
    <w:p>
      <w:pPr>
        <w:ind w:left="560"/>
        <w:spacing w:after="0" w:line="257" w:lineRule="auto"/>
        <w:rPr>
          <w:sz w:val="20"/>
          <w:szCs w:val="20"/>
          <w:color w:val="auto"/>
        </w:rPr>
      </w:pPr>
      <w:r>
        <w:rPr>
          <w:rFonts w:ascii="Arial" w:cs="Arial" w:eastAsia="Arial" w:hAnsi="Arial"/>
          <w:sz w:val="18"/>
          <w:szCs w:val="18"/>
          <w:color w:val="auto"/>
        </w:rPr>
        <w:t>As of December 31, 2020, the Company performed the impairment test for the Logistics Business, which is allocated goodwill of $104,096. The impairment test used the income method and revealed that the fair value substantially exceeded the carrying amount of its net assets. The significant factors and assumptions used by management in the discounted cash flow analysis for the Logistics Business includes a combination of revenues from existing contracts and estimated revenues based on the historical performance of the segment, including utilization rates and actual storage capacity.</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No impairment loss was recognized for any of the periods presented for both the Dry Bulk Vessel Operations and the Logistics Business.</w:t>
      </w:r>
    </w:p>
    <w:p>
      <w:pPr>
        <w:spacing w:after="0" w:line="142" w:lineRule="exact"/>
        <w:rPr>
          <w:sz w:val="20"/>
          <w:szCs w:val="20"/>
          <w:color w:val="auto"/>
        </w:rPr>
      </w:pPr>
    </w:p>
    <w:p>
      <w:pPr>
        <w:ind w:left="1080" w:right="60" w:hanging="532"/>
        <w:spacing w:after="0" w:line="296" w:lineRule="auto"/>
        <w:tabs>
          <w:tab w:leader="none" w:pos="1080" w:val="left"/>
        </w:tabs>
        <w:numPr>
          <w:ilvl w:val="0"/>
          <w:numId w:val="12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Intangibles Other Than Goodwill: </w:t>
      </w:r>
      <w:r>
        <w:rPr>
          <w:rFonts w:ascii="Arial" w:cs="Arial" w:eastAsia="Arial" w:hAnsi="Arial"/>
          <w:sz w:val="16"/>
          <w:szCs w:val="16"/>
          <w:color w:val="auto"/>
        </w:rPr>
        <w:t>Navios Holdings’ intangible assets and liabilities consist of trade name, customer relationships, port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terminal operating rights, favorable lease terms and unfavorable lease terms. The fair value of the trade name was determined based on the “relief from royalty” method which values the trade name based on the estimated amount that a company would have to pay in an arm’s length transaction to use that trade name. The asset is being amortized under the straight-line method over 32 years. Navios Logistics’ trade name is being amortized under the straight-line method over 10 years and was fully amortized as of December 31, 2019.</w:t>
      </w:r>
    </w:p>
    <w:p>
      <w:pPr>
        <w:spacing w:after="0" w:line="53" w:lineRule="exact"/>
        <w:rPr>
          <w:sz w:val="20"/>
          <w:szCs w:val="20"/>
          <w:color w:val="auto"/>
        </w:rPr>
      </w:pPr>
    </w:p>
    <w:p>
      <w:pPr>
        <w:ind w:left="560" w:right="100"/>
        <w:spacing w:after="0" w:line="277" w:lineRule="auto"/>
        <w:rPr>
          <w:sz w:val="20"/>
          <w:szCs w:val="20"/>
          <w:color w:val="auto"/>
        </w:rPr>
      </w:pPr>
      <w:r>
        <w:rPr>
          <w:rFonts w:ascii="Arial" w:cs="Arial" w:eastAsia="Arial" w:hAnsi="Arial"/>
          <w:sz w:val="18"/>
          <w:szCs w:val="18"/>
          <w:color w:val="auto"/>
        </w:rPr>
        <w:t>The fair value of customer relationships of Navios Logistics was determined based on the “excess earnings” method, which relies upon the future cash flow generating ability of the asset. The asset is amortized under the straight-line method.</w:t>
      </w:r>
    </w:p>
    <w:p>
      <w:pPr>
        <w:spacing w:after="0" w:line="62" w:lineRule="exact"/>
        <w:rPr>
          <w:sz w:val="20"/>
          <w:szCs w:val="20"/>
          <w:color w:val="auto"/>
        </w:rPr>
      </w:pPr>
    </w:p>
    <w:p>
      <w:pPr>
        <w:ind w:left="560" w:right="60"/>
        <w:spacing w:after="0" w:line="291" w:lineRule="auto"/>
        <w:rPr>
          <w:sz w:val="20"/>
          <w:szCs w:val="20"/>
          <w:color w:val="auto"/>
        </w:rPr>
      </w:pPr>
      <w:r>
        <w:rPr>
          <w:rFonts w:ascii="Arial" w:cs="Arial" w:eastAsia="Arial" w:hAnsi="Arial"/>
          <w:sz w:val="16"/>
          <w:szCs w:val="16"/>
          <w:color w:val="auto"/>
        </w:rPr>
        <w:t>The Company reviews its other intangibles such as trade name, customer relationships, port terminal operating rights, favorable lease terms and unfavorable lease terms periodically for potential impairment whenever events or changes in circumstances indicate that the carrying amount may not be fully recoverable. Intangibles other than goodwill would be considered impaired if their carrying value is not recovered from the future undiscounted cash flows associated with the asset (step one). Measurement of the impairment loss is determined as the difference between the carrying amount and the fair value of the intangible asset. The Company determines the fair value of its intangible assets based on management estimates and assumptions by making use of available market data. In evaluating carrying values of intangible assets, certain indicators of potential impairment are reviewed, such as undiscounted projected operating cash flows, business plans and overall market conditions.</w:t>
      </w:r>
    </w:p>
    <w:p>
      <w:pPr>
        <w:spacing w:after="0" w:line="58" w:lineRule="exact"/>
        <w:rPr>
          <w:sz w:val="20"/>
          <w:szCs w:val="20"/>
          <w:color w:val="auto"/>
        </w:rPr>
      </w:pPr>
    </w:p>
    <w:p>
      <w:pPr>
        <w:ind w:left="560" w:right="240"/>
        <w:spacing w:after="0" w:line="296" w:lineRule="auto"/>
        <w:rPr>
          <w:sz w:val="20"/>
          <w:szCs w:val="20"/>
          <w:color w:val="auto"/>
        </w:rPr>
      </w:pPr>
      <w:r>
        <w:rPr>
          <w:rFonts w:ascii="Arial" w:cs="Arial" w:eastAsia="Arial" w:hAnsi="Arial"/>
          <w:sz w:val="16"/>
          <w:szCs w:val="16"/>
          <w:color w:val="auto"/>
        </w:rPr>
        <w:t>The significant factors and assumptions the Company used in the undiscounted cash flow analysis of its trade name included: revenue assumptions, specifically the future cash flows were determined by considering the charter revenues of the Dry Bulk Vessel Operations from existing time charters for the fixed fleet days (the Company’s remaining charter agreement rates) and an estimated daily time charter equivalent for the unfixed days (based on a combination of one-year average historical time charter rates and the 10-year average historical one-year time charter rates) and the respective “relief from royalty” rate applied to the future cash flows of the Dry Bulk Vessel Operations.</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20"/>
          </w:cols>
          <w:pgMar w:left="320" w:top="459" w:right="4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NAVIOS MARITIME HOLDINGS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(Expressed in thousands of U.S. dollars — except share data)</w:t>
      </w:r>
    </w:p>
    <w:p>
      <w:pPr>
        <w:spacing w:after="0" w:line="143" w:lineRule="exact"/>
        <w:rPr>
          <w:sz w:val="20"/>
          <w:szCs w:val="20"/>
          <w:color w:val="auto"/>
        </w:rPr>
      </w:pPr>
    </w:p>
    <w:p>
      <w:pPr>
        <w:ind w:left="560" w:right="40"/>
        <w:spacing w:after="0" w:line="290" w:lineRule="auto"/>
        <w:rPr>
          <w:sz w:val="20"/>
          <w:szCs w:val="20"/>
          <w:color w:val="auto"/>
        </w:rPr>
      </w:pPr>
      <w:r>
        <w:rPr>
          <w:rFonts w:ascii="Arial" w:cs="Arial" w:eastAsia="Arial" w:hAnsi="Arial"/>
          <w:sz w:val="16"/>
          <w:szCs w:val="16"/>
          <w:color w:val="auto"/>
        </w:rPr>
        <w:t>When intangible assets or liabilities associated with the acquisition of a vessel are identified, they are recorded at fair value. Fair value is determined by reference to market data and the discounted amount of expected future cash flows. Where charter rates are higher than market charter rates, an asset is recorded, being the difference between the acquired charter rate and the market charter rate for an equivalent vessel. Where charter rates are less than market charter rates, a liability is recorded, being the difference between the assumed charter rate and the market charter rate for an equivalent vessel. The determination of the fair value of acquired assets and assumed liabilities requires the Company to make significant assumptions and estimates of many variables including market charter rates, expected future charter rates, the level of utilization of the Company’s vessels and the Company’s weighted average cost of capital. The use of different assumptions could result in a material change in the fair value of these items, which could have a material impact on the Company’s financial position and results of operations.</w:t>
      </w:r>
    </w:p>
    <w:p>
      <w:pPr>
        <w:spacing w:after="0" w:line="57" w:lineRule="exact"/>
        <w:rPr>
          <w:sz w:val="20"/>
          <w:szCs w:val="20"/>
          <w:color w:val="auto"/>
        </w:rPr>
      </w:pPr>
    </w:p>
    <w:p>
      <w:pPr>
        <w:ind w:left="560" w:right="160"/>
        <w:spacing w:after="0" w:line="308" w:lineRule="auto"/>
        <w:rPr>
          <w:sz w:val="20"/>
          <w:szCs w:val="20"/>
          <w:color w:val="auto"/>
        </w:rPr>
      </w:pPr>
      <w:r>
        <w:rPr>
          <w:rFonts w:ascii="Arial" w:cs="Arial" w:eastAsia="Arial" w:hAnsi="Arial"/>
          <w:sz w:val="17"/>
          <w:szCs w:val="17"/>
          <w:color w:val="auto"/>
        </w:rPr>
        <w:t>The amortizable value of favorable and unfavorable leases is amortized over the remaining life of the lease term and the amortization expense is included in the consolidated statements of comprehensive (loss)/income within the caption “Depreciation and amortization”.</w:t>
      </w:r>
    </w:p>
    <w:p>
      <w:pPr>
        <w:spacing w:after="0" w:line="38" w:lineRule="exact"/>
        <w:rPr>
          <w:sz w:val="20"/>
          <w:szCs w:val="20"/>
          <w:color w:val="auto"/>
        </w:rPr>
      </w:pPr>
    </w:p>
    <w:p>
      <w:pPr>
        <w:jc w:val="both"/>
        <w:ind w:left="560" w:right="40"/>
        <w:spacing w:after="0" w:line="311" w:lineRule="auto"/>
        <w:rPr>
          <w:sz w:val="20"/>
          <w:szCs w:val="20"/>
          <w:color w:val="auto"/>
        </w:rPr>
      </w:pPr>
      <w:r>
        <w:rPr>
          <w:rFonts w:ascii="Arial" w:cs="Arial" w:eastAsia="Arial" w:hAnsi="Arial"/>
          <w:sz w:val="16"/>
          <w:szCs w:val="16"/>
          <w:color w:val="auto"/>
        </w:rPr>
        <w:t>The amortizable value of favorable leases would be considered impaired if its carrying value could not be recovered from the future undiscounted cash flows associated with the asset. Vessel purchase options that have not been exercised, which are included in favorable lease terms, would be considered impaired if the carrying value of an option, when added to the option price of the vessel, exceeded the fair value of the vessel.</w:t>
      </w:r>
    </w:p>
    <w:p>
      <w:pPr>
        <w:spacing w:after="0" w:line="41" w:lineRule="exact"/>
        <w:rPr>
          <w:sz w:val="20"/>
          <w:szCs w:val="20"/>
          <w:color w:val="auto"/>
        </w:rPr>
      </w:pPr>
    </w:p>
    <w:p>
      <w:pPr>
        <w:jc w:val="both"/>
        <w:ind w:left="560" w:right="40"/>
        <w:spacing w:after="0" w:line="275" w:lineRule="auto"/>
        <w:rPr>
          <w:sz w:val="20"/>
          <w:szCs w:val="20"/>
          <w:color w:val="auto"/>
        </w:rPr>
      </w:pPr>
      <w:r>
        <w:rPr>
          <w:rFonts w:ascii="Arial" w:cs="Arial" w:eastAsia="Arial" w:hAnsi="Arial"/>
          <w:sz w:val="17"/>
          <w:szCs w:val="17"/>
          <w:color w:val="auto"/>
        </w:rPr>
        <w:t>Vessel purchase options that are included in favorable leases are not amortized and when the purchase option is exercised, the asset is capitalized as part of the cost of the vessel and depreciated over the remaining useful life of the vessel and if not exercised, the intangible asset is written off. Vessel purchase options that are included in unfavorable lease terms are not amortized and when the purchase option is exercised by the charterer and the underlying vessel is sold, it will be recorded as part of gain/loss on sale of the assets. If the option is not exercised at the expiration date, it is written-off in the consolidated statements of comprehensive (loss)/income.</w:t>
      </w:r>
    </w:p>
    <w:p>
      <w:pPr>
        <w:spacing w:after="0" w:line="6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 favorable and unfavorable lease terms have been identified for the years ended December 31, 2020 and 2019.</w:t>
      </w:r>
    </w:p>
    <w:p>
      <w:pPr>
        <w:spacing w:after="0" w:line="117" w:lineRule="exact"/>
        <w:rPr>
          <w:sz w:val="20"/>
          <w:szCs w:val="20"/>
          <w:color w:val="auto"/>
        </w:rPr>
      </w:pPr>
    </w:p>
    <w:p>
      <w:pPr>
        <w:ind w:left="560" w:right="20"/>
        <w:spacing w:after="0" w:line="255" w:lineRule="auto"/>
        <w:rPr>
          <w:sz w:val="20"/>
          <w:szCs w:val="20"/>
          <w:color w:val="auto"/>
        </w:rPr>
      </w:pPr>
      <w:r>
        <w:rPr>
          <w:rFonts w:ascii="Arial" w:cs="Arial" w:eastAsia="Arial" w:hAnsi="Arial"/>
          <w:sz w:val="18"/>
          <w:szCs w:val="18"/>
          <w:color w:val="auto"/>
        </w:rPr>
        <w:t>During the fourth quarter of fiscal year 2020, management concluded that events occurred and circumstances had changed, which indicated that potential impairment of Navios Holdings’ trade name might exist. These indicators included continued volatility in the spot market, and the related impact of the current dry bulk sector has on management’s expectation for future revenues. As a result, an impairment assessment for trade name (step one) was performed. No such circumstances indicated that potential impairment of the Company’s other intangible assets such as port terminal operating rights and customer relationships exist. For the years ended December 31, 2020, 2019 and 2018, there were no impairment losses recognized for the Company’s intangible assets.</w:t>
      </w:r>
    </w:p>
    <w:p>
      <w:pPr>
        <w:spacing w:after="0" w:line="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weighted average amortization periods for intangibles are:</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91"/>
        </w:trPr>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Intangible assets</w:t>
            </w:r>
          </w:p>
        </w:tc>
        <w:tc>
          <w:tcPr>
            <w:tcW w:w="6040" w:type="dxa"/>
            <w:vAlign w:val="bottom"/>
          </w:tcPr>
          <w:p>
            <w:pPr>
              <w:spacing w:after="0"/>
              <w:rPr>
                <w:sz w:val="16"/>
                <w:szCs w:val="16"/>
                <w:color w:val="auto"/>
              </w:rPr>
            </w:pPr>
          </w:p>
        </w:tc>
        <w:tc>
          <w:tcPr>
            <w:tcW w:w="400" w:type="dxa"/>
            <w:vAlign w:val="bottom"/>
            <w:gridSpan w:val="2"/>
          </w:tcPr>
          <w:p>
            <w:pPr>
              <w:spacing w:after="0"/>
              <w:rPr>
                <w:sz w:val="20"/>
                <w:szCs w:val="20"/>
                <w:color w:val="auto"/>
              </w:rPr>
            </w:pPr>
            <w:r>
              <w:rPr>
                <w:rFonts w:ascii="Arial" w:cs="Arial" w:eastAsia="Arial" w:hAnsi="Arial"/>
                <w:sz w:val="14"/>
                <w:szCs w:val="14"/>
                <w:b w:val="1"/>
                <w:bCs w:val="1"/>
                <w:color w:val="auto"/>
                <w:w w:val="99"/>
              </w:rPr>
              <w:t>Years</w:t>
            </w:r>
          </w:p>
        </w:tc>
      </w:tr>
      <w:tr>
        <w:trPr>
          <w:trHeight w:val="203"/>
        </w:trPr>
        <w:tc>
          <w:tcPr>
            <w:tcW w:w="70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Trade name</w:t>
            </w:r>
          </w:p>
        </w:tc>
        <w:tc>
          <w:tcPr>
            <w:tcW w:w="340" w:type="dxa"/>
            <w:vAlign w:val="bottom"/>
            <w:tcBorders>
              <w:top w:val="single" w:sz="8" w:color="auto"/>
            </w:tcBorders>
            <w:shd w:val="clear" w:color="auto" w:fill="CCEEFF"/>
          </w:tcPr>
          <w:p>
            <w:pPr>
              <w:ind w:left="160"/>
              <w:spacing w:after="0" w:line="203" w:lineRule="exact"/>
              <w:rPr>
                <w:sz w:val="20"/>
                <w:szCs w:val="20"/>
                <w:color w:val="auto"/>
              </w:rPr>
            </w:pPr>
            <w:r>
              <w:rPr>
                <w:rFonts w:ascii="Arial" w:cs="Arial" w:eastAsia="Arial" w:hAnsi="Arial"/>
                <w:sz w:val="18"/>
                <w:szCs w:val="18"/>
                <w:color w:val="auto"/>
                <w:w w:val="79"/>
              </w:rPr>
              <w:t>32</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7080" w:type="dxa"/>
            <w:vAlign w:val="bottom"/>
            <w:gridSpan w:val="2"/>
          </w:tcPr>
          <w:p>
            <w:pPr>
              <w:spacing w:after="0"/>
              <w:rPr>
                <w:sz w:val="20"/>
                <w:szCs w:val="20"/>
                <w:color w:val="auto"/>
              </w:rPr>
            </w:pPr>
            <w:r>
              <w:rPr>
                <w:rFonts w:ascii="Arial" w:cs="Arial" w:eastAsia="Arial" w:hAnsi="Arial"/>
                <w:sz w:val="18"/>
                <w:szCs w:val="18"/>
                <w:color w:val="auto"/>
              </w:rPr>
              <w:t>Port terminal operating rights</w:t>
            </w:r>
          </w:p>
        </w:tc>
        <w:tc>
          <w:tcPr>
            <w:tcW w:w="400" w:type="dxa"/>
            <w:vAlign w:val="bottom"/>
            <w:gridSpan w:val="2"/>
          </w:tcPr>
          <w:p>
            <w:pPr>
              <w:ind w:left="160"/>
              <w:spacing w:after="0"/>
              <w:rPr>
                <w:sz w:val="20"/>
                <w:szCs w:val="20"/>
                <w:color w:val="auto"/>
              </w:rPr>
            </w:pPr>
            <w:r>
              <w:rPr>
                <w:rFonts w:ascii="Arial" w:cs="Arial" w:eastAsia="Arial" w:hAnsi="Arial"/>
                <w:sz w:val="18"/>
                <w:szCs w:val="18"/>
                <w:color w:val="auto"/>
              </w:rPr>
              <w:t>47</w:t>
            </w: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20</w:t>
            </w:r>
          </w:p>
        </w:tc>
      </w:tr>
    </w:tbl>
    <w:p>
      <w:pPr>
        <w:spacing w:after="0" w:line="9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also Note 3 and Note 8.</w:t>
      </w:r>
    </w:p>
    <w:p>
      <w:pPr>
        <w:spacing w:after="0" w:line="131" w:lineRule="exact"/>
        <w:rPr>
          <w:sz w:val="20"/>
          <w:szCs w:val="20"/>
          <w:color w:val="auto"/>
        </w:rPr>
      </w:pPr>
    </w:p>
    <w:p>
      <w:pPr>
        <w:ind w:left="540" w:hanging="424"/>
        <w:spacing w:after="0" w:line="269" w:lineRule="auto"/>
        <w:tabs>
          <w:tab w:leader="none" w:pos="540" w:val="left"/>
        </w:tabs>
        <w:numPr>
          <w:ilvl w:val="0"/>
          <w:numId w:val="124"/>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Foreign Currency Translation: </w:t>
      </w:r>
      <w:r>
        <w:rPr>
          <w:rFonts w:ascii="Arial" w:cs="Arial" w:eastAsia="Arial" w:hAnsi="Arial"/>
          <w:sz w:val="17"/>
          <w:szCs w:val="17"/>
          <w:color w:val="auto"/>
        </w:rPr>
        <w:t>The Company’s functional and reporting currency is the U.S. dollar. The Company engages in worldwide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commerce with a variety of entities. Although its operations may expose it to certain levels of foreign currency risk, its transactions are predominantly U.S. dollar denominated. The Company’s subsidiaries in Uruguay, Argentina, Brazil and Paraguay transact a nominal amount of their operations in Uruguayan pesos, Argentinean pesos, Brazilian reales and Paraguayan guaranies, whereas the Company’s wholly-owned vessel subsidiaries and the vessel management subsidiaries transact a nominal amount of their operations in Euros; however, all of the subsidiaries’ primary cash flows are U.S. dollar denominated. The financial statements of the foreign operations are translated using the exchange rate at the balance sheet date except for property and equipment and equity, which are translated at historical rates. Transactions in currencies other than the functional currency are translated at the exchange rate in effect at the date of each transaction. Differences in exchange rates during the period between the date a transaction denominated in a foreign currency is consummated and the date on which it is either settled or translated, are recognized in the statements of comprehensive (loss)/income. The foreign currency gains/(losses) recognized within the captions “Other income” and “Other expense”, respectively, in the consolidated statements of comprehensive (loss)/income for each of the years ended December 31, 2020, 2019 and 2018, were $546, $(967) and $(1,206), respectively.</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00"/>
          </w:cols>
          <w:pgMar w:left="320" w:top="459" w:right="47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NAVIOS MARITIME HOLDINGS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(Expressed in thousands of U.S. dollars — except share data)</w:t>
      </w:r>
    </w:p>
    <w:p>
      <w:pPr>
        <w:spacing w:after="0" w:line="265" w:lineRule="exact"/>
        <w:rPr>
          <w:sz w:val="20"/>
          <w:szCs w:val="20"/>
          <w:color w:val="auto"/>
        </w:rPr>
      </w:pPr>
    </w:p>
    <w:p>
      <w:pPr>
        <w:ind w:left="540" w:right="20" w:hanging="424"/>
        <w:spacing w:after="0" w:line="257" w:lineRule="auto"/>
        <w:tabs>
          <w:tab w:leader="none" w:pos="540" w:val="left"/>
        </w:tabs>
        <w:numPr>
          <w:ilvl w:val="0"/>
          <w:numId w:val="12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Provisions: </w:t>
      </w:r>
      <w:r>
        <w:rPr>
          <w:rFonts w:ascii="Arial" w:cs="Arial" w:eastAsia="Arial" w:hAnsi="Arial"/>
          <w:sz w:val="18"/>
          <w:szCs w:val="18"/>
          <w:color w:val="auto"/>
        </w:rPr>
        <w:t>The Company, in the ordinary course of business, is subject to various claims, suits and complaints. Management, in consultation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internal and external advisers, will provide for a contingent loss in the financial statements if the contingency had occurred at the date of the financial statements and the likelihood of loss was probable and the amount can be reasonably estimated. If the Company has determined that the reasonable estimate of the loss is a range and there is no best estimate within the range, the Company will provide for the lower amount within the range. See also Note 14.</w:t>
      </w:r>
    </w:p>
    <w:p>
      <w:pPr>
        <w:spacing w:after="0" w:line="79" w:lineRule="exact"/>
        <w:rPr>
          <w:rFonts w:ascii="Arial" w:cs="Arial" w:eastAsia="Arial" w:hAnsi="Arial"/>
          <w:sz w:val="18"/>
          <w:szCs w:val="18"/>
          <w:b w:val="1"/>
          <w:bCs w:val="1"/>
          <w:i w:val="1"/>
          <w:iCs w:val="1"/>
          <w:color w:val="auto"/>
        </w:rPr>
      </w:pPr>
    </w:p>
    <w:p>
      <w:pPr>
        <w:ind w:left="560" w:right="100"/>
        <w:spacing w:after="0" w:line="286" w:lineRule="auto"/>
        <w:rPr>
          <w:rFonts w:ascii="Arial" w:cs="Arial" w:eastAsia="Arial" w:hAnsi="Arial"/>
          <w:sz w:val="18"/>
          <w:szCs w:val="18"/>
          <w:b w:val="1"/>
          <w:bCs w:val="1"/>
          <w:i w:val="1"/>
          <w:iCs w:val="1"/>
          <w:color w:val="auto"/>
        </w:rPr>
      </w:pPr>
      <w:r>
        <w:rPr>
          <w:rFonts w:ascii="Arial" w:cs="Arial" w:eastAsia="Arial" w:hAnsi="Arial"/>
          <w:sz w:val="17"/>
          <w:szCs w:val="17"/>
          <w:color w:val="auto"/>
        </w:rPr>
        <w:t>The Company participates in Protection and Indemnity (“P&amp;I”) insurance plans provided by mutual insurance associations known as P&amp;I clubs. Under the terms of these plans, participants may be required to pay additional premiums (supplementary calls) to fund operating deficits incurred by the clubs (“back calls”). Obligations for back calls are accrued annually based on information provided by the P&amp;I clubs.</w:t>
      </w:r>
    </w:p>
    <w:p>
      <w:pPr>
        <w:spacing w:after="0" w:line="57" w:lineRule="exact"/>
        <w:rPr>
          <w:rFonts w:ascii="Arial" w:cs="Arial" w:eastAsia="Arial" w:hAnsi="Arial"/>
          <w:sz w:val="18"/>
          <w:szCs w:val="18"/>
          <w:b w:val="1"/>
          <w:bCs w:val="1"/>
          <w:i w:val="1"/>
          <w:iCs w:val="1"/>
          <w:color w:val="auto"/>
        </w:rPr>
      </w:pPr>
    </w:p>
    <w:p>
      <w:pPr>
        <w:ind w:left="560" w:right="780"/>
        <w:spacing w:after="0" w:line="277" w:lineRule="auto"/>
        <w:rPr>
          <w:rFonts w:ascii="Arial" w:cs="Arial" w:eastAsia="Arial" w:hAnsi="Arial"/>
          <w:sz w:val="18"/>
          <w:szCs w:val="18"/>
          <w:b w:val="1"/>
          <w:bCs w:val="1"/>
          <w:i w:val="1"/>
          <w:iCs w:val="1"/>
          <w:color w:val="auto"/>
        </w:rPr>
      </w:pPr>
      <w:r>
        <w:rPr>
          <w:rFonts w:ascii="Arial" w:cs="Arial" w:eastAsia="Arial" w:hAnsi="Arial"/>
          <w:sz w:val="18"/>
          <w:szCs w:val="18"/>
          <w:color w:val="auto"/>
        </w:rPr>
        <w:t>Provision for losses subject to claims was provided for in the period in which estimated losses on vessels under time charter losses were determined. As of both December 31, 2020 and 2019, the balance for this provision was $0.</w:t>
      </w:r>
    </w:p>
    <w:p>
      <w:pPr>
        <w:spacing w:after="0" w:line="75" w:lineRule="exact"/>
        <w:rPr>
          <w:rFonts w:ascii="Arial" w:cs="Arial" w:eastAsia="Arial" w:hAnsi="Arial"/>
          <w:sz w:val="18"/>
          <w:szCs w:val="18"/>
          <w:b w:val="1"/>
          <w:bCs w:val="1"/>
          <w:i w:val="1"/>
          <w:iCs w:val="1"/>
          <w:color w:val="auto"/>
        </w:rPr>
      </w:pPr>
    </w:p>
    <w:p>
      <w:pPr>
        <w:ind w:left="540" w:right="80" w:hanging="424"/>
        <w:spacing w:after="0" w:line="255" w:lineRule="auto"/>
        <w:tabs>
          <w:tab w:leader="none" w:pos="540" w:val="left"/>
        </w:tabs>
        <w:numPr>
          <w:ilvl w:val="0"/>
          <w:numId w:val="12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Segment Reporting: </w:t>
      </w:r>
      <w:r>
        <w:rPr>
          <w:rFonts w:ascii="Arial" w:cs="Arial" w:eastAsia="Arial" w:hAnsi="Arial"/>
          <w:sz w:val="18"/>
          <w:szCs w:val="18"/>
          <w:color w:val="auto"/>
        </w:rPr>
        <w:t>Operating segments, as defined, are components of an enterprise about which separate financial information is available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evaluated regularly by the chief operating decision maker in deciding how to allocate resources and in assessing performance. Based on the Company’s methods of internal reporting and management structure, the Company through August 30, 2019 had three reportable segments: the Dry Bulk Vessel Operations segment, the Logistics Business segment and the Containers Business segment. Following the reclassification of the results of Navios Containers as discontinued operations (Note 3), the Company currently has two reportable segments from which it derives its revenues: Dry Bulk Vessel Operations and Logistics.</w:t>
      </w:r>
    </w:p>
    <w:p>
      <w:pPr>
        <w:spacing w:after="0" w:line="97" w:lineRule="exact"/>
        <w:rPr>
          <w:rFonts w:ascii="Arial" w:cs="Arial" w:eastAsia="Arial" w:hAnsi="Arial"/>
          <w:sz w:val="18"/>
          <w:szCs w:val="18"/>
          <w:b w:val="1"/>
          <w:bCs w:val="1"/>
          <w:i w:val="1"/>
          <w:iCs w:val="1"/>
          <w:color w:val="auto"/>
        </w:rPr>
      </w:pPr>
    </w:p>
    <w:p>
      <w:pPr>
        <w:ind w:left="540" w:hanging="424"/>
        <w:spacing w:after="0"/>
        <w:tabs>
          <w:tab w:leader="none" w:pos="540" w:val="left"/>
        </w:tabs>
        <w:numPr>
          <w:ilvl w:val="0"/>
          <w:numId w:val="12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Revenue and Expense Recognition:</w:t>
      </w:r>
    </w:p>
    <w:p>
      <w:pPr>
        <w:spacing w:after="0" w:line="113" w:lineRule="exact"/>
        <w:rPr>
          <w:rFonts w:ascii="Arial" w:cs="Arial" w:eastAsia="Arial" w:hAnsi="Arial"/>
          <w:sz w:val="18"/>
          <w:szCs w:val="18"/>
          <w:b w:val="1"/>
          <w:bCs w:val="1"/>
          <w:i w:val="1"/>
          <w:iCs w:val="1"/>
          <w:color w:val="auto"/>
        </w:rPr>
      </w:pPr>
    </w:p>
    <w:p>
      <w:pPr>
        <w:ind w:left="560"/>
        <w:spacing w:after="0" w:line="285" w:lineRule="auto"/>
        <w:rPr>
          <w:rFonts w:ascii="Arial" w:cs="Arial" w:eastAsia="Arial" w:hAnsi="Arial"/>
          <w:sz w:val="18"/>
          <w:szCs w:val="18"/>
          <w:b w:val="1"/>
          <w:bCs w:val="1"/>
          <w:i w:val="1"/>
          <w:iCs w:val="1"/>
          <w:color w:val="auto"/>
        </w:rPr>
      </w:pPr>
      <w:r>
        <w:rPr>
          <w:rFonts w:ascii="Arial" w:cs="Arial" w:eastAsia="Arial" w:hAnsi="Arial"/>
          <w:sz w:val="16"/>
          <w:szCs w:val="16"/>
          <w:b w:val="1"/>
          <w:bCs w:val="1"/>
          <w:color w:val="auto"/>
        </w:rPr>
        <w:t xml:space="preserve">Revenue Recognition: </w:t>
      </w:r>
      <w:r>
        <w:rPr>
          <w:rFonts w:ascii="Arial" w:cs="Arial" w:eastAsia="Arial" w:hAnsi="Arial"/>
          <w:sz w:val="16"/>
          <w:szCs w:val="16"/>
          <w:color w:val="auto"/>
        </w:rPr>
        <w:t>Revenue is recognized when (or as) the Company transfers promised goods or services to its customers in amounts that</w:t>
      </w:r>
      <w:r>
        <w:rPr>
          <w:rFonts w:ascii="Arial" w:cs="Arial" w:eastAsia="Arial" w:hAnsi="Arial"/>
          <w:sz w:val="16"/>
          <w:szCs w:val="16"/>
          <w:b w:val="1"/>
          <w:bCs w:val="1"/>
          <w:color w:val="auto"/>
        </w:rPr>
        <w:t xml:space="preserve"> </w:t>
      </w:r>
      <w:r>
        <w:rPr>
          <w:rFonts w:ascii="Arial" w:cs="Arial" w:eastAsia="Arial" w:hAnsi="Arial"/>
          <w:sz w:val="16"/>
          <w:szCs w:val="16"/>
          <w:color w:val="auto"/>
        </w:rPr>
        <w:t>reflect the consideration to which the company expects to be entitled to in exchange for those goods or services, which occurs when (or as) the Company satisfies its contractual obligations and transfers control of the promised goods or services to its customers. Revenues are recognized to depict the transfer of promised goods or services to customers in an amount that reflects the consideration to which the entity expects to be entitled in exchange for those goods or services. In determining the appropriate amount of revenue to be recognized as it fulfills its obligations under its agreements, the Company performs the following steps: (i) identification of the promised goods or services in the contract; (ii) determination of whether the promised goods or services are performance obligations, including whether they are distinct in the context of the contract;</w:t>
      </w:r>
    </w:p>
    <w:p>
      <w:pPr>
        <w:ind w:left="560" w:right="200"/>
        <w:spacing w:after="0" w:line="255" w:lineRule="auto"/>
        <w:rPr>
          <w:rFonts w:ascii="Arial" w:cs="Arial" w:eastAsia="Arial" w:hAnsi="Arial"/>
          <w:sz w:val="18"/>
          <w:szCs w:val="18"/>
          <w:b w:val="1"/>
          <w:bCs w:val="1"/>
          <w:i w:val="1"/>
          <w:iCs w:val="1"/>
          <w:color w:val="auto"/>
        </w:rPr>
      </w:pPr>
      <w:r>
        <w:rPr>
          <w:rFonts w:ascii="Arial" w:cs="Arial" w:eastAsia="Arial" w:hAnsi="Arial"/>
          <w:sz w:val="18"/>
          <w:szCs w:val="18"/>
          <w:color w:val="auto"/>
        </w:rPr>
        <w:t>(iii) measurement of the transaction price, including the constraint on variable consideration; (iv) allocation of the transaction price to the performance obligations based on estimated selling prices; and (v) recognition of revenue when (or as) the Company satisfies each performance obligation.</w:t>
      </w:r>
    </w:p>
    <w:p>
      <w:pPr>
        <w:spacing w:after="0" w:line="82" w:lineRule="exact"/>
        <w:rPr>
          <w:sz w:val="20"/>
          <w:szCs w:val="20"/>
          <w:color w:val="auto"/>
        </w:rPr>
      </w:pPr>
    </w:p>
    <w:p>
      <w:pPr>
        <w:ind w:left="560"/>
        <w:spacing w:after="0" w:line="259" w:lineRule="auto"/>
        <w:rPr>
          <w:sz w:val="20"/>
          <w:szCs w:val="20"/>
          <w:color w:val="auto"/>
        </w:rPr>
      </w:pPr>
      <w:r>
        <w:rPr>
          <w:rFonts w:ascii="Arial" w:cs="Arial" w:eastAsia="Arial" w:hAnsi="Arial"/>
          <w:sz w:val="18"/>
          <w:szCs w:val="18"/>
          <w:color w:val="auto"/>
        </w:rPr>
        <w:t>Voyage revenues for the transportation of cargo are recognized ratably over the estimated relative transit time of each voyage. A voyage is deemed to commence when a vessel arrives at the loading port, as applicable under the contract, and is deemed to end upon the completion of the discharge of the current cargo. Under a voyage charter, a vessel is provided for the transportation of specific goods between specific ports in return for payment of an agreed upon freight per ton of cargo.</w:t>
      </w:r>
    </w:p>
    <w:p>
      <w:pPr>
        <w:spacing w:after="0" w:line="79" w:lineRule="exact"/>
        <w:rPr>
          <w:sz w:val="20"/>
          <w:szCs w:val="20"/>
          <w:color w:val="auto"/>
        </w:rPr>
      </w:pPr>
    </w:p>
    <w:p>
      <w:pPr>
        <w:ind w:left="560" w:right="20"/>
        <w:spacing w:after="0" w:line="259" w:lineRule="auto"/>
        <w:rPr>
          <w:sz w:val="20"/>
          <w:szCs w:val="20"/>
          <w:color w:val="auto"/>
        </w:rPr>
      </w:pPr>
      <w:r>
        <w:rPr>
          <w:rFonts w:ascii="Arial" w:cs="Arial" w:eastAsia="Arial" w:hAnsi="Arial"/>
          <w:sz w:val="18"/>
          <w:szCs w:val="18"/>
          <w:color w:val="auto"/>
        </w:rPr>
        <w:t>Revenues are recorded net of address commissions. Address commissions represent a discount provided directly to the charterers based on a fixed percentage of the agreed upon charter rate. Since address commissions represent a discount (sales incentive) on services rendered by the Company and no identifiable benefit is received in exchange for the consideration provided to the charterer, these commissions are presented as a reduction of revenue.</w:t>
      </w:r>
    </w:p>
    <w:p>
      <w:pPr>
        <w:spacing w:after="0" w:line="79" w:lineRule="exact"/>
        <w:rPr>
          <w:sz w:val="20"/>
          <w:szCs w:val="20"/>
          <w:color w:val="auto"/>
        </w:rPr>
      </w:pPr>
    </w:p>
    <w:p>
      <w:pPr>
        <w:ind w:left="560"/>
        <w:spacing w:after="0" w:line="293" w:lineRule="auto"/>
        <w:rPr>
          <w:sz w:val="20"/>
          <w:szCs w:val="20"/>
          <w:color w:val="auto"/>
        </w:rPr>
      </w:pPr>
      <w:r>
        <w:rPr>
          <w:rFonts w:ascii="Arial" w:cs="Arial" w:eastAsia="Arial" w:hAnsi="Arial"/>
          <w:sz w:val="16"/>
          <w:szCs w:val="16"/>
          <w:color w:val="auto"/>
        </w:rPr>
        <w:t>Revenue from contracts of affreightment (“COA”)/voyage contracts relating to our barges are recognized ratably over the estimated relative transit time of each voyage. A voyage is deemed to commence upon the barge’s arrival at the loading port, as applicable under the contract, and is deemed to end upon the completion of discharge under the current voyage. The percentage of transit time is based on the days traveled as of the balance sheet date divided by the total days expected for the voyage. The position of the barge at the balance sheet date is determined by the days traveled as of the balance sheet date over the total voyage of the pushboat having the barge in tow. Revenue arising from contracts that provide our customers with continuous access to convoy capacity is recognized ratably over the period of the contracts.</w:t>
      </w:r>
    </w:p>
    <w:p>
      <w:pPr>
        <w:spacing w:after="0" w:line="56" w:lineRule="exact"/>
        <w:rPr>
          <w:sz w:val="20"/>
          <w:szCs w:val="20"/>
          <w:color w:val="auto"/>
        </w:rPr>
      </w:pPr>
    </w:p>
    <w:p>
      <w:pPr>
        <w:ind w:left="560"/>
        <w:spacing w:after="0" w:line="277" w:lineRule="auto"/>
        <w:rPr>
          <w:sz w:val="20"/>
          <w:szCs w:val="20"/>
          <w:color w:val="auto"/>
        </w:rPr>
      </w:pPr>
      <w:r>
        <w:rPr>
          <w:rFonts w:ascii="Arial" w:cs="Arial" w:eastAsia="Arial" w:hAnsi="Arial"/>
          <w:sz w:val="18"/>
          <w:szCs w:val="18"/>
          <w:color w:val="auto"/>
        </w:rPr>
        <w:t>Demurrage income represents payments made by the charterer to the vessel owner when loading or discharging time exceeds the stipulated time in the voyage charter and is recognized as it is earned.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20"/>
          </w:cols>
          <w:pgMar w:left="320" w:top="459" w:right="4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NAVIOS MARITIME HOLDINGS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(Expressed in thousands of U.S. dollars — except share data)</w:t>
      </w:r>
    </w:p>
    <w:p>
      <w:pPr>
        <w:spacing w:after="0" w:line="143" w:lineRule="exact"/>
        <w:rPr>
          <w:sz w:val="20"/>
          <w:szCs w:val="20"/>
          <w:color w:val="auto"/>
        </w:rPr>
      </w:pPr>
    </w:p>
    <w:p>
      <w:pPr>
        <w:ind w:left="560" w:right="480"/>
        <w:spacing w:after="0" w:line="342" w:lineRule="auto"/>
        <w:rPr>
          <w:sz w:val="20"/>
          <w:szCs w:val="20"/>
          <w:color w:val="auto"/>
        </w:rPr>
      </w:pPr>
      <w:r>
        <w:rPr>
          <w:rFonts w:ascii="Arial" w:cs="Arial" w:eastAsia="Arial" w:hAnsi="Arial"/>
          <w:sz w:val="16"/>
          <w:szCs w:val="16"/>
          <w:color w:val="auto"/>
        </w:rPr>
        <w:t>The Company recognizes revenue ratably from the vessel’s/barge’s arrival at the loading port, as applicable under the contract, to when the charterer’s cargo is discharged as well as defer costs that meet the definition of “costs to fulfill a contract” and relate directly to the contract.</w:t>
      </w:r>
    </w:p>
    <w:p>
      <w:pPr>
        <w:spacing w:after="0" w:line="16" w:lineRule="exact"/>
        <w:rPr>
          <w:sz w:val="20"/>
          <w:szCs w:val="20"/>
          <w:color w:val="auto"/>
        </w:rPr>
      </w:pPr>
    </w:p>
    <w:p>
      <w:pPr>
        <w:ind w:left="560" w:right="20"/>
        <w:spacing w:after="0" w:line="272" w:lineRule="auto"/>
        <w:rPr>
          <w:sz w:val="20"/>
          <w:szCs w:val="20"/>
          <w:color w:val="auto"/>
        </w:rPr>
      </w:pPr>
      <w:r>
        <w:rPr>
          <w:rFonts w:ascii="Arial" w:cs="Arial" w:eastAsia="Arial" w:hAnsi="Arial"/>
          <w:sz w:val="17"/>
          <w:szCs w:val="17"/>
          <w:color w:val="auto"/>
        </w:rPr>
        <w:t>Revenues from time chartering and bareboat chartering of vessels and barges are accounted for as operating leases and are thus recognized on a straight line basis as the average revenue over the rental periods of such charter agreements as service is performed, except for loss generating time charters, in which case the loss is recognized in the period when such loss is determined. A time charter involves placing a vessel or barge at the charterer’s disposal for a period of time during which the charterer uses the vessel in return for the payment of a specified daily hire rate. Short period charters for less than three months are referred to as spot-charters. Charters extending three months to a year are generally referred to as medium-term charters. All other charters are considered long-term. Under time charters, operating costs such as for crews, maintenance and insurance are typically paid by the owner of the vessel.</w:t>
      </w:r>
    </w:p>
    <w:p>
      <w:pPr>
        <w:spacing w:after="0" w:line="69" w:lineRule="exact"/>
        <w:rPr>
          <w:sz w:val="20"/>
          <w:szCs w:val="20"/>
          <w:color w:val="auto"/>
        </w:rPr>
      </w:pPr>
    </w:p>
    <w:p>
      <w:pPr>
        <w:ind w:left="560" w:right="20"/>
        <w:spacing w:after="0" w:line="255" w:lineRule="auto"/>
        <w:rPr>
          <w:sz w:val="20"/>
          <w:szCs w:val="20"/>
          <w:color w:val="auto"/>
        </w:rPr>
      </w:pPr>
      <w:r>
        <w:rPr>
          <w:rFonts w:ascii="Arial" w:cs="Arial" w:eastAsia="Arial" w:hAnsi="Arial"/>
          <w:sz w:val="18"/>
          <w:szCs w:val="18"/>
          <w:color w:val="auto"/>
        </w:rPr>
        <w:t>For vessels operating in pooling arrangements, the Company earns a portion of total revenues generated by the pool, net of expenses incurred by the pool. The amount allocated to each pool participant vessel, including the Company’s vessels, is determined in accordance with an agreed-upon formula, which is determined by margins awarded to each vessel in the pool based on the vessel’s age, design and other performance characteristics. Revenue under pooling arrangements is accounted for on the accrual basis and is recognized in the period in which the variability is resolved. The allocation of such net revenue may be subject to future adjustments by the pool; however, such changes are not expected to be material.</w:t>
      </w:r>
    </w:p>
    <w:p>
      <w:pPr>
        <w:spacing w:after="0" w:line="84" w:lineRule="exact"/>
        <w:rPr>
          <w:sz w:val="20"/>
          <w:szCs w:val="20"/>
          <w:color w:val="auto"/>
        </w:rPr>
      </w:pPr>
    </w:p>
    <w:p>
      <w:pPr>
        <w:ind w:left="560"/>
        <w:spacing w:after="0" w:line="271" w:lineRule="auto"/>
        <w:rPr>
          <w:sz w:val="20"/>
          <w:szCs w:val="20"/>
          <w:color w:val="auto"/>
        </w:rPr>
      </w:pPr>
      <w:r>
        <w:rPr>
          <w:rFonts w:ascii="Arial" w:cs="Arial" w:eastAsia="Arial" w:hAnsi="Arial"/>
          <w:sz w:val="17"/>
          <w:szCs w:val="17"/>
          <w:color w:val="auto"/>
        </w:rPr>
        <w:t>Revenues from dry port terminal operations consist of an agreed flat fee per ton and cover the services performed to unload barges (or trucks), transfer the product into silos or the stockpiles for temporary storage and then loading the ocean-going vessels. Revenues are recognized upon completion of loading the ocean-going vessels. Revenue arising from contracts that provide our customers with continuous access to port terminal storage and transshipment capacity is recognized ratably over the period of the contracts. Additionally, fees are charged for vessel dockage and for storage time in excess of contractually specified terms. Dockage revenues are recognized ratably up to completion of loading as the performance obligation is met evenly over the loading period. Storage fees are assessed and recognized at the point when the product remains in the silo storage beyond the contractually agreed time allowed. Storage fee revenue is recognized ratably over the storage period and ends when the product is loaded onto the ocean-going vessel.</w:t>
      </w:r>
    </w:p>
    <w:p>
      <w:pPr>
        <w:spacing w:after="0" w:line="70" w:lineRule="exact"/>
        <w:rPr>
          <w:sz w:val="20"/>
          <w:szCs w:val="20"/>
          <w:color w:val="auto"/>
        </w:rPr>
      </w:pPr>
    </w:p>
    <w:p>
      <w:pPr>
        <w:ind w:left="560" w:right="280"/>
        <w:spacing w:after="0" w:line="273" w:lineRule="auto"/>
        <w:rPr>
          <w:sz w:val="20"/>
          <w:szCs w:val="20"/>
          <w:color w:val="auto"/>
        </w:rPr>
      </w:pPr>
      <w:r>
        <w:rPr>
          <w:rFonts w:ascii="Arial" w:cs="Arial" w:eastAsia="Arial" w:hAnsi="Arial"/>
          <w:sz w:val="17"/>
          <w:szCs w:val="17"/>
          <w:color w:val="auto"/>
        </w:rPr>
        <w:t>Revenues from liquid port terminal consist mainly of sales of petroleum products in the Paraguayan market and revenues from liquid port operations. Revenues from liquid port terminal operations consist of an agreed flat fee per cubic meter or a fixed rate over a specific period to cover the services performed to unload barges, transfer the products into the tanks for temporary storage and then loading the trucks. Revenues that consist of an agreed flat fee per cubic meter are recognized upon completion of loading the trucks. Revenues from liquid port terminal operations that consist of a fixed rate over a specific period are recognized ratably over the storage period as the performance obligation is met evenly over time, ending when the product is loaded onto the trucks.</w:t>
      </w:r>
    </w:p>
    <w:p>
      <w:pPr>
        <w:spacing w:after="0" w:line="70" w:lineRule="exact"/>
        <w:rPr>
          <w:sz w:val="20"/>
          <w:szCs w:val="20"/>
          <w:color w:val="auto"/>
        </w:rPr>
      </w:pPr>
    </w:p>
    <w:p>
      <w:pPr>
        <w:ind w:left="560" w:right="40"/>
        <w:spacing w:after="0" w:line="259" w:lineRule="auto"/>
        <w:rPr>
          <w:sz w:val="20"/>
          <w:szCs w:val="20"/>
          <w:color w:val="auto"/>
        </w:rPr>
      </w:pPr>
      <w:r>
        <w:rPr>
          <w:rFonts w:ascii="Arial" w:cs="Arial" w:eastAsia="Arial" w:hAnsi="Arial"/>
          <w:sz w:val="18"/>
          <w:szCs w:val="18"/>
          <w:color w:val="auto"/>
        </w:rPr>
        <w:t>Additionally, revenues consist of an agreed flat fee per cubic meter to cover the services performed to unload barges, transfer the products into the tanks for temporary storage and then loading the trucks. Revenues are recognized upon completion of loading the trucks. Additionally, fees are charged for storage time in excess of contractually specified terms. Storage fee revenue is recognized ratably over the storage period and ends when the product is loaded onto the trucks.</w:t>
      </w:r>
    </w:p>
    <w:p>
      <w:pPr>
        <w:spacing w:after="0" w:line="7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Expenses related to our revenue-generating contracts are recognized as incurred.</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20"/>
          </w:cols>
          <w:pgMar w:left="320" w:top="459" w:right="4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NAVIOS MARITIME HOLDINGS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(Expressed in thousands of U.S. dollars — except share data)</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tables reflect the revenue earned per category for the years ended December 31, 2020, 2019 and 2018:</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w w:val="90"/>
              </w:rPr>
              <w:t>Dry Bulk Vessel</w:t>
            </w:r>
          </w:p>
        </w:tc>
        <w:tc>
          <w:tcPr>
            <w:tcW w:w="140" w:type="dxa"/>
            <w:vAlign w:val="bottom"/>
          </w:tcPr>
          <w:p>
            <w:pPr>
              <w:spacing w:after="0"/>
              <w:rPr>
                <w:sz w:val="14"/>
                <w:szCs w:val="14"/>
                <w:color w:val="auto"/>
              </w:rPr>
            </w:pPr>
          </w:p>
        </w:tc>
        <w:tc>
          <w:tcPr>
            <w:tcW w:w="170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w w:val="87"/>
              </w:rPr>
              <w:t>Logistics Business</w:t>
            </w:r>
          </w:p>
        </w:tc>
        <w:tc>
          <w:tcPr>
            <w:tcW w:w="140" w:type="dxa"/>
            <w:vAlign w:val="bottom"/>
          </w:tcPr>
          <w:p>
            <w:pPr>
              <w:spacing w:after="0"/>
              <w:rPr>
                <w:sz w:val="14"/>
                <w:szCs w:val="14"/>
                <w:color w:val="auto"/>
              </w:rPr>
            </w:pPr>
          </w:p>
        </w:tc>
        <w:tc>
          <w:tcPr>
            <w:tcW w:w="1640" w:type="dxa"/>
            <w:vAlign w:val="bottom"/>
            <w:gridSpan w:val="5"/>
            <w:vMerge w:val="restart"/>
          </w:tcPr>
          <w:p>
            <w:pPr>
              <w:jc w:val="center"/>
              <w:ind w:right="480"/>
              <w:spacing w:after="0"/>
              <w:rPr>
                <w:sz w:val="20"/>
                <w:szCs w:val="20"/>
                <w:color w:val="auto"/>
              </w:rPr>
            </w:pPr>
            <w:r>
              <w:rPr>
                <w:rFonts w:ascii="Arial" w:cs="Arial" w:eastAsia="Arial" w:hAnsi="Arial"/>
                <w:sz w:val="14"/>
                <w:szCs w:val="14"/>
                <w:b w:val="1"/>
                <w:bCs w:val="1"/>
                <w:color w:val="auto"/>
                <w:w w:val="93"/>
              </w:rPr>
              <w:t>Total for the</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5"/>
          </w:tcPr>
          <w:p>
            <w:pPr>
              <w:ind w:left="20"/>
              <w:spacing w:after="0" w:line="149" w:lineRule="exact"/>
              <w:rPr>
                <w:sz w:val="20"/>
                <w:szCs w:val="20"/>
                <w:color w:val="auto"/>
              </w:rPr>
            </w:pPr>
            <w:r>
              <w:rPr>
                <w:rFonts w:ascii="Arial" w:cs="Arial" w:eastAsia="Arial" w:hAnsi="Arial"/>
                <w:sz w:val="14"/>
                <w:szCs w:val="14"/>
                <w:b w:val="1"/>
                <w:bCs w:val="1"/>
                <w:color w:val="auto"/>
              </w:rPr>
              <w:t>Operations for the</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gridSpan w:val="4"/>
          </w:tcPr>
          <w:p>
            <w:pPr>
              <w:jc w:val="center"/>
              <w:ind w:right="860"/>
              <w:spacing w:after="0" w:line="149" w:lineRule="exact"/>
              <w:rPr>
                <w:sz w:val="20"/>
                <w:szCs w:val="20"/>
                <w:color w:val="auto"/>
              </w:rPr>
            </w:pPr>
            <w:r>
              <w:rPr>
                <w:rFonts w:ascii="Arial" w:cs="Arial" w:eastAsia="Arial" w:hAnsi="Arial"/>
                <w:sz w:val="14"/>
                <w:szCs w:val="14"/>
                <w:b w:val="1"/>
                <w:bCs w:val="1"/>
                <w:color w:val="auto"/>
                <w:w w:val="91"/>
              </w:rPr>
              <w:t>for the</w:t>
            </w:r>
          </w:p>
        </w:tc>
        <w:tc>
          <w:tcPr>
            <w:tcW w:w="140" w:type="dxa"/>
            <w:vAlign w:val="bottom"/>
          </w:tcPr>
          <w:p>
            <w:pPr>
              <w:spacing w:after="0"/>
              <w:rPr>
                <w:sz w:val="12"/>
                <w:szCs w:val="12"/>
                <w:color w:val="auto"/>
              </w:rPr>
            </w:pPr>
          </w:p>
        </w:tc>
        <w:tc>
          <w:tcPr>
            <w:tcW w:w="164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5"/>
          </w:tcPr>
          <w:p>
            <w:pPr>
              <w:jc w:val="center"/>
              <w:ind w:right="540"/>
              <w:spacing w:after="0" w:line="149" w:lineRule="exact"/>
              <w:rPr>
                <w:sz w:val="20"/>
                <w:szCs w:val="20"/>
                <w:color w:val="auto"/>
              </w:rPr>
            </w:pPr>
            <w:r>
              <w:rPr>
                <w:rFonts w:ascii="Arial" w:cs="Arial" w:eastAsia="Arial" w:hAnsi="Arial"/>
                <w:sz w:val="14"/>
                <w:szCs w:val="14"/>
                <w:b w:val="1"/>
                <w:bCs w:val="1"/>
                <w:color w:val="auto"/>
                <w:w w:val="93"/>
              </w:rPr>
              <w:t>Year Ended</w:t>
            </w:r>
          </w:p>
        </w:tc>
        <w:tc>
          <w:tcPr>
            <w:tcW w:w="140" w:type="dxa"/>
            <w:vAlign w:val="bottom"/>
          </w:tcPr>
          <w:p>
            <w:pPr>
              <w:spacing w:after="0"/>
              <w:rPr>
                <w:sz w:val="12"/>
                <w:szCs w:val="12"/>
                <w:color w:val="auto"/>
              </w:rPr>
            </w:pPr>
          </w:p>
        </w:tc>
        <w:tc>
          <w:tcPr>
            <w:tcW w:w="1700" w:type="dxa"/>
            <w:vAlign w:val="bottom"/>
            <w:gridSpan w:val="5"/>
          </w:tcPr>
          <w:p>
            <w:pPr>
              <w:jc w:val="center"/>
              <w:ind w:right="540"/>
              <w:spacing w:after="0" w:line="149" w:lineRule="exact"/>
              <w:rPr>
                <w:sz w:val="20"/>
                <w:szCs w:val="20"/>
                <w:color w:val="auto"/>
              </w:rPr>
            </w:pPr>
            <w:r>
              <w:rPr>
                <w:rFonts w:ascii="Arial" w:cs="Arial" w:eastAsia="Arial" w:hAnsi="Arial"/>
                <w:sz w:val="14"/>
                <w:szCs w:val="14"/>
                <w:b w:val="1"/>
                <w:bCs w:val="1"/>
                <w:color w:val="auto"/>
                <w:w w:val="93"/>
              </w:rPr>
              <w:t>Year Ended</w:t>
            </w:r>
          </w:p>
        </w:tc>
        <w:tc>
          <w:tcPr>
            <w:tcW w:w="140" w:type="dxa"/>
            <w:vAlign w:val="bottom"/>
          </w:tcPr>
          <w:p>
            <w:pPr>
              <w:spacing w:after="0"/>
              <w:rPr>
                <w:sz w:val="12"/>
                <w:szCs w:val="12"/>
                <w:color w:val="auto"/>
              </w:rPr>
            </w:pPr>
          </w:p>
        </w:tc>
        <w:tc>
          <w:tcPr>
            <w:tcW w:w="1640" w:type="dxa"/>
            <w:vAlign w:val="bottom"/>
            <w:gridSpan w:val="5"/>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6"/>
          </w:tcPr>
          <w:p>
            <w:pPr>
              <w:ind w:left="80"/>
              <w:spacing w:after="0"/>
              <w:rPr>
                <w:sz w:val="20"/>
                <w:szCs w:val="20"/>
                <w:color w:val="auto"/>
              </w:rPr>
            </w:pPr>
            <w:r>
              <w:rPr>
                <w:rFonts w:ascii="Arial" w:cs="Arial" w:eastAsia="Arial" w:hAnsi="Arial"/>
                <w:sz w:val="14"/>
                <w:szCs w:val="14"/>
                <w:b w:val="1"/>
                <w:bCs w:val="1"/>
                <w:color w:val="auto"/>
              </w:rPr>
              <w:t>December 31, 2020</w:t>
            </w:r>
          </w:p>
        </w:tc>
        <w:tc>
          <w:tcPr>
            <w:tcW w:w="1840" w:type="dxa"/>
            <w:vAlign w:val="bottom"/>
            <w:gridSpan w:val="6"/>
          </w:tcPr>
          <w:p>
            <w:pPr>
              <w:ind w:left="140"/>
              <w:spacing w:after="0"/>
              <w:rPr>
                <w:sz w:val="20"/>
                <w:szCs w:val="20"/>
                <w:color w:val="auto"/>
              </w:rPr>
            </w:pPr>
            <w:r>
              <w:rPr>
                <w:rFonts w:ascii="Arial" w:cs="Arial" w:eastAsia="Arial" w:hAnsi="Arial"/>
                <w:sz w:val="14"/>
                <w:szCs w:val="14"/>
                <w:b w:val="1"/>
                <w:bCs w:val="1"/>
                <w:color w:val="auto"/>
              </w:rPr>
              <w:t>December 31, 2020</w:t>
            </w:r>
          </w:p>
        </w:tc>
        <w:tc>
          <w:tcPr>
            <w:tcW w:w="178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2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COA/Voyage revenue</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6,660</w:t>
            </w:r>
          </w:p>
        </w:tc>
        <w:tc>
          <w:tcPr>
            <w:tcW w:w="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54,005</w:t>
            </w: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28"/>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60,665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Time chartering revenue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194,005</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59,236</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253,241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Port terminal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73,112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73,112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Storage fees (dry port) revenue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3,364</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3,364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Dockage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3,948</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Sale of products revenue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17,272</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17,272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Liquid port terminal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79"/>
              </w:rPr>
              <w:t>128</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200,793</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215,925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416,718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w w:val="90"/>
              </w:rPr>
              <w:t>Dry Bulk Vessel</w:t>
            </w:r>
          </w:p>
        </w:tc>
        <w:tc>
          <w:tcPr>
            <w:tcW w:w="140" w:type="dxa"/>
            <w:vAlign w:val="bottom"/>
          </w:tcPr>
          <w:p>
            <w:pPr>
              <w:spacing w:after="0"/>
              <w:rPr>
                <w:sz w:val="24"/>
                <w:szCs w:val="24"/>
                <w:color w:val="auto"/>
              </w:rPr>
            </w:pPr>
          </w:p>
        </w:tc>
        <w:tc>
          <w:tcPr>
            <w:tcW w:w="170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w w:val="87"/>
              </w:rPr>
              <w:t>Logistics Business</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gridSpan w:val="4"/>
          </w:tcPr>
          <w:p>
            <w:pPr>
              <w:jc w:val="center"/>
              <w:ind w:right="8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5"/>
          </w:tcPr>
          <w:p>
            <w:pPr>
              <w:ind w:left="20"/>
              <w:spacing w:after="0" w:line="149" w:lineRule="exact"/>
              <w:rPr>
                <w:sz w:val="20"/>
                <w:szCs w:val="20"/>
                <w:color w:val="auto"/>
              </w:rPr>
            </w:pPr>
            <w:r>
              <w:rPr>
                <w:rFonts w:ascii="Arial" w:cs="Arial" w:eastAsia="Arial" w:hAnsi="Arial"/>
                <w:sz w:val="14"/>
                <w:szCs w:val="14"/>
                <w:b w:val="1"/>
                <w:bCs w:val="1"/>
                <w:color w:val="auto"/>
              </w:rPr>
              <w:t>Operations for the</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gridSpan w:val="4"/>
          </w:tcPr>
          <w:p>
            <w:pPr>
              <w:jc w:val="center"/>
              <w:ind w:right="860"/>
              <w:spacing w:after="0" w:line="149" w:lineRule="exact"/>
              <w:rPr>
                <w:sz w:val="20"/>
                <w:szCs w:val="20"/>
                <w:color w:val="auto"/>
              </w:rPr>
            </w:pPr>
            <w:r>
              <w:rPr>
                <w:rFonts w:ascii="Arial" w:cs="Arial" w:eastAsia="Arial" w:hAnsi="Arial"/>
                <w:sz w:val="14"/>
                <w:szCs w:val="14"/>
                <w:b w:val="1"/>
                <w:bCs w:val="1"/>
                <w:color w:val="auto"/>
                <w:w w:val="91"/>
              </w:rPr>
              <w:t>for the</w:t>
            </w:r>
          </w:p>
        </w:tc>
        <w:tc>
          <w:tcPr>
            <w:tcW w:w="140" w:type="dxa"/>
            <w:vAlign w:val="bottom"/>
          </w:tcPr>
          <w:p>
            <w:pPr>
              <w:spacing w:after="0"/>
              <w:rPr>
                <w:sz w:val="12"/>
                <w:szCs w:val="12"/>
                <w:color w:val="auto"/>
              </w:rPr>
            </w:pPr>
          </w:p>
        </w:tc>
        <w:tc>
          <w:tcPr>
            <w:tcW w:w="1640" w:type="dxa"/>
            <w:vAlign w:val="bottom"/>
            <w:gridSpan w:val="5"/>
          </w:tcPr>
          <w:p>
            <w:pPr>
              <w:jc w:val="center"/>
              <w:ind w:right="500"/>
              <w:spacing w:after="0" w:line="149" w:lineRule="exact"/>
              <w:rPr>
                <w:sz w:val="20"/>
                <w:szCs w:val="20"/>
                <w:color w:val="auto"/>
              </w:rPr>
            </w:pPr>
            <w:r>
              <w:rPr>
                <w:rFonts w:ascii="Arial" w:cs="Arial" w:eastAsia="Arial" w:hAnsi="Arial"/>
                <w:sz w:val="14"/>
                <w:szCs w:val="14"/>
                <w:b w:val="1"/>
                <w:bCs w:val="1"/>
                <w:color w:val="auto"/>
                <w:w w:val="96"/>
              </w:rPr>
              <w:t>for the</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5"/>
          </w:tcPr>
          <w:p>
            <w:pPr>
              <w:jc w:val="center"/>
              <w:ind w:right="540"/>
              <w:spacing w:after="0" w:line="149" w:lineRule="exact"/>
              <w:rPr>
                <w:sz w:val="20"/>
                <w:szCs w:val="20"/>
                <w:color w:val="auto"/>
              </w:rPr>
            </w:pPr>
            <w:r>
              <w:rPr>
                <w:rFonts w:ascii="Arial" w:cs="Arial" w:eastAsia="Arial" w:hAnsi="Arial"/>
                <w:sz w:val="14"/>
                <w:szCs w:val="14"/>
                <w:b w:val="1"/>
                <w:bCs w:val="1"/>
                <w:color w:val="auto"/>
                <w:w w:val="93"/>
              </w:rPr>
              <w:t>Year Ended</w:t>
            </w:r>
          </w:p>
        </w:tc>
        <w:tc>
          <w:tcPr>
            <w:tcW w:w="140" w:type="dxa"/>
            <w:vAlign w:val="bottom"/>
          </w:tcPr>
          <w:p>
            <w:pPr>
              <w:spacing w:after="0"/>
              <w:rPr>
                <w:sz w:val="12"/>
                <w:szCs w:val="12"/>
                <w:color w:val="auto"/>
              </w:rPr>
            </w:pPr>
          </w:p>
        </w:tc>
        <w:tc>
          <w:tcPr>
            <w:tcW w:w="1700" w:type="dxa"/>
            <w:vAlign w:val="bottom"/>
            <w:gridSpan w:val="5"/>
          </w:tcPr>
          <w:p>
            <w:pPr>
              <w:jc w:val="center"/>
              <w:ind w:right="540"/>
              <w:spacing w:after="0" w:line="149" w:lineRule="exact"/>
              <w:rPr>
                <w:sz w:val="20"/>
                <w:szCs w:val="20"/>
                <w:color w:val="auto"/>
              </w:rPr>
            </w:pPr>
            <w:r>
              <w:rPr>
                <w:rFonts w:ascii="Arial" w:cs="Arial" w:eastAsia="Arial" w:hAnsi="Arial"/>
                <w:sz w:val="14"/>
                <w:szCs w:val="14"/>
                <w:b w:val="1"/>
                <w:bCs w:val="1"/>
                <w:color w:val="auto"/>
                <w:w w:val="93"/>
              </w:rPr>
              <w:t>Year Ended</w:t>
            </w:r>
          </w:p>
        </w:tc>
        <w:tc>
          <w:tcPr>
            <w:tcW w:w="140" w:type="dxa"/>
            <w:vAlign w:val="bottom"/>
          </w:tcPr>
          <w:p>
            <w:pPr>
              <w:spacing w:after="0"/>
              <w:rPr>
                <w:sz w:val="12"/>
                <w:szCs w:val="12"/>
                <w:color w:val="auto"/>
              </w:rPr>
            </w:pPr>
          </w:p>
        </w:tc>
        <w:tc>
          <w:tcPr>
            <w:tcW w:w="1640" w:type="dxa"/>
            <w:vAlign w:val="bottom"/>
            <w:gridSpan w:val="5"/>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6"/>
          </w:tcPr>
          <w:p>
            <w:pPr>
              <w:ind w:left="80"/>
              <w:spacing w:after="0"/>
              <w:rPr>
                <w:sz w:val="20"/>
                <w:szCs w:val="20"/>
                <w:color w:val="auto"/>
              </w:rPr>
            </w:pPr>
            <w:r>
              <w:rPr>
                <w:rFonts w:ascii="Arial" w:cs="Arial" w:eastAsia="Arial" w:hAnsi="Arial"/>
                <w:sz w:val="14"/>
                <w:szCs w:val="14"/>
                <w:b w:val="1"/>
                <w:bCs w:val="1"/>
                <w:color w:val="auto"/>
              </w:rPr>
              <w:t>December 31, 2019</w:t>
            </w:r>
          </w:p>
        </w:tc>
        <w:tc>
          <w:tcPr>
            <w:tcW w:w="1840" w:type="dxa"/>
            <w:vAlign w:val="bottom"/>
            <w:gridSpan w:val="6"/>
          </w:tcPr>
          <w:p>
            <w:pPr>
              <w:ind w:left="140"/>
              <w:spacing w:after="0"/>
              <w:rPr>
                <w:sz w:val="20"/>
                <w:szCs w:val="20"/>
                <w:color w:val="auto"/>
              </w:rPr>
            </w:pPr>
            <w:r>
              <w:rPr>
                <w:rFonts w:ascii="Arial" w:cs="Arial" w:eastAsia="Arial" w:hAnsi="Arial"/>
                <w:sz w:val="14"/>
                <w:szCs w:val="14"/>
                <w:b w:val="1"/>
                <w:bCs w:val="1"/>
                <w:color w:val="auto"/>
              </w:rPr>
              <w:t>December 31, 2019</w:t>
            </w:r>
          </w:p>
        </w:tc>
        <w:tc>
          <w:tcPr>
            <w:tcW w:w="178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1"/>
              </w:rPr>
              <w:t>December 31, 2019</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2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COA/Voyage revenue</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3,727</w:t>
            </w:r>
          </w:p>
        </w:tc>
        <w:tc>
          <w:tcPr>
            <w:tcW w:w="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49,488</w:t>
            </w: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28"/>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53,215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Time chartering revenue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250,187</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76,680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326,867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Port terminal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80,180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80,180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Storage fees (dry port) revenue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3,452</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3,452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Dockage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Sale of products revenue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9,384</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9,384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Liquid port terminal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79"/>
              </w:rPr>
              <w:t>264</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254,178</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228,271</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482,449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2"/>
              </w:rPr>
              <w:t>Dry Bulk Vessel</w:t>
            </w: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86"/>
              </w:rPr>
              <w:t>Logistics Business</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89"/>
              </w:rPr>
              <w:t>Containers Business</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Operations</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for the</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for the</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for the</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for the</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Year Ended</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Year Ended</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Year Ended</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0"/>
              </w:rPr>
              <w:t>December 31, 2018</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1"/>
              </w:rPr>
              <w:t>December 31, 2018</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1"/>
              </w:rPr>
              <w:t>December 31, 2018</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1"/>
              </w:rPr>
              <w:t>December 31, 2018</w:t>
            </w:r>
          </w:p>
        </w:tc>
        <w:tc>
          <w:tcPr>
            <w:tcW w:w="0" w:type="dxa"/>
            <w:vAlign w:val="bottom"/>
          </w:tcPr>
          <w:p>
            <w:pPr>
              <w:spacing w:after="0"/>
              <w:rPr>
                <w:sz w:val="1"/>
                <w:szCs w:val="1"/>
                <w:color w:val="auto"/>
              </w:rPr>
            </w:pPr>
          </w:p>
        </w:tc>
      </w:tr>
      <w:tr>
        <w:trPr>
          <w:trHeight w:val="210"/>
        </w:trPr>
        <w:tc>
          <w:tcPr>
            <w:tcW w:w="34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COA/Voyage revenue</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19,121</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35,623</w:t>
            </w: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54,744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Time chartering revenue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278,591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72,689</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12,053</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363,333</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Profit sharing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Port terminal revenue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3"/>
          </w:tcPr>
          <w:p>
            <w:pPr>
              <w:ind w:left="8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58,552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58,552</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Storage fees (dry port)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882</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Dockage revenue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3"/>
          </w:tcPr>
          <w:p>
            <w:pPr>
              <w:ind w:left="8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3,136</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3,136</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 of products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32,508</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32,508</w:t>
            </w: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Liquid port terminal revenue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3"/>
          </w:tcPr>
          <w:p>
            <w:pPr>
              <w:ind w:left="8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3,739</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3,739</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w w:val="86"/>
              </w:rPr>
              <w:t>392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505</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897</w:t>
            </w:r>
          </w:p>
        </w:tc>
        <w:tc>
          <w:tcPr>
            <w:tcW w:w="0" w:type="dxa"/>
            <w:vAlign w:val="bottom"/>
          </w:tcPr>
          <w:p>
            <w:pPr>
              <w:spacing w:after="0"/>
              <w:rPr>
                <w:sz w:val="1"/>
                <w:szCs w:val="1"/>
                <w:color w:val="auto"/>
              </w:rPr>
            </w:pPr>
          </w:p>
        </w:tc>
      </w:tr>
      <w:tr>
        <w:trPr>
          <w:trHeight w:val="223"/>
        </w:trPr>
        <w:tc>
          <w:tcPr>
            <w:tcW w:w="34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298,052</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gridSpan w:val="2"/>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207,634</w:t>
            </w:r>
          </w:p>
        </w:tc>
        <w:tc>
          <w:tcPr>
            <w:tcW w:w="160" w:type="dxa"/>
            <w:vAlign w:val="bottom"/>
          </w:tcPr>
          <w:p>
            <w:pPr>
              <w:spacing w:after="0"/>
              <w:rPr>
                <w:sz w:val="19"/>
                <w:szCs w:val="19"/>
                <w:color w:val="auto"/>
              </w:rPr>
            </w:pPr>
          </w:p>
        </w:tc>
        <w:tc>
          <w:tcPr>
            <w:tcW w:w="460" w:type="dxa"/>
            <w:vAlign w:val="bottom"/>
            <w:gridSpan w:val="2"/>
          </w:tcPr>
          <w:p>
            <w:pPr>
              <w:spacing w:after="0"/>
              <w:rPr>
                <w:sz w:val="19"/>
                <w:szCs w:val="19"/>
                <w:color w:val="auto"/>
              </w:rPr>
            </w:pPr>
          </w:p>
        </w:tc>
        <w:tc>
          <w:tcPr>
            <w:tcW w:w="1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12,053</w:t>
            </w:r>
          </w:p>
        </w:tc>
        <w:tc>
          <w:tcPr>
            <w:tcW w:w="120" w:type="dxa"/>
            <w:vAlign w:val="bottom"/>
          </w:tcPr>
          <w:p>
            <w:pPr>
              <w:spacing w:after="0"/>
              <w:rPr>
                <w:sz w:val="19"/>
                <w:szCs w:val="19"/>
                <w:color w:val="auto"/>
              </w:rPr>
            </w:pPr>
          </w:p>
        </w:tc>
        <w:tc>
          <w:tcPr>
            <w:tcW w:w="520" w:type="dxa"/>
            <w:vAlign w:val="bottom"/>
            <w:gridSpan w:val="2"/>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517,739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560" w:right="40"/>
        <w:spacing w:after="0" w:line="294" w:lineRule="auto"/>
        <w:rPr>
          <w:sz w:val="20"/>
          <w:szCs w:val="20"/>
          <w:color w:val="auto"/>
        </w:rPr>
      </w:pPr>
      <w:r>
        <w:rPr>
          <w:rFonts w:ascii="Arial" w:cs="Arial" w:eastAsia="Arial" w:hAnsi="Arial"/>
          <w:sz w:val="16"/>
          <w:szCs w:val="16"/>
          <w:b w:val="1"/>
          <w:bCs w:val="1"/>
          <w:color w:val="auto"/>
        </w:rPr>
        <w:t xml:space="preserve">Administrative fee revenue from affiliate companies: </w:t>
      </w:r>
      <w:r>
        <w:rPr>
          <w:rFonts w:ascii="Arial" w:cs="Arial" w:eastAsia="Arial" w:hAnsi="Arial"/>
          <w:sz w:val="16"/>
          <w:szCs w:val="16"/>
          <w:color w:val="auto"/>
        </w:rPr>
        <w:t>Administrative fee revenue from affiliate companies consisted of fees earned on the</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 of administrative services pursuant to administrative services agreements with our affiliate companies (Refer to Note 16). Administrative services included: bookkeeping, audit and accounting services, legal and insurance services, administrative and clerical services, banking and financial services, advisory services, client and investor relations and other general and administrative services. These revenues were recognized as the services were provided to affiliate companies. Following the sale of the management division effected on August 30, 2019, outlined in Note 3, these services are provided by N Shipmanagement Acquisition Corp. and related entities (“NSM” or the “Manager”).</w:t>
      </w:r>
    </w:p>
    <w:p>
      <w:pPr>
        <w:spacing w:after="0" w:line="52" w:lineRule="exact"/>
        <w:rPr>
          <w:sz w:val="20"/>
          <w:szCs w:val="20"/>
          <w:color w:val="auto"/>
        </w:rPr>
      </w:pPr>
    </w:p>
    <w:p>
      <w:pPr>
        <w:ind w:left="560"/>
        <w:spacing w:after="0" w:line="266" w:lineRule="auto"/>
        <w:rPr>
          <w:sz w:val="20"/>
          <w:szCs w:val="20"/>
          <w:color w:val="auto"/>
        </w:rPr>
      </w:pPr>
      <w:r>
        <w:rPr>
          <w:rFonts w:ascii="Arial" w:cs="Arial" w:eastAsia="Arial" w:hAnsi="Arial"/>
          <w:sz w:val="18"/>
          <w:szCs w:val="18"/>
          <w:b w:val="1"/>
          <w:bCs w:val="1"/>
          <w:color w:val="auto"/>
        </w:rPr>
        <w:t xml:space="preserve">General and administrative expenses: </w:t>
      </w:r>
      <w:r>
        <w:rPr>
          <w:rFonts w:ascii="Arial" w:cs="Arial" w:eastAsia="Arial" w:hAnsi="Arial"/>
          <w:sz w:val="18"/>
          <w:szCs w:val="18"/>
          <w:color w:val="auto"/>
        </w:rPr>
        <w:t>The general and administrative expenses incurred on behalf of affiliate companies were determined based</w:t>
      </w:r>
      <w:r>
        <w:rPr>
          <w:rFonts w:ascii="Arial" w:cs="Arial" w:eastAsia="Arial" w:hAnsi="Arial"/>
          <w:sz w:val="18"/>
          <w:szCs w:val="18"/>
          <w:b w:val="1"/>
          <w:bCs w:val="1"/>
          <w:color w:val="auto"/>
        </w:rPr>
        <w:t xml:space="preserve"> </w:t>
      </w:r>
      <w:r>
        <w:rPr>
          <w:rFonts w:ascii="Arial" w:cs="Arial" w:eastAsia="Arial" w:hAnsi="Arial"/>
          <w:sz w:val="18"/>
          <w:szCs w:val="18"/>
          <w:color w:val="auto"/>
        </w:rPr>
        <w:t>on a combination of actual expenses incurred on behalf of the affiliate companies as well as a reasonable allocation of expenses that are not affiliate companies specific but incurred on behalf of all affiliate companies.</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00"/>
          </w:cols>
          <w:pgMar w:left="320" w:top="459" w:right="47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NAVIOS MARITIME HOLDINGS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(Expressed in thousands of U.S. dollars — except share data)</w:t>
      </w:r>
    </w:p>
    <w:p>
      <w:pPr>
        <w:spacing w:after="0" w:line="143" w:lineRule="exact"/>
        <w:rPr>
          <w:sz w:val="20"/>
          <w:szCs w:val="20"/>
          <w:color w:val="auto"/>
        </w:rPr>
      </w:pPr>
    </w:p>
    <w:p>
      <w:pPr>
        <w:ind w:left="560" w:right="20"/>
        <w:spacing w:after="0" w:line="293" w:lineRule="auto"/>
        <w:rPr>
          <w:sz w:val="20"/>
          <w:szCs w:val="20"/>
          <w:color w:val="auto"/>
        </w:rPr>
      </w:pPr>
      <w:r>
        <w:rPr>
          <w:rFonts w:ascii="Arial" w:cs="Arial" w:eastAsia="Arial" w:hAnsi="Arial"/>
          <w:sz w:val="16"/>
          <w:szCs w:val="16"/>
          <w:color w:val="auto"/>
        </w:rPr>
        <w:t>Following the sale of the management division effected on August 30, 2019, outlined in Note 3, these services are provided by NSM, pursuant to an administrative services agreement dated August 29, 2019 (“Administrative Services Agreement”). The Manager is reimbursed for reasonable costs and expenses incurred in connection with the provision of these services. The term of this agreement is for an initial period of five years with an automatic extension for a period of five years thereafter unless a notice of termination is received by either party. The agreement also provides for payment of a termination fee, equal to the fees charged for the full calendar year preceding the termination date, by Navios Holdings in the event the Administrative Services Agreement is terminated on or before August 29, 2024 (see also Note 16).</w:t>
      </w:r>
    </w:p>
    <w:p>
      <w:pPr>
        <w:spacing w:after="0" w:line="52" w:lineRule="exact"/>
        <w:rPr>
          <w:sz w:val="20"/>
          <w:szCs w:val="20"/>
          <w:color w:val="auto"/>
        </w:rPr>
      </w:pPr>
    </w:p>
    <w:p>
      <w:pPr>
        <w:ind w:left="560" w:right="180"/>
        <w:spacing w:after="0" w:line="282" w:lineRule="auto"/>
        <w:rPr>
          <w:sz w:val="20"/>
          <w:szCs w:val="20"/>
          <w:color w:val="auto"/>
        </w:rPr>
      </w:pPr>
      <w:r>
        <w:rPr>
          <w:rFonts w:ascii="Arial" w:cs="Arial" w:eastAsia="Arial" w:hAnsi="Arial"/>
          <w:sz w:val="18"/>
          <w:szCs w:val="18"/>
          <w:b w:val="1"/>
          <w:bCs w:val="1"/>
          <w:color w:val="auto"/>
        </w:rPr>
        <w:t xml:space="preserve">Deferred Income and Cash Received In Advance: </w:t>
      </w:r>
      <w:r>
        <w:rPr>
          <w:rFonts w:ascii="Arial" w:cs="Arial" w:eastAsia="Arial" w:hAnsi="Arial"/>
          <w:sz w:val="18"/>
          <w:szCs w:val="18"/>
          <w:color w:val="auto"/>
        </w:rPr>
        <w:t>Deferred voyage revenue primarily relates to cash received from charterers prior to it being</w:t>
      </w:r>
      <w:r>
        <w:rPr>
          <w:rFonts w:ascii="Arial" w:cs="Arial" w:eastAsia="Arial" w:hAnsi="Arial"/>
          <w:sz w:val="18"/>
          <w:szCs w:val="18"/>
          <w:b w:val="1"/>
          <w:bCs w:val="1"/>
          <w:color w:val="auto"/>
        </w:rPr>
        <w:t xml:space="preserve"> </w:t>
      </w:r>
      <w:r>
        <w:rPr>
          <w:rFonts w:ascii="Arial" w:cs="Arial" w:eastAsia="Arial" w:hAnsi="Arial"/>
          <w:sz w:val="18"/>
          <w:szCs w:val="18"/>
          <w:color w:val="auto"/>
        </w:rPr>
        <w:t>earned. These amounts are recognized as revenue over the voyage or charter period.</w:t>
      </w:r>
    </w:p>
    <w:p>
      <w:pPr>
        <w:spacing w:after="0" w:line="54" w:lineRule="exact"/>
        <w:rPr>
          <w:sz w:val="20"/>
          <w:szCs w:val="20"/>
          <w:color w:val="auto"/>
        </w:rPr>
      </w:pPr>
    </w:p>
    <w:p>
      <w:pPr>
        <w:ind w:left="560" w:right="80"/>
        <w:spacing w:after="0" w:line="274" w:lineRule="auto"/>
        <w:rPr>
          <w:sz w:val="20"/>
          <w:szCs w:val="20"/>
          <w:color w:val="auto"/>
        </w:rPr>
      </w:pPr>
      <w:r>
        <w:rPr>
          <w:rFonts w:ascii="Arial" w:cs="Arial" w:eastAsia="Arial" w:hAnsi="Arial"/>
          <w:sz w:val="17"/>
          <w:szCs w:val="17"/>
          <w:b w:val="1"/>
          <w:bCs w:val="1"/>
          <w:color w:val="auto"/>
        </w:rPr>
        <w:t xml:space="preserve">Time Charter, Voyage and Logistics Business Expenses: </w:t>
      </w:r>
      <w:r>
        <w:rPr>
          <w:rFonts w:ascii="Arial" w:cs="Arial" w:eastAsia="Arial" w:hAnsi="Arial"/>
          <w:sz w:val="17"/>
          <w:szCs w:val="17"/>
          <w:color w:val="auto"/>
        </w:rPr>
        <w:t>Time charter, voyage and logistics business expenses comprise all expenses related to</w:t>
      </w:r>
      <w:r>
        <w:rPr>
          <w:rFonts w:ascii="Arial" w:cs="Arial" w:eastAsia="Arial" w:hAnsi="Arial"/>
          <w:sz w:val="17"/>
          <w:szCs w:val="17"/>
          <w:b w:val="1"/>
          <w:bCs w:val="1"/>
          <w:color w:val="auto"/>
        </w:rPr>
        <w:t xml:space="preserve"> </w:t>
      </w:r>
      <w:r>
        <w:rPr>
          <w:rFonts w:ascii="Arial" w:cs="Arial" w:eastAsia="Arial" w:hAnsi="Arial"/>
          <w:sz w:val="17"/>
          <w:szCs w:val="17"/>
          <w:color w:val="auto"/>
        </w:rPr>
        <w:t>each particular voyage, including time charter hire paid and voyage freight paid, bunkers, port charges, canal tolls, cargo handling, agency fees and brokerage commissions. Also included in time charter, voyage and logistics business expenses are charterers’ liability insurances, allowance for credit losses on time charters and voyages in progress at year-end, direct port terminal expenses and other miscellaneous expenses. In the transition to ASC 842, the operating lease assets were adjusted for the carrying amount of the liability regarding the allowance for credit losses on time charters and voyages in progress on that date.</w:t>
      </w:r>
    </w:p>
    <w:p>
      <w:pPr>
        <w:spacing w:after="0" w:line="65" w:lineRule="exact"/>
        <w:rPr>
          <w:sz w:val="20"/>
          <w:szCs w:val="20"/>
          <w:color w:val="auto"/>
        </w:rPr>
      </w:pPr>
    </w:p>
    <w:p>
      <w:pPr>
        <w:ind w:left="560" w:right="20"/>
        <w:spacing w:after="0" w:line="270" w:lineRule="auto"/>
        <w:rPr>
          <w:sz w:val="20"/>
          <w:szCs w:val="20"/>
          <w:color w:val="auto"/>
        </w:rPr>
      </w:pPr>
      <w:r>
        <w:rPr>
          <w:rFonts w:ascii="Arial" w:cs="Arial" w:eastAsia="Arial" w:hAnsi="Arial"/>
          <w:sz w:val="17"/>
          <w:szCs w:val="17"/>
          <w:b w:val="1"/>
          <w:bCs w:val="1"/>
          <w:color w:val="auto"/>
        </w:rPr>
        <w:t xml:space="preserve">Direct Vessel Expenses: </w:t>
      </w:r>
      <w:r>
        <w:rPr>
          <w:rFonts w:ascii="Arial" w:cs="Arial" w:eastAsia="Arial" w:hAnsi="Arial"/>
          <w:sz w:val="17"/>
          <w:szCs w:val="17"/>
          <w:color w:val="auto"/>
        </w:rPr>
        <w:t>Direct vessel expenses consisted of all expenses relating to the operation of vessels, including crewing, repairs and</w:t>
      </w:r>
      <w:r>
        <w:rPr>
          <w:rFonts w:ascii="Arial" w:cs="Arial" w:eastAsia="Arial" w:hAnsi="Arial"/>
          <w:sz w:val="17"/>
          <w:szCs w:val="17"/>
          <w:b w:val="1"/>
          <w:bCs w:val="1"/>
          <w:color w:val="auto"/>
        </w:rPr>
        <w:t xml:space="preserve"> </w:t>
      </w:r>
      <w:r>
        <w:rPr>
          <w:rFonts w:ascii="Arial" w:cs="Arial" w:eastAsia="Arial" w:hAnsi="Arial"/>
          <w:sz w:val="17"/>
          <w:szCs w:val="17"/>
          <w:color w:val="auto"/>
        </w:rPr>
        <w:t>maintenance, insurance, stores and lubricants and miscellaneous expenses such as communications and amortization of drydocking and special survey costs, net of related party management fees for vessel operating expenses. Following the sale of the management division effected on August 30, 2019, outlined in Note 3, these services are provided to Navios Holdings’ vessels by NSM, pursuant to a management agreement dated August 29, 2019 (“Management Agreement”) (see also Note 16). The fee for the ship management services provided by the Manager is a daily fee of $3.7 per day per owned vessel. This rate is fixed for a two-year period and will increase thereafter by 3% annually, unless otherwise agreed. The fee for the ship management services provided by the Manager is a daily fee of $0.03 per day per charter-in vessel. Drydocking expenses under this agreement will be reimbursed by Navios Holdings at cost. The agreement also provides for payment of a termination fee, equal to the fees charged for the full calendar year preceding the termination date, by Navios Holdings in the event the Management Agreement is terminated on or before August 29, 2024.</w:t>
      </w:r>
    </w:p>
    <w:p>
      <w:pPr>
        <w:spacing w:after="0" w:line="69" w:lineRule="exact"/>
        <w:rPr>
          <w:sz w:val="20"/>
          <w:szCs w:val="20"/>
          <w:color w:val="auto"/>
        </w:rPr>
      </w:pPr>
    </w:p>
    <w:p>
      <w:pPr>
        <w:ind w:left="560" w:right="120"/>
        <w:spacing w:after="0" w:line="282" w:lineRule="auto"/>
        <w:rPr>
          <w:sz w:val="20"/>
          <w:szCs w:val="20"/>
          <w:color w:val="auto"/>
        </w:rPr>
      </w:pPr>
      <w:r>
        <w:rPr>
          <w:rFonts w:ascii="Arial" w:cs="Arial" w:eastAsia="Arial" w:hAnsi="Arial"/>
          <w:sz w:val="18"/>
          <w:szCs w:val="18"/>
          <w:b w:val="1"/>
          <w:bCs w:val="1"/>
          <w:color w:val="auto"/>
        </w:rPr>
        <w:t xml:space="preserve">Prepaid Voyage Costs: </w:t>
      </w:r>
      <w:r>
        <w:rPr>
          <w:rFonts w:ascii="Arial" w:cs="Arial" w:eastAsia="Arial" w:hAnsi="Arial"/>
          <w:sz w:val="18"/>
          <w:szCs w:val="18"/>
          <w:color w:val="auto"/>
        </w:rPr>
        <w:t>Prepaid voyage costs relate to cash paid in advance for expenses associated with voyages. These amounts are recognized</w:t>
      </w:r>
      <w:r>
        <w:rPr>
          <w:rFonts w:ascii="Arial" w:cs="Arial" w:eastAsia="Arial" w:hAnsi="Arial"/>
          <w:sz w:val="18"/>
          <w:szCs w:val="18"/>
          <w:b w:val="1"/>
          <w:bCs w:val="1"/>
          <w:color w:val="auto"/>
        </w:rPr>
        <w:t xml:space="preserve"> </w:t>
      </w:r>
      <w:r>
        <w:rPr>
          <w:rFonts w:ascii="Arial" w:cs="Arial" w:eastAsia="Arial" w:hAnsi="Arial"/>
          <w:sz w:val="18"/>
          <w:szCs w:val="18"/>
          <w:color w:val="auto"/>
        </w:rPr>
        <w:t>as expenses over the voyage or charter period.</w:t>
      </w:r>
    </w:p>
    <w:p>
      <w:pPr>
        <w:spacing w:after="0" w:line="71" w:lineRule="exact"/>
        <w:rPr>
          <w:sz w:val="20"/>
          <w:szCs w:val="20"/>
          <w:color w:val="auto"/>
        </w:rPr>
      </w:pPr>
    </w:p>
    <w:p>
      <w:pPr>
        <w:ind w:left="540" w:hanging="424"/>
        <w:spacing w:after="0"/>
        <w:tabs>
          <w:tab w:leader="none" w:pos="540" w:val="left"/>
        </w:tabs>
        <w:numPr>
          <w:ilvl w:val="0"/>
          <w:numId w:val="12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Employee benefits:</w:t>
      </w:r>
    </w:p>
    <w:p>
      <w:pPr>
        <w:spacing w:after="0" w:line="113" w:lineRule="exact"/>
        <w:rPr>
          <w:rFonts w:ascii="Arial" w:cs="Arial" w:eastAsia="Arial" w:hAnsi="Arial"/>
          <w:sz w:val="18"/>
          <w:szCs w:val="18"/>
          <w:b w:val="1"/>
          <w:bCs w:val="1"/>
          <w:i w:val="1"/>
          <w:iCs w:val="1"/>
          <w:color w:val="auto"/>
        </w:rPr>
      </w:pPr>
    </w:p>
    <w:p>
      <w:pPr>
        <w:jc w:val="both"/>
        <w:ind w:left="560" w:right="200"/>
        <w:spacing w:after="0" w:line="266" w:lineRule="auto"/>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 xml:space="preserve">Pension and Retirement Obligations-Crew: </w:t>
      </w:r>
      <w:r>
        <w:rPr>
          <w:rFonts w:ascii="Arial" w:cs="Arial" w:eastAsia="Arial" w:hAnsi="Arial"/>
          <w:sz w:val="18"/>
          <w:szCs w:val="18"/>
          <w:color w:val="auto"/>
        </w:rPr>
        <w:t>The Company’s ship-owning subsidiaries employed the crew on board under short-term contracts</w:t>
      </w:r>
      <w:r>
        <w:rPr>
          <w:rFonts w:ascii="Arial" w:cs="Arial" w:eastAsia="Arial" w:hAnsi="Arial"/>
          <w:sz w:val="18"/>
          <w:szCs w:val="18"/>
          <w:b w:val="1"/>
          <w:bCs w:val="1"/>
          <w:color w:val="auto"/>
        </w:rPr>
        <w:t xml:space="preserve"> </w:t>
      </w:r>
      <w:r>
        <w:rPr>
          <w:rFonts w:ascii="Arial" w:cs="Arial" w:eastAsia="Arial" w:hAnsi="Arial"/>
          <w:sz w:val="18"/>
          <w:szCs w:val="18"/>
          <w:color w:val="auto"/>
        </w:rPr>
        <w:t>(usually up to nine months) and, accordingly, were not liable for any pension or post-retirement benefits. Following the sale of the management division effected on August 30, 2019, outlined in Note 3, Navios Holdings does not employ any crew.</w:t>
      </w:r>
    </w:p>
    <w:p>
      <w:pPr>
        <w:spacing w:after="0" w:line="67" w:lineRule="exact"/>
        <w:rPr>
          <w:rFonts w:ascii="Arial" w:cs="Arial" w:eastAsia="Arial" w:hAnsi="Arial"/>
          <w:sz w:val="18"/>
          <w:szCs w:val="18"/>
          <w:b w:val="1"/>
          <w:bCs w:val="1"/>
          <w:i w:val="1"/>
          <w:iCs w:val="1"/>
          <w:color w:val="auto"/>
        </w:rPr>
      </w:pPr>
    </w:p>
    <w:p>
      <w:pPr>
        <w:ind w:left="560"/>
        <w:spacing w:after="0" w:line="269" w:lineRule="auto"/>
        <w:rPr>
          <w:rFonts w:ascii="Arial" w:cs="Arial" w:eastAsia="Arial" w:hAnsi="Arial"/>
          <w:sz w:val="18"/>
          <w:szCs w:val="18"/>
          <w:b w:val="1"/>
          <w:bCs w:val="1"/>
          <w:i w:val="1"/>
          <w:iCs w:val="1"/>
          <w:color w:val="auto"/>
        </w:rPr>
      </w:pPr>
      <w:r>
        <w:rPr>
          <w:rFonts w:ascii="Arial" w:cs="Arial" w:eastAsia="Arial" w:hAnsi="Arial"/>
          <w:sz w:val="17"/>
          <w:szCs w:val="17"/>
          <w:b w:val="1"/>
          <w:bCs w:val="1"/>
          <w:color w:val="auto"/>
        </w:rPr>
        <w:t xml:space="preserve">Provision for Employees’ Severance and Retirement Compensation: </w:t>
      </w:r>
      <w:r>
        <w:rPr>
          <w:rFonts w:ascii="Arial" w:cs="Arial" w:eastAsia="Arial" w:hAnsi="Arial"/>
          <w:sz w:val="17"/>
          <w:szCs w:val="17"/>
          <w:color w:val="auto"/>
        </w:rPr>
        <w:t>The employees in the Company’s office in Greece were protected by</w:t>
      </w:r>
      <w:r>
        <w:rPr>
          <w:rFonts w:ascii="Arial" w:cs="Arial" w:eastAsia="Arial" w:hAnsi="Arial"/>
          <w:sz w:val="17"/>
          <w:szCs w:val="17"/>
          <w:b w:val="1"/>
          <w:bCs w:val="1"/>
          <w:color w:val="auto"/>
        </w:rPr>
        <w:t xml:space="preserve"> </w:t>
      </w:r>
      <w:r>
        <w:rPr>
          <w:rFonts w:ascii="Arial" w:cs="Arial" w:eastAsia="Arial" w:hAnsi="Arial"/>
          <w:sz w:val="17"/>
          <w:szCs w:val="17"/>
          <w:color w:val="auto"/>
        </w:rPr>
        <w:t>Greek labor law. According to the law, the Company was required to pay retirement indemnities to employees upon dismissal or upon leaving with an entitlement to a full security retirement pension. The amount of compensation was based on the number of years of service and the amount of remuneration at the date of dismissal or retirement up to a maximum of two years’ salary. If the employees remained in the employment of the Company until normal retirement age, they were entitled to retirement compensation which was equal to 40% of the compensation amount that would be payable if they were dismissed at that time. The number of employees that would remain with the Company until retirement age was not known. The Company considered this plan equivalent to a lump sum defined benefit pension plan and accounted for it under relevant guidance on employer’s accounting for pensions. The Company was required to annually value the statutory terminations indemnities liability. Management obtained a valuation from independent actuaries to assist in the calculation of the benefits. The Company provided, in full, for the employees’ termination indemnities liability. Following the sale of the management division effected on August 30, 2019, outlined in Note 3, this liability amounted to $0 as at December 31, 2020 and 2019.</w:t>
      </w:r>
    </w:p>
    <w:p>
      <w:pPr>
        <w:spacing w:after="0" w:line="73" w:lineRule="exact"/>
        <w:rPr>
          <w:rFonts w:ascii="Arial" w:cs="Arial" w:eastAsia="Arial" w:hAnsi="Arial"/>
          <w:sz w:val="18"/>
          <w:szCs w:val="18"/>
          <w:b w:val="1"/>
          <w:bCs w:val="1"/>
          <w:i w:val="1"/>
          <w:iCs w:val="1"/>
          <w:color w:val="auto"/>
        </w:rPr>
      </w:pPr>
    </w:p>
    <w:p>
      <w:pPr>
        <w:ind w:left="560" w:right="20"/>
        <w:spacing w:after="0" w:line="258" w:lineRule="auto"/>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 xml:space="preserve">U.S. Retirement Savings Plan: </w:t>
      </w:r>
      <w:r>
        <w:rPr>
          <w:rFonts w:ascii="Arial" w:cs="Arial" w:eastAsia="Arial" w:hAnsi="Arial"/>
          <w:sz w:val="18"/>
          <w:szCs w:val="18"/>
          <w:color w:val="auto"/>
        </w:rPr>
        <w:t>The Company sponsored a 401(k) retirement savings plan, which was categorized as a defined contribution plan.</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was available to full time employees who met the plan’s eligibility requirements. The plan permitted employees to make contributions up to 15% of their annual salary with the Company matching up to the first 6%. The Company made monthly contributions (matching contributions) to the plan based on amounts contributed by employees. Subsequent to making the matching contributions, the Company had no further obligations. The Company might make an additional</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40"/>
          </w:cols>
          <w:pgMar w:left="320" w:top="459" w:right="4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NAVIOS MARITIME HOLDINGS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(Expressed in thousands of U.S. dollars — except share data)</w:t>
      </w:r>
    </w:p>
    <w:p>
      <w:pPr>
        <w:spacing w:after="0" w:line="143" w:lineRule="exact"/>
        <w:rPr>
          <w:sz w:val="20"/>
          <w:szCs w:val="20"/>
          <w:color w:val="auto"/>
        </w:rPr>
      </w:pPr>
    </w:p>
    <w:p>
      <w:pPr>
        <w:ind w:left="560" w:right="60"/>
        <w:spacing w:after="0" w:line="263" w:lineRule="auto"/>
        <w:rPr>
          <w:sz w:val="20"/>
          <w:szCs w:val="20"/>
          <w:color w:val="auto"/>
        </w:rPr>
      </w:pPr>
      <w:r>
        <w:rPr>
          <w:rFonts w:ascii="Arial" w:cs="Arial" w:eastAsia="Arial" w:hAnsi="Arial"/>
          <w:sz w:val="18"/>
          <w:szCs w:val="18"/>
          <w:color w:val="auto"/>
        </w:rPr>
        <w:t>discretionary contribution annually if such a contribution was authorized by the Board of Directors. The plan was administered by an independent professional firm that specialized in providing such services. See also Note 13. Following the sale of the management division effected on August 30, 2019, outlined in Note 3, these benefits are provided by NSM.</w:t>
      </w:r>
    </w:p>
    <w:p>
      <w:pPr>
        <w:spacing w:after="0" w:line="72" w:lineRule="exact"/>
        <w:rPr>
          <w:sz w:val="20"/>
          <w:szCs w:val="20"/>
          <w:color w:val="auto"/>
        </w:rPr>
      </w:pPr>
    </w:p>
    <w:p>
      <w:pPr>
        <w:ind w:left="560" w:right="120"/>
        <w:spacing w:after="0" w:line="281" w:lineRule="auto"/>
        <w:rPr>
          <w:sz w:val="20"/>
          <w:szCs w:val="20"/>
          <w:color w:val="auto"/>
        </w:rPr>
      </w:pPr>
      <w:r>
        <w:rPr>
          <w:rFonts w:ascii="Arial" w:cs="Arial" w:eastAsia="Arial" w:hAnsi="Arial"/>
          <w:sz w:val="17"/>
          <w:szCs w:val="17"/>
          <w:b w:val="1"/>
          <w:bCs w:val="1"/>
          <w:color w:val="auto"/>
        </w:rPr>
        <w:t xml:space="preserve">Other Post-Retirement Obligations: </w:t>
      </w:r>
      <w:r>
        <w:rPr>
          <w:rFonts w:ascii="Arial" w:cs="Arial" w:eastAsia="Arial" w:hAnsi="Arial"/>
          <w:sz w:val="17"/>
          <w:szCs w:val="17"/>
          <w:color w:val="auto"/>
        </w:rPr>
        <w:t>The Company had a legacy pension arrangement for certain Bahamian, Uruguayan and former Navios</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employees. The entitlement to these benefits was only to these former employees. The expected costs of these benefits were accrued each year, using an accounting methodology similar to that for defined benefit pension plans. Following the sale of the management division effected on August 30, 2019, outlined in Note 3, the Company has no such arrangements.</w:t>
      </w:r>
    </w:p>
    <w:p>
      <w:pPr>
        <w:spacing w:after="0" w:line="57" w:lineRule="exact"/>
        <w:rPr>
          <w:sz w:val="20"/>
          <w:szCs w:val="20"/>
          <w:color w:val="auto"/>
        </w:rPr>
      </w:pPr>
    </w:p>
    <w:p>
      <w:pPr>
        <w:ind w:left="560"/>
        <w:spacing w:after="0" w:line="261" w:lineRule="auto"/>
        <w:rPr>
          <w:sz w:val="20"/>
          <w:szCs w:val="20"/>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color w:val="auto"/>
        </w:rPr>
        <w:t>In December 2020, February and December 2019, the Company authorized the grant of restricted common stock. In</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2017, the Company authorized the grant of restricted common stock and restricted stock units. These awards of restricted share units, share appreciation rights, restricted common stock, restricted stock units and stock options are based on service conditions only and vest over three and four years. See also Note 13.</w:t>
      </w:r>
    </w:p>
    <w:p>
      <w:pPr>
        <w:spacing w:after="0" w:line="76" w:lineRule="exact"/>
        <w:rPr>
          <w:sz w:val="20"/>
          <w:szCs w:val="20"/>
          <w:color w:val="auto"/>
        </w:rPr>
      </w:pPr>
    </w:p>
    <w:p>
      <w:pPr>
        <w:ind w:left="560"/>
        <w:spacing w:after="0" w:line="275" w:lineRule="auto"/>
        <w:rPr>
          <w:sz w:val="20"/>
          <w:szCs w:val="20"/>
          <w:color w:val="auto"/>
        </w:rPr>
      </w:pPr>
      <w:r>
        <w:rPr>
          <w:rFonts w:ascii="Arial" w:cs="Arial" w:eastAsia="Arial" w:hAnsi="Arial"/>
          <w:sz w:val="17"/>
          <w:szCs w:val="17"/>
          <w:color w:val="auto"/>
        </w:rPr>
        <w:t>The fair value of share appreciation rights and stock option grants is determined with reference to option pricing model and principally adjusted Black-Scholes models. The fair value of restricted share units, restricted stock and restricted stock units is determined by reference to the quoted stock price on the date of grant. Compensation expense, net of estimated forfeitures, is recognized based on a graded expense model over the vesting period. Compensation expense for the awards that vest upon achievement of the performance criteria is recognized when it is probable that the performance criteria will be met and are being accounted for as equity.</w:t>
      </w:r>
    </w:p>
    <w:p>
      <w:pPr>
        <w:spacing w:after="0" w:line="82" w:lineRule="exact"/>
        <w:rPr>
          <w:sz w:val="20"/>
          <w:szCs w:val="20"/>
          <w:color w:val="auto"/>
        </w:rPr>
      </w:pPr>
    </w:p>
    <w:p>
      <w:pPr>
        <w:ind w:left="540" w:right="100" w:hanging="424"/>
        <w:spacing w:after="0" w:line="259" w:lineRule="auto"/>
        <w:tabs>
          <w:tab w:leader="none" w:pos="540" w:val="left"/>
        </w:tabs>
        <w:numPr>
          <w:ilvl w:val="0"/>
          <w:numId w:val="12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Financial Instruments: </w:t>
      </w:r>
      <w:r>
        <w:rPr>
          <w:rFonts w:ascii="Arial" w:cs="Arial" w:eastAsia="Arial" w:hAnsi="Arial"/>
          <w:sz w:val="18"/>
          <w:szCs w:val="18"/>
          <w:color w:val="auto"/>
        </w:rPr>
        <w:t>Financial instruments carried on the balance sheet include cash and cash equivalents, restricted cash, account receivables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payables, other current assets and other liabilities, long-term debt, capital leases and available-for-sale securities. The particular recognition methods applicable to each class of financial instrument are disclosed in the applicable significant policy description of each item, or included below as applicable.</w:t>
      </w:r>
    </w:p>
    <w:p>
      <w:pPr>
        <w:spacing w:after="0" w:line="74" w:lineRule="exact"/>
        <w:rPr>
          <w:rFonts w:ascii="Arial" w:cs="Arial" w:eastAsia="Arial" w:hAnsi="Arial"/>
          <w:sz w:val="18"/>
          <w:szCs w:val="18"/>
          <w:b w:val="1"/>
          <w:bCs w:val="1"/>
          <w:i w:val="1"/>
          <w:iCs w:val="1"/>
          <w:color w:val="auto"/>
        </w:rPr>
      </w:pPr>
    </w:p>
    <w:p>
      <w:pPr>
        <w:jc w:val="both"/>
        <w:ind w:left="560" w:right="60"/>
        <w:spacing w:after="0" w:line="266" w:lineRule="auto"/>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 xml:space="preserve">Financial Risk Management: </w:t>
      </w:r>
      <w:r>
        <w:rPr>
          <w:rFonts w:ascii="Arial" w:cs="Arial" w:eastAsia="Arial" w:hAnsi="Arial"/>
          <w:sz w:val="18"/>
          <w:szCs w:val="18"/>
          <w:color w:val="auto"/>
        </w:rPr>
        <w:t>The Company’s activities expose it to a variety of financial risks including fluctuations in future freight rates, time</w:t>
      </w:r>
      <w:r>
        <w:rPr>
          <w:rFonts w:ascii="Arial" w:cs="Arial" w:eastAsia="Arial" w:hAnsi="Arial"/>
          <w:sz w:val="18"/>
          <w:szCs w:val="18"/>
          <w:b w:val="1"/>
          <w:bCs w:val="1"/>
          <w:color w:val="auto"/>
        </w:rPr>
        <w:t xml:space="preserve"> </w:t>
      </w:r>
      <w:r>
        <w:rPr>
          <w:rFonts w:ascii="Arial" w:cs="Arial" w:eastAsia="Arial" w:hAnsi="Arial"/>
          <w:sz w:val="18"/>
          <w:szCs w:val="18"/>
          <w:color w:val="auto"/>
        </w:rPr>
        <w:t>charter hire rates, fuel prices and credit and interest rates risk. Risk management is carried out under policies approved by executive management. Guidelines are established for overall risk management, as well as specific areas of operations.</w:t>
      </w:r>
    </w:p>
    <w:p>
      <w:pPr>
        <w:spacing w:after="0" w:line="67" w:lineRule="exact"/>
        <w:rPr>
          <w:rFonts w:ascii="Arial" w:cs="Arial" w:eastAsia="Arial" w:hAnsi="Arial"/>
          <w:sz w:val="18"/>
          <w:szCs w:val="18"/>
          <w:b w:val="1"/>
          <w:bCs w:val="1"/>
          <w:i w:val="1"/>
          <w:iCs w:val="1"/>
          <w:color w:val="auto"/>
        </w:rPr>
      </w:pPr>
    </w:p>
    <w:p>
      <w:pPr>
        <w:ind w:left="560" w:right="80"/>
        <w:spacing w:after="0" w:line="261" w:lineRule="auto"/>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 xml:space="preserve">Credit Risk: </w:t>
      </w:r>
      <w:r>
        <w:rPr>
          <w:rFonts w:ascii="Arial" w:cs="Arial" w:eastAsia="Arial" w:hAnsi="Arial"/>
          <w:sz w:val="18"/>
          <w:szCs w:val="18"/>
          <w:color w:val="auto"/>
        </w:rPr>
        <w:t>The Company closely monitors its exposure to customers and counterparties for credit risk. The Company has entered into the</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Agreement with the Manager, pursuant to which the Manager agreed to provide commercial and technical management services to Navios Holdings. When negotiating on behalf of Navios Holdings various employment contracts, the Manager has policies in place to ensure that it trades with customers and counterparties with an appropriate credit history.</w:t>
      </w:r>
    </w:p>
    <w:p>
      <w:pPr>
        <w:spacing w:after="0" w:line="71" w:lineRule="exact"/>
        <w:rPr>
          <w:rFonts w:ascii="Arial" w:cs="Arial" w:eastAsia="Arial" w:hAnsi="Arial"/>
          <w:sz w:val="18"/>
          <w:szCs w:val="18"/>
          <w:b w:val="1"/>
          <w:bCs w:val="1"/>
          <w:i w:val="1"/>
          <w:iCs w:val="1"/>
          <w:color w:val="auto"/>
        </w:rPr>
      </w:pPr>
    </w:p>
    <w:p>
      <w:pPr>
        <w:ind w:left="560" w:right="380"/>
        <w:spacing w:after="0" w:line="266" w:lineRule="auto"/>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 xml:space="preserve">Liquidity Risk: </w:t>
      </w:r>
      <w:r>
        <w:rPr>
          <w:rFonts w:ascii="Arial" w:cs="Arial" w:eastAsia="Arial" w:hAnsi="Arial"/>
          <w:sz w:val="18"/>
          <w:szCs w:val="18"/>
          <w:color w:val="auto"/>
        </w:rPr>
        <w:t>Prudent liquidity risk management implies maintaining sufficient cash and marketable securities, the availability of funding</w:t>
      </w:r>
      <w:r>
        <w:rPr>
          <w:rFonts w:ascii="Arial" w:cs="Arial" w:eastAsia="Arial" w:hAnsi="Arial"/>
          <w:sz w:val="18"/>
          <w:szCs w:val="18"/>
          <w:b w:val="1"/>
          <w:bCs w:val="1"/>
          <w:color w:val="auto"/>
        </w:rPr>
        <w:t xml:space="preserve"> </w:t>
      </w:r>
      <w:r>
        <w:rPr>
          <w:rFonts w:ascii="Arial" w:cs="Arial" w:eastAsia="Arial" w:hAnsi="Arial"/>
          <w:sz w:val="18"/>
          <w:szCs w:val="18"/>
          <w:color w:val="auto"/>
        </w:rPr>
        <w:t>through an adequate amount of committed credit facilities and the ability to close out market positions. The Company monitors cash balances appropriately to meet working capital needs.</w:t>
      </w:r>
    </w:p>
    <w:p>
      <w:pPr>
        <w:spacing w:after="0" w:line="67" w:lineRule="exact"/>
        <w:rPr>
          <w:rFonts w:ascii="Arial" w:cs="Arial" w:eastAsia="Arial" w:hAnsi="Arial"/>
          <w:sz w:val="18"/>
          <w:szCs w:val="18"/>
          <w:b w:val="1"/>
          <w:bCs w:val="1"/>
          <w:i w:val="1"/>
          <w:iCs w:val="1"/>
          <w:color w:val="auto"/>
        </w:rPr>
      </w:pPr>
    </w:p>
    <w:p>
      <w:pPr>
        <w:ind w:left="560" w:right="220"/>
        <w:spacing w:after="0" w:line="314" w:lineRule="auto"/>
        <w:rPr>
          <w:rFonts w:ascii="Arial" w:cs="Arial" w:eastAsia="Arial" w:hAnsi="Arial"/>
          <w:sz w:val="18"/>
          <w:szCs w:val="18"/>
          <w:b w:val="1"/>
          <w:bCs w:val="1"/>
          <w:i w:val="1"/>
          <w:iCs w:val="1"/>
          <w:color w:val="auto"/>
        </w:rPr>
      </w:pPr>
      <w:r>
        <w:rPr>
          <w:rFonts w:ascii="Arial" w:cs="Arial" w:eastAsia="Arial" w:hAnsi="Arial"/>
          <w:sz w:val="16"/>
          <w:szCs w:val="16"/>
          <w:b w:val="1"/>
          <w:bCs w:val="1"/>
          <w:color w:val="auto"/>
        </w:rPr>
        <w:t xml:space="preserve">Foreign Exchange Risk: </w:t>
      </w:r>
      <w:r>
        <w:rPr>
          <w:rFonts w:ascii="Arial" w:cs="Arial" w:eastAsia="Arial" w:hAnsi="Arial"/>
          <w:sz w:val="16"/>
          <w:szCs w:val="16"/>
          <w:color w:val="auto"/>
        </w:rPr>
        <w:t>Foreign currency transactions are translated into the measurement currency at rates prevailing on the dates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relevant transactions. Foreign exchange gains and losses resulting from the settlement of such transactions and from the translation of monetary assets and liabilities denominated in foreign currencies are recognized in the consolidated statements of comprehensive (loss)/income.</w:t>
      </w:r>
    </w:p>
    <w:p>
      <w:pPr>
        <w:spacing w:after="0" w:line="51" w:lineRule="exact"/>
        <w:rPr>
          <w:rFonts w:ascii="Arial" w:cs="Arial" w:eastAsia="Arial" w:hAnsi="Arial"/>
          <w:sz w:val="18"/>
          <w:szCs w:val="18"/>
          <w:b w:val="1"/>
          <w:bCs w:val="1"/>
          <w:i w:val="1"/>
          <w:iCs w:val="1"/>
          <w:color w:val="auto"/>
        </w:rPr>
      </w:pPr>
    </w:p>
    <w:p>
      <w:pPr>
        <w:ind w:left="540" w:hanging="424"/>
        <w:spacing w:after="0" w:line="269" w:lineRule="auto"/>
        <w:tabs>
          <w:tab w:leader="none" w:pos="540" w:val="left"/>
        </w:tabs>
        <w:numPr>
          <w:ilvl w:val="0"/>
          <w:numId w:val="127"/>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(Loss)/Earnings Per Share: </w:t>
      </w:r>
      <w:r>
        <w:rPr>
          <w:rFonts w:ascii="Arial" w:cs="Arial" w:eastAsia="Arial" w:hAnsi="Arial"/>
          <w:sz w:val="17"/>
          <w:szCs w:val="17"/>
          <w:color w:val="auto"/>
        </w:rPr>
        <w:t>Basic (loss)/earnings per share are computed by dividing net (loss)/income attributable to Navios Holdings common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stockholders by the weighted average number of shares of common stock outstanding during the periods presented. Net (loss)/income attributable to Navios Holdings common stockholders is calculated by adding to (if a discount) or deducting from (if a premium) net (loss)/ income attributable to Navios Holdings common stockholders the difference between the fair value of the consideration paid upon redemption and the carrying value of the preferred stock, including the unamortized issuance costs of the preferred stock, and the amount of any undeclared dividend cancelled. Diluted (loss)/earnings per share reflect the potential dilution that would occur if securities or other contracts to issue common stock were exercised or converted. Dilution has been computed by the treasury stock method whereby all of the Company’s dilutive securities (stock options and warrants) are assumed to be exercised and the proceeds are used to repurchase common shares at the weighted average market price of the Company’s common stock during the relevant periods. The incremental shares (the difference between the number of shares assumed issued and the number of shares assumed purchased) are included in the</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20"/>
          </w:cols>
          <w:pgMar w:left="320" w:top="459" w:right="4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NAVIOS MARITIME HOLDINGS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(Expressed in thousands of U.S. dollars — except share data)</w:t>
      </w:r>
    </w:p>
    <w:p>
      <w:pPr>
        <w:spacing w:after="0" w:line="143" w:lineRule="exact"/>
        <w:rPr>
          <w:sz w:val="20"/>
          <w:szCs w:val="20"/>
          <w:color w:val="auto"/>
        </w:rPr>
      </w:pPr>
    </w:p>
    <w:p>
      <w:pPr>
        <w:ind w:left="560" w:right="160"/>
        <w:spacing w:after="0" w:line="257" w:lineRule="auto"/>
        <w:rPr>
          <w:sz w:val="20"/>
          <w:szCs w:val="20"/>
          <w:color w:val="auto"/>
        </w:rPr>
      </w:pPr>
      <w:r>
        <w:rPr>
          <w:rFonts w:ascii="Arial" w:cs="Arial" w:eastAsia="Arial" w:hAnsi="Arial"/>
          <w:sz w:val="18"/>
          <w:szCs w:val="18"/>
          <w:color w:val="auto"/>
        </w:rPr>
        <w:t>denominator of the diluted (loss)/earnings per share computation. Restricted share units, restricted stock and restricted stock units (vested and unvested) are included in the calculation of the diluted (loss)/earnings per share, based on the weighted average number of restricted share units, restricted stock and restricted stock units assumed to be outstanding during the period. Convertible shares are included in the calculation of the diluted (loss)/earnings per share, based on the weighted average number of convertible shares assumed to be outstanding during the period. See also Note 20.</w:t>
      </w:r>
    </w:p>
    <w:p>
      <w:pPr>
        <w:spacing w:after="0" w:line="93" w:lineRule="exact"/>
        <w:rPr>
          <w:sz w:val="20"/>
          <w:szCs w:val="20"/>
          <w:color w:val="auto"/>
        </w:rPr>
      </w:pPr>
    </w:p>
    <w:p>
      <w:pPr>
        <w:ind w:left="540" w:hanging="431"/>
        <w:spacing w:after="0" w:line="279" w:lineRule="auto"/>
        <w:tabs>
          <w:tab w:leader="none" w:pos="52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w:t>
      </w:r>
      <w:r>
        <w:rPr>
          <w:sz w:val="20"/>
          <w:szCs w:val="20"/>
          <w:color w:val="auto"/>
        </w:rPr>
        <w:tab/>
      </w:r>
      <w:r>
        <w:rPr>
          <w:rFonts w:ascii="Arial" w:cs="Arial" w:eastAsia="Arial" w:hAnsi="Arial"/>
          <w:sz w:val="17"/>
          <w:szCs w:val="17"/>
          <w:i w:val="1"/>
          <w:iCs w:val="1"/>
          <w:color w:val="auto"/>
        </w:rPr>
        <w:t>I</w:t>
      </w:r>
      <w:r>
        <w:rPr>
          <w:rFonts w:ascii="Arial" w:cs="Arial" w:eastAsia="Arial" w:hAnsi="Arial"/>
          <w:sz w:val="17"/>
          <w:szCs w:val="17"/>
          <w:b w:val="1"/>
          <w:bCs w:val="1"/>
          <w:i w:val="1"/>
          <w:iCs w:val="1"/>
          <w:color w:val="auto"/>
        </w:rPr>
        <w:t>ncome Taxes:</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is a Marshall Islands corporation. Pursuant to various treaties and the United States Internal Revenue Code,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believes that substantially all its operations are exempt from income taxes in the Marshall Islands and the United States of America. The tax expense reflected in the Company’s consolidated financial statements for the years ended December 31, 2020, 2019 and 2018 was mainly attributable to its subsidiaries in South America, which are subject to the Argentinean and Paraguayan income tax regimes.</w:t>
      </w:r>
    </w:p>
    <w:p>
      <w:pPr>
        <w:spacing w:after="0" w:line="63" w:lineRule="exact"/>
        <w:rPr>
          <w:sz w:val="20"/>
          <w:szCs w:val="20"/>
          <w:color w:val="auto"/>
        </w:rPr>
      </w:pPr>
    </w:p>
    <w:p>
      <w:pPr>
        <w:ind w:left="560" w:right="20"/>
        <w:spacing w:after="0" w:line="272" w:lineRule="auto"/>
        <w:rPr>
          <w:sz w:val="20"/>
          <w:szCs w:val="20"/>
          <w:color w:val="auto"/>
        </w:rPr>
      </w:pPr>
      <w:r>
        <w:rPr>
          <w:rFonts w:ascii="Arial" w:cs="Arial" w:eastAsia="Arial" w:hAnsi="Arial"/>
          <w:sz w:val="17"/>
          <w:szCs w:val="17"/>
          <w:color w:val="auto"/>
        </w:rPr>
        <w:t>The asset and liability method is used to account for future income taxes. Under this method, future income tax assets and liabilities are recognized for the estimated future tax consequences attributable to differences between the financial statement carrying amounts and the tax bases of assets and liabilities. Future income tax assets and liabilities are measured using enacted tax rates in effect for the year in which those temporary differences are expected to be recovered or settled. The effect on future income tax assets and liabilities of a change in tax rates is recognized in income in the period that includes the enactment date. A deferred tax asset is recognized for temporary differences that will result in deductible amounts in future years. A valuation allowance is recognized if, based on the weight of available evidence, it is more likely than not that some portion or all of the deferred tax asset will not be realized.</w:t>
      </w:r>
    </w:p>
    <w:p>
      <w:pPr>
        <w:spacing w:after="0" w:line="69" w:lineRule="exact"/>
        <w:rPr>
          <w:sz w:val="20"/>
          <w:szCs w:val="20"/>
          <w:color w:val="auto"/>
        </w:rPr>
      </w:pPr>
    </w:p>
    <w:p>
      <w:pPr>
        <w:ind w:left="560" w:right="20"/>
        <w:spacing w:after="0" w:line="254" w:lineRule="auto"/>
        <w:rPr>
          <w:sz w:val="20"/>
          <w:szCs w:val="20"/>
          <w:color w:val="auto"/>
        </w:rPr>
      </w:pPr>
      <w:r>
        <w:rPr>
          <w:rFonts w:ascii="Arial" w:cs="Arial" w:eastAsia="Arial" w:hAnsi="Arial"/>
          <w:sz w:val="18"/>
          <w:szCs w:val="18"/>
          <w:color w:val="auto"/>
        </w:rPr>
        <w:t>On December 23, 2019, the Argentine government enacted the Law 27,541 which made changes to the income tax law in Argentina. The new law modifies the rates for income taxes applicable for the fiscal years beginning on January 1, 2020 and 2021. In measuring its income tax assets and liabilities, the Company used the rate that is expected to be enacted at the time of the reversal of the asset or liability in the calculation of the deferred tax for the items related to Argentina. An income tax rate of 30% was applied on temporary differences, reversals of which are expected to occur in respect of the 2020 and 2021 fiscal years, and a rate of 25% on temporary differences remaining thereafter. Due to these changes in the rate of the income tax, the Company has recorded an income tax expense $0 and $208 during the years ended December 31, 2020 and December 31, 2019, respectively, within the caption “Income tax (expense)/ benefit” in the consolidated statements of comprehensive (loss)/income.</w:t>
      </w:r>
    </w:p>
    <w:p>
      <w:pPr>
        <w:spacing w:after="0" w:line="97" w:lineRule="exact"/>
        <w:rPr>
          <w:sz w:val="20"/>
          <w:szCs w:val="20"/>
          <w:color w:val="auto"/>
        </w:rPr>
      </w:pPr>
    </w:p>
    <w:p>
      <w:pPr>
        <w:ind w:left="540" w:right="60" w:hanging="424"/>
        <w:spacing w:after="0" w:line="273" w:lineRule="auto"/>
        <w:tabs>
          <w:tab w:leader="none" w:pos="540" w:val="left"/>
        </w:tabs>
        <w:numPr>
          <w:ilvl w:val="0"/>
          <w:numId w:val="128"/>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Dividends: </w:t>
      </w:r>
      <w:r>
        <w:rPr>
          <w:rFonts w:ascii="Arial" w:cs="Arial" w:eastAsia="Arial" w:hAnsi="Arial"/>
          <w:sz w:val="17"/>
          <w:szCs w:val="17"/>
          <w:color w:val="auto"/>
        </w:rPr>
        <w:t>Dividends are recorded in the Company’s financial statements in the period in which they are declared. Navios Holdings paid $0 to 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common stockholders during each year ended December 31, 2020, 2019 and 2018, and $0 to its preferred stockholders during each year ended December 31, 2020, 2019 and 2018. In November 2015, Navios Holdings announced that the Board of Directors decided to suspend the dividend to its common stockholders. In February 2016, Navios Holdings announced the suspension of payment of quarterly dividends on its preferred stock, including the Series G Cumulative Redeemable Perpetual Preferred Stock (the “Series G”) and Series H Cumulative Redeemable Perpetual Preferred Stock (the “Series H”). All inter-company dividends are eliminated upon consolidation.</w:t>
      </w:r>
    </w:p>
    <w:p>
      <w:pPr>
        <w:spacing w:after="0" w:line="83" w:lineRule="exact"/>
        <w:rPr>
          <w:rFonts w:ascii="Arial" w:cs="Arial" w:eastAsia="Arial" w:hAnsi="Arial"/>
          <w:sz w:val="17"/>
          <w:szCs w:val="17"/>
          <w:b w:val="1"/>
          <w:bCs w:val="1"/>
          <w:i w:val="1"/>
          <w:iCs w:val="1"/>
          <w:color w:val="auto"/>
        </w:rPr>
      </w:pPr>
    </w:p>
    <w:p>
      <w:pPr>
        <w:ind w:left="540" w:right="60" w:hanging="424"/>
        <w:spacing w:after="0" w:line="259" w:lineRule="auto"/>
        <w:tabs>
          <w:tab w:leader="none" w:pos="540" w:val="left"/>
        </w:tabs>
        <w:numPr>
          <w:ilvl w:val="0"/>
          <w:numId w:val="12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Guarantees: </w:t>
      </w:r>
      <w:r>
        <w:rPr>
          <w:rFonts w:ascii="Arial" w:cs="Arial" w:eastAsia="Arial" w:hAnsi="Arial"/>
          <w:sz w:val="18"/>
          <w:szCs w:val="18"/>
          <w:color w:val="auto"/>
        </w:rPr>
        <w:t>A liability for the fair value of an obligation undertaken in issuing the guarantee is recognized. The recognition of fair value is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required for certain guarantees such as the parent’s guarantee of a subsidiary’s debt to a third party or guarantees on product warranties. For those guarantees excluded from the above guidance requiring the fair value recognition provision of the liability, financial statement disclosures of their terms are made.</w:t>
      </w:r>
    </w:p>
    <w:p>
      <w:pPr>
        <w:spacing w:after="0" w:line="78" w:lineRule="exact"/>
        <w:rPr>
          <w:rFonts w:ascii="Arial" w:cs="Arial" w:eastAsia="Arial" w:hAnsi="Arial"/>
          <w:sz w:val="18"/>
          <w:szCs w:val="18"/>
          <w:b w:val="1"/>
          <w:bCs w:val="1"/>
          <w:i w:val="1"/>
          <w:iCs w:val="1"/>
          <w:color w:val="auto"/>
        </w:rPr>
      </w:pPr>
    </w:p>
    <w:p>
      <w:pPr>
        <w:ind w:left="560" w:right="80"/>
        <w:spacing w:after="0" w:line="277" w:lineRule="auto"/>
        <w:rPr>
          <w:rFonts w:ascii="Arial" w:cs="Arial" w:eastAsia="Arial" w:hAnsi="Arial"/>
          <w:sz w:val="18"/>
          <w:szCs w:val="18"/>
          <w:b w:val="1"/>
          <w:bCs w:val="1"/>
          <w:i w:val="1"/>
          <w:iCs w:val="1"/>
          <w:color w:val="auto"/>
        </w:rPr>
      </w:pPr>
      <w:r>
        <w:rPr>
          <w:rFonts w:ascii="Arial" w:cs="Arial" w:eastAsia="Arial" w:hAnsi="Arial"/>
          <w:sz w:val="18"/>
          <w:szCs w:val="18"/>
          <w:color w:val="auto"/>
        </w:rPr>
        <w:t>On November 15, 2012, the Company agreed to provide Navios Partners with guarantees against counterparty default on certain existing charters (see also Note 16).</w:t>
      </w:r>
    </w:p>
    <w:p>
      <w:pPr>
        <w:spacing w:after="0" w:line="75" w:lineRule="exact"/>
        <w:rPr>
          <w:rFonts w:ascii="Arial" w:cs="Arial" w:eastAsia="Arial" w:hAnsi="Arial"/>
          <w:sz w:val="18"/>
          <w:szCs w:val="18"/>
          <w:b w:val="1"/>
          <w:bCs w:val="1"/>
          <w:i w:val="1"/>
          <w:iCs w:val="1"/>
          <w:color w:val="auto"/>
        </w:rPr>
      </w:pPr>
    </w:p>
    <w:p>
      <w:pPr>
        <w:ind w:left="540" w:right="520" w:hanging="424"/>
        <w:spacing w:after="0" w:line="277" w:lineRule="auto"/>
        <w:tabs>
          <w:tab w:leader="none" w:pos="540" w:val="left"/>
        </w:tabs>
        <w:numPr>
          <w:ilvl w:val="0"/>
          <w:numId w:val="12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Leases: </w:t>
      </w:r>
      <w:r>
        <w:rPr>
          <w:rFonts w:ascii="Arial" w:cs="Arial" w:eastAsia="Arial" w:hAnsi="Arial"/>
          <w:sz w:val="18"/>
          <w:szCs w:val="18"/>
          <w:color w:val="auto"/>
        </w:rPr>
        <w:t>Vessel leases where Navios Holdings is regarded as the lessor are classified as either finance leases or operating leases based on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assessment of the terms of the lease.</w:t>
      </w:r>
    </w:p>
    <w:p>
      <w:pPr>
        <w:spacing w:after="0" w:line="62" w:lineRule="exact"/>
        <w:rPr>
          <w:rFonts w:ascii="Arial" w:cs="Arial" w:eastAsia="Arial" w:hAnsi="Arial"/>
          <w:sz w:val="18"/>
          <w:szCs w:val="18"/>
          <w:b w:val="1"/>
          <w:bCs w:val="1"/>
          <w:i w:val="1"/>
          <w:iCs w:val="1"/>
          <w:color w:val="auto"/>
        </w:rPr>
      </w:pPr>
    </w:p>
    <w:p>
      <w:pPr>
        <w:ind w:left="560"/>
        <w:spacing w:after="0" w:line="259" w:lineRule="auto"/>
        <w:rPr>
          <w:rFonts w:ascii="Arial" w:cs="Arial" w:eastAsia="Arial" w:hAnsi="Arial"/>
          <w:sz w:val="18"/>
          <w:szCs w:val="18"/>
          <w:b w:val="1"/>
          <w:bCs w:val="1"/>
          <w:i w:val="1"/>
          <w:iCs w:val="1"/>
          <w:color w:val="auto"/>
        </w:rPr>
      </w:pPr>
      <w:r>
        <w:rPr>
          <w:rFonts w:ascii="Arial" w:cs="Arial" w:eastAsia="Arial" w:hAnsi="Arial"/>
          <w:sz w:val="18"/>
          <w:szCs w:val="18"/>
          <w:color w:val="auto"/>
        </w:rPr>
        <w:t>For charters classified as finance leases the minimum lease payments are recorded as the gross investment in the lease. The difference between the gross investment in the lease and the sum of the present values of the two components of the gross investment is recorded as unearned income which is amortized to income over the lease term as finance lease interest income to produce a constant periodic rate of return on the net investment in the lease.</w:t>
      </w:r>
    </w:p>
    <w:p>
      <w:pPr>
        <w:spacing w:after="0" w:line="78" w:lineRule="exact"/>
        <w:rPr>
          <w:rFonts w:ascii="Arial" w:cs="Arial" w:eastAsia="Arial" w:hAnsi="Arial"/>
          <w:sz w:val="18"/>
          <w:szCs w:val="18"/>
          <w:b w:val="1"/>
          <w:bCs w:val="1"/>
          <w:i w:val="1"/>
          <w:iCs w:val="1"/>
          <w:color w:val="auto"/>
        </w:rPr>
      </w:pPr>
    </w:p>
    <w:p>
      <w:pPr>
        <w:ind w:left="5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For charters classified as operating leases where Navios Holdings is regarded as the lessor, refer to Note 2(r).</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00"/>
          </w:cols>
          <w:pgMar w:left="320" w:top="459" w:right="47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NAVIOS MARITIME HOLDINGS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(Expressed in thousands of U.S. dollars — except share data)</w:t>
      </w:r>
    </w:p>
    <w:p>
      <w:pPr>
        <w:spacing w:after="0" w:line="143" w:lineRule="exact"/>
        <w:rPr>
          <w:sz w:val="20"/>
          <w:szCs w:val="20"/>
          <w:color w:val="auto"/>
        </w:rPr>
      </w:pPr>
    </w:p>
    <w:p>
      <w:pPr>
        <w:ind w:left="560" w:right="20"/>
        <w:spacing w:after="0" w:line="257" w:lineRule="auto"/>
        <w:rPr>
          <w:sz w:val="20"/>
          <w:szCs w:val="20"/>
          <w:color w:val="auto"/>
        </w:rPr>
      </w:pPr>
      <w:r>
        <w:rPr>
          <w:rFonts w:ascii="Arial" w:cs="Arial" w:eastAsia="Arial" w:hAnsi="Arial"/>
          <w:sz w:val="18"/>
          <w:szCs w:val="18"/>
          <w:color w:val="auto"/>
        </w:rPr>
        <w:t>In cases of lease agreements where the Company acts as the lessee, the Company recognizes an operating lease asset and a corresponding lease liability on the consolidated balance sheet. For charters classified as operating leases where Navios Holdings is regarded as the lessee, the expense is recognized on a straight-line basis over the rental periods of such charter agreements. The expense is included within the caption “Time charter, voyage and logistics business expenses”. In the transition to ASC 842, the operating leases assets were adjusted for the carrying amount of the straight-line liabilities on that date.</w:t>
      </w:r>
    </w:p>
    <w:p>
      <w:pPr>
        <w:spacing w:after="0" w:line="80" w:lineRule="exact"/>
        <w:rPr>
          <w:sz w:val="20"/>
          <w:szCs w:val="20"/>
          <w:color w:val="auto"/>
        </w:rPr>
      </w:pPr>
    </w:p>
    <w:p>
      <w:pPr>
        <w:jc w:val="both"/>
        <w:ind w:left="560" w:right="20"/>
        <w:spacing w:after="0" w:line="286" w:lineRule="auto"/>
        <w:rPr>
          <w:sz w:val="20"/>
          <w:szCs w:val="20"/>
          <w:color w:val="auto"/>
        </w:rPr>
      </w:pPr>
      <w:r>
        <w:rPr>
          <w:rFonts w:ascii="Arial" w:cs="Arial" w:eastAsia="Arial" w:hAnsi="Arial"/>
          <w:sz w:val="17"/>
          <w:szCs w:val="17"/>
          <w:color w:val="auto"/>
        </w:rPr>
        <w:t>In cases of sale and leaseback agreements, if the transfer of the asset to the lessor does not qualify as a sale, then the agreement constitutes a failed sale and leaseback and is accounted for as a financial liability. For a sale to have occurred, the control of the asset would need to be transferred to the buyer, and the buyer would need to obtain substantially all the benefits from the use of the asset.</w:t>
      </w:r>
    </w:p>
    <w:p>
      <w:pPr>
        <w:spacing w:after="0" w:line="53" w:lineRule="exact"/>
        <w:rPr>
          <w:sz w:val="20"/>
          <w:szCs w:val="20"/>
          <w:color w:val="auto"/>
        </w:rPr>
      </w:pPr>
    </w:p>
    <w:p>
      <w:pPr>
        <w:ind w:left="560" w:right="20"/>
        <w:spacing w:after="0" w:line="256" w:lineRule="auto"/>
        <w:rPr>
          <w:sz w:val="20"/>
          <w:szCs w:val="20"/>
          <w:color w:val="auto"/>
        </w:rPr>
      </w:pPr>
      <w:r>
        <w:rPr>
          <w:rFonts w:ascii="Arial" w:cs="Arial" w:eastAsia="Arial" w:hAnsi="Arial"/>
          <w:sz w:val="18"/>
          <w:szCs w:val="18"/>
          <w:b w:val="1"/>
          <w:bCs w:val="1"/>
          <w:color w:val="auto"/>
        </w:rPr>
        <w:t xml:space="preserve">Impairment of operating lease assets: </w:t>
      </w:r>
      <w:r>
        <w:rPr>
          <w:rFonts w:ascii="Arial" w:cs="Arial" w:eastAsia="Arial" w:hAnsi="Arial"/>
          <w:sz w:val="18"/>
          <w:szCs w:val="18"/>
          <w:color w:val="auto"/>
        </w:rPr>
        <w:t>Operating lease assets used by Navios Holdings are reviewed periodically for potential impairment</w:t>
      </w:r>
      <w:r>
        <w:rPr>
          <w:rFonts w:ascii="Arial" w:cs="Arial" w:eastAsia="Arial" w:hAnsi="Arial"/>
          <w:sz w:val="18"/>
          <w:szCs w:val="18"/>
          <w:b w:val="1"/>
          <w:bCs w:val="1"/>
          <w:color w:val="auto"/>
        </w:rPr>
        <w:t xml:space="preserve"> </w:t>
      </w:r>
      <w:r>
        <w:rPr>
          <w:rFonts w:ascii="Arial" w:cs="Arial" w:eastAsia="Arial" w:hAnsi="Arial"/>
          <w:sz w:val="18"/>
          <w:szCs w:val="18"/>
          <w:color w:val="auto"/>
        </w:rPr>
        <w:t>whenever events or changes in circumstances indicate that the carrying amount may not be fully recoverable. Measurement of the impairment loss is determined as the difference between the carrying value and the fair value of the asset group. Navios Holdings determines the fair value of its assets based on management estimates and assumptions by making use of available market data. In evaluating carrying values of operating lease assets, certain indicators of potential impairment are reviewed, such as undiscounted projected operating cash flows, business plans and overall market conditions.</w:t>
      </w:r>
    </w:p>
    <w:p>
      <w:pPr>
        <w:spacing w:after="0" w:line="83" w:lineRule="exact"/>
        <w:rPr>
          <w:sz w:val="20"/>
          <w:szCs w:val="20"/>
          <w:color w:val="auto"/>
        </w:rPr>
      </w:pPr>
    </w:p>
    <w:p>
      <w:pPr>
        <w:ind w:left="560" w:right="260"/>
        <w:spacing w:after="0" w:line="259" w:lineRule="auto"/>
        <w:rPr>
          <w:sz w:val="20"/>
          <w:szCs w:val="20"/>
          <w:color w:val="auto"/>
        </w:rPr>
      </w:pPr>
      <w:r>
        <w:rPr>
          <w:rFonts w:ascii="Arial" w:cs="Arial" w:eastAsia="Arial" w:hAnsi="Arial"/>
          <w:sz w:val="18"/>
          <w:szCs w:val="18"/>
          <w:color w:val="auto"/>
        </w:rPr>
        <w:t>Undiscounted projected net operating cash flows are determined for each asset group and compared to the carrying value of the operating lease asset and the carrying value of deposits for the option to acquire a vessel including expenses and interest (asset group). If the step two of the impairment analysis is required, the analysis includes the use of discounted cash flows which includes various assumptions, including the Company’s WACC.</w:t>
      </w:r>
    </w:p>
    <w:p>
      <w:pPr>
        <w:spacing w:after="0" w:line="79" w:lineRule="exact"/>
        <w:rPr>
          <w:sz w:val="20"/>
          <w:szCs w:val="20"/>
          <w:color w:val="auto"/>
        </w:rPr>
      </w:pPr>
    </w:p>
    <w:p>
      <w:pPr>
        <w:ind w:left="560" w:right="20"/>
        <w:spacing w:after="0" w:line="259" w:lineRule="auto"/>
        <w:rPr>
          <w:sz w:val="20"/>
          <w:szCs w:val="20"/>
          <w:color w:val="auto"/>
        </w:rPr>
      </w:pPr>
      <w:r>
        <w:rPr>
          <w:rFonts w:ascii="Arial" w:cs="Arial" w:eastAsia="Arial" w:hAnsi="Arial"/>
          <w:sz w:val="18"/>
          <w:szCs w:val="18"/>
          <w:color w:val="auto"/>
        </w:rPr>
        <w:t>During the fourth quarter of fiscal year 2020, management concluded that events occurred and circumstances had changed, which indicated that potential impairment of Navios Holdings’ operating lease assets might exist. These indicators included continued volatility in the spot market, and the related impact of the current dry bulk sector has on management’s expectation for future revenues. As a result, an impairment assessment of operating lease assets (step one) was performed.</w:t>
      </w:r>
    </w:p>
    <w:p>
      <w:pPr>
        <w:spacing w:after="0" w:line="79" w:lineRule="exact"/>
        <w:rPr>
          <w:sz w:val="20"/>
          <w:szCs w:val="20"/>
          <w:color w:val="auto"/>
        </w:rPr>
      </w:pPr>
    </w:p>
    <w:p>
      <w:pPr>
        <w:ind w:left="560"/>
        <w:spacing w:after="0" w:line="271" w:lineRule="auto"/>
        <w:rPr>
          <w:sz w:val="20"/>
          <w:szCs w:val="20"/>
          <w:color w:val="auto"/>
        </w:rPr>
      </w:pPr>
      <w:r>
        <w:rPr>
          <w:rFonts w:ascii="Arial" w:cs="Arial" w:eastAsia="Arial" w:hAnsi="Arial"/>
          <w:sz w:val="17"/>
          <w:szCs w:val="17"/>
          <w:color w:val="auto"/>
        </w:rPr>
        <w:t>The Company determined undiscounted projected net operating cash flows for each charter-in and bareboat chartered-in vessel and compared it to operating lease asset’s carrying value together with the carrying value of deposits for the option to acquire a vessel including expenses and interest. The significant factors and assumptions used in the undiscounted projected net operating cash flow analysis included: determining the projected net operating cash flows by considering the charter revenues from existing time charters for the fixed fleet days (the Company’s remaining charter agreement rates) and an estimated daily time charter equivalent for the unfixed days (based on three-year average historical time charter rates) over the remaining lease term, net of brokerage and address commissions excluding days of scheduled off-hires (for the bareboat chartered-in vessels), management fees for vessel operating expenses in accordance with the terms of management agreement (assuming an annual increase of 3.0% every second year for the bareboat chartered-in vessels).</w:t>
      </w:r>
    </w:p>
    <w:p>
      <w:pPr>
        <w:spacing w:after="0" w:line="70" w:lineRule="exact"/>
        <w:rPr>
          <w:sz w:val="20"/>
          <w:szCs w:val="20"/>
          <w:color w:val="auto"/>
        </w:rPr>
      </w:pPr>
    </w:p>
    <w:p>
      <w:pPr>
        <w:ind w:left="560" w:right="60"/>
        <w:spacing w:after="0" w:line="254" w:lineRule="auto"/>
        <w:rPr>
          <w:sz w:val="20"/>
          <w:szCs w:val="20"/>
          <w:color w:val="auto"/>
        </w:rPr>
      </w:pPr>
      <w:r>
        <w:rPr>
          <w:rFonts w:ascii="Arial" w:cs="Arial" w:eastAsia="Arial" w:hAnsi="Arial"/>
          <w:sz w:val="18"/>
          <w:szCs w:val="18"/>
          <w:color w:val="auto"/>
        </w:rPr>
        <w:t>As of December 31, 2020, our assessment concluded that step two of the impairment analysis was required for two asset groups, which involves a discounted cash flow analysis using the Company’s WACC. The WACC is based on externally observable data considering market participants’ and the Company’s cost of equity and debt, optimal capital structure and risk factors specific to the Company. As a result, the Company recorded an impairment loss of $1,361, being the difference between the fair value of the operating lease asset and its carrying value, presented within the caption “Impairment loss/ loss on sale of vessels, net” in the consolidated statements of comprehensive (loss)/income. Where the undiscounted projected net operating cash flows for each asset group do not exceed the carrying value of the operating lease asset and the carrying value of deposits for the option to acquire a vessel including expenses and interest, management proceeds to perform step two of the impairment assessment.</w:t>
      </w:r>
    </w:p>
    <w:p>
      <w:pPr>
        <w:spacing w:after="0" w:line="84" w:lineRule="exact"/>
        <w:rPr>
          <w:sz w:val="20"/>
          <w:szCs w:val="20"/>
          <w:color w:val="auto"/>
        </w:rPr>
      </w:pPr>
    </w:p>
    <w:p>
      <w:pPr>
        <w:ind w:left="560" w:right="20"/>
        <w:spacing w:after="0" w:line="279" w:lineRule="auto"/>
        <w:rPr>
          <w:sz w:val="20"/>
          <w:szCs w:val="20"/>
          <w:color w:val="auto"/>
        </w:rPr>
      </w:pPr>
      <w:r>
        <w:rPr>
          <w:rFonts w:ascii="Arial" w:cs="Arial" w:eastAsia="Arial" w:hAnsi="Arial"/>
          <w:sz w:val="17"/>
          <w:szCs w:val="17"/>
          <w:color w:val="auto"/>
        </w:rPr>
        <w:t>As of December 31, 2019, our assessment concluded that step two of the impairment analysis was required for certain charter-in vessels, which involves a discounted cash flow analysis using the Company’s WACC. As a result, the Company recorded an impairment loss of $38,636, being the difference between the fair value of the operating lease asset and its carrying value, presented within the caption “Impairment loss/ loss on sale of vessels, net” in the consolidated statements of comprehensive (loss)/income.</w:t>
      </w:r>
    </w:p>
    <w:p>
      <w:pPr>
        <w:spacing w:after="0" w:line="77" w:lineRule="exact"/>
        <w:rPr>
          <w:sz w:val="20"/>
          <w:szCs w:val="20"/>
          <w:color w:val="auto"/>
        </w:rPr>
      </w:pPr>
    </w:p>
    <w:p>
      <w:pPr>
        <w:ind w:left="540" w:right="320" w:hanging="424"/>
        <w:spacing w:after="0" w:line="277" w:lineRule="auto"/>
        <w:tabs>
          <w:tab w:leader="none" w:pos="540" w:val="left"/>
        </w:tabs>
        <w:numPr>
          <w:ilvl w:val="0"/>
          <w:numId w:val="12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Treasury Stock: </w:t>
      </w:r>
      <w:r>
        <w:rPr>
          <w:rFonts w:ascii="Arial" w:cs="Arial" w:eastAsia="Arial" w:hAnsi="Arial"/>
          <w:sz w:val="18"/>
          <w:szCs w:val="18"/>
          <w:color w:val="auto"/>
        </w:rPr>
        <w:t>Treasury stock is accounted for using the cost method. Excess of the purchase price of the treasury stock acquired, plus direct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acquisition costs over its par value is recorded in additional paid-in capital.</w:t>
      </w:r>
    </w:p>
    <w:p>
      <w:pPr>
        <w:spacing w:after="0" w:line="76" w:lineRule="exact"/>
        <w:rPr>
          <w:sz w:val="20"/>
          <w:szCs w:val="20"/>
          <w:color w:val="auto"/>
        </w:rPr>
      </w:pPr>
    </w:p>
    <w:p>
      <w:pPr>
        <w:ind w:left="540" w:right="80" w:hanging="424"/>
        <w:spacing w:after="0" w:line="263" w:lineRule="auto"/>
        <w:tabs>
          <w:tab w:leader="none" w:pos="540" w:val="left"/>
        </w:tabs>
        <w:numPr>
          <w:ilvl w:val="0"/>
          <w:numId w:val="13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Trade Accounts Receivable: </w:t>
      </w:r>
      <w:r>
        <w:rPr>
          <w:rFonts w:ascii="Arial" w:cs="Arial" w:eastAsia="Arial" w:hAnsi="Arial"/>
          <w:sz w:val="18"/>
          <w:szCs w:val="18"/>
          <w:color w:val="auto"/>
        </w:rPr>
        <w:t>The amount shown as accounts receivable, trade, at each balance sheet date, includes receivables from charterers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hire, freight and demurrage billings, net of an allowance for credit losses. At each balance sheet date, all potentially uncollectible accounts are assessed individually for purposes of determining the appropriate allowance for credit losses.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20"/>
          </w:cols>
          <w:pgMar w:left="320" w:top="459" w:right="4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NAVIOS MARITIME HOLDINGS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(Expressed in thousands of U.S. dollars — except share data)</w:t>
      </w:r>
    </w:p>
    <w:p>
      <w:pPr>
        <w:spacing w:after="0" w:line="143" w:lineRule="exact"/>
        <w:rPr>
          <w:sz w:val="20"/>
          <w:szCs w:val="20"/>
          <w:color w:val="auto"/>
        </w:rPr>
      </w:pPr>
    </w:p>
    <w:p>
      <w:pPr>
        <w:ind w:left="560"/>
        <w:spacing w:after="0" w:line="270" w:lineRule="auto"/>
        <w:rPr>
          <w:sz w:val="20"/>
          <w:szCs w:val="20"/>
          <w:color w:val="auto"/>
        </w:rPr>
      </w:pPr>
      <w:r>
        <w:rPr>
          <w:rFonts w:ascii="Arial" w:cs="Arial" w:eastAsia="Arial" w:hAnsi="Arial"/>
          <w:sz w:val="17"/>
          <w:szCs w:val="17"/>
          <w:color w:val="auto"/>
        </w:rPr>
        <w:t>On January 1, 2020, the Company adopted Topic 326 “Financial Instruments—Credit Losses”. Measurement of Credit Losses on Financial Instruments” using the modified retrospective approach. This standard amends the accounting for credit losses on available-for-sale debt securities, purchased financial assets with credit deterioration and clarifies that impairment of receivables arising from operating leases should be accounted for in accordance with ASC 842 “Leases”. In addition, this standard requires the measurement of all expected credit losses for financial assets, including trade accounts receivable, held at the reporting date based on historical experience, current conditions, and current expectations of future economic conditions based on reasonable and supportable forecasts. This new guidance did not have a material impact on the Company’s consolidated financial statements, as the majority of its Accounts receivable, net relates to receivables arising from operating leases and are scoped out of the new standard. As a result of the adoption of this standard, there was no cumulative impact to the Company’s accumulated deficit at January 1, 2020.</w:t>
      </w:r>
    </w:p>
    <w:p>
      <w:pPr>
        <w:sectPr>
          <w:pgSz w:w="11900" w:h="16838" w:orient="portrait"/>
          <w:cols w:equalWidth="0" w:num="1">
            <w:col w:w="11120"/>
          </w:cols>
          <w:pgMar w:left="320" w:top="459" w:right="459" w:bottom="1440" w:gutter="0" w:footer="0" w:header="0"/>
        </w:sectPr>
      </w:pPr>
    </w:p>
    <w:p>
      <w:pPr>
        <w:spacing w:after="0" w:line="86"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(ab)</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i w:val="1"/>
          <w:iCs w:val="1"/>
          <w:color w:val="auto"/>
        </w:rPr>
        <w:t xml:space="preserve">Convertible Preferred Stock: </w:t>
      </w:r>
      <w:r>
        <w:rPr>
          <w:rFonts w:ascii="Arial" w:cs="Arial" w:eastAsia="Arial" w:hAnsi="Arial"/>
          <w:sz w:val="16"/>
          <w:szCs w:val="16"/>
          <w:color w:val="auto"/>
        </w:rPr>
        <w:t>The Company’s 2% Mandatorily Convertible Preferred Stock (“Preferred Stock”) is recorded at fair market value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date of issuance. The fair market value is determined using a binomial valuation model. The model which is used takes into account the credit spread of the Company, the volatility of its stock, as well as the price of its stock at the issuance date. Each preferred share has a par value of $0.0001. Each holder of Preferred Stock is entitled to receive an annual dividend equal to 2.0% on the nominal value of the Preferred Stock, payable quarterly, until such time as the Preferred Stock converts into common stock. Five years after the issuance date, 30.0% of the then-outstanding shares of Preferred Stock shall automatically convert into shares of common stock at a conversion price equal to $10.00 per share of common stock with the remaining balance of the then-outstanding shares of Preferred Stock being converted into shares of common stock under the same terms 10 years after their issuance date. At any time following the third anniversary from their issuance date, if the closing price of the common stock has been at least $20.00 per share, for 10 consecutive business days, the remaining balance of the then-outstanding preferred shares shall automatically convert at a conversion price equal to $14.00 per share of common stock. The holders of Preferred Stock are entitled, at their option, at any time following their issuance date and prior to their final conversion date, to convert all or any such then-outstanding preferred shares into common stock at a conversion price equal to $14.00 per common stock. See also Note 17.</w:t>
      </w:r>
    </w:p>
    <w:p>
      <w:pPr>
        <w:spacing w:after="0" w:line="73" w:lineRule="exact"/>
        <w:rPr>
          <w:sz w:val="20"/>
          <w:szCs w:val="20"/>
          <w:color w:val="auto"/>
        </w:rPr>
      </w:pPr>
    </w:p>
    <w:p>
      <w:pPr>
        <w:sectPr>
          <w:pgSz w:w="11900" w:h="16838" w:orient="portrait"/>
          <w:cols w:equalWidth="0" w:num="2">
            <w:col w:w="420" w:space="120"/>
            <w:col w:w="10580"/>
          </w:cols>
          <w:pgMar w:left="320" w:top="459" w:right="459" w:bottom="1440" w:gutter="0" w:footer="0" w:header="0"/>
          <w:type w:val="continuous"/>
        </w:sectPr>
      </w:pPr>
    </w:p>
    <w:p>
      <w:pPr>
        <w:ind w:left="120"/>
        <w:spacing w:after="0"/>
        <w:rPr>
          <w:sz w:val="20"/>
          <w:szCs w:val="20"/>
          <w:color w:val="auto"/>
        </w:rPr>
      </w:pPr>
      <w:r>
        <w:rPr>
          <w:rFonts w:ascii="Arial" w:cs="Arial" w:eastAsia="Arial" w:hAnsi="Arial"/>
          <w:sz w:val="15"/>
          <w:szCs w:val="15"/>
          <w:b w:val="1"/>
          <w:bCs w:val="1"/>
          <w:i w:val="1"/>
          <w:iCs w:val="1"/>
          <w:color w:val="auto"/>
        </w:rPr>
        <w:t>(ac)</w:t>
      </w:r>
    </w:p>
    <w:p>
      <w:pPr>
        <w:spacing w:after="0" w:line="20" w:lineRule="exact"/>
        <w:rPr>
          <w:sz w:val="20"/>
          <w:szCs w:val="20"/>
          <w:color w:val="auto"/>
        </w:rPr>
      </w:pPr>
      <w:r>
        <w:rPr>
          <w:sz w:val="20"/>
          <w:szCs w:val="20"/>
          <w:color w:val="auto"/>
        </w:rPr>
        <w:br w:type="column"/>
      </w:r>
    </w:p>
    <w:p>
      <w:pPr>
        <w:ind w:right="40"/>
        <w:spacing w:after="0" w:line="270" w:lineRule="auto"/>
        <w:rPr>
          <w:sz w:val="20"/>
          <w:szCs w:val="20"/>
          <w:color w:val="auto"/>
        </w:rPr>
      </w:pPr>
      <w:r>
        <w:rPr>
          <w:rFonts w:ascii="Arial" w:cs="Arial" w:eastAsia="Arial" w:hAnsi="Arial"/>
          <w:sz w:val="17"/>
          <w:szCs w:val="17"/>
          <w:b w:val="1"/>
          <w:bCs w:val="1"/>
          <w:i w:val="1"/>
          <w:iCs w:val="1"/>
          <w:color w:val="auto"/>
        </w:rPr>
        <w:t xml:space="preserve">Cumulative Redeemable Perpetual Preferred Stock: </w:t>
      </w:r>
      <w:r>
        <w:rPr>
          <w:rFonts w:ascii="Arial" w:cs="Arial" w:eastAsia="Arial" w:hAnsi="Arial"/>
          <w:sz w:val="17"/>
          <w:szCs w:val="17"/>
          <w:color w:val="auto"/>
        </w:rPr>
        <w:t>The Company’s 2,000,000 American Depositary Shares, Series G and the 4,800,000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American Depositary Shares, Series H are recorded at fair market value on issuance. Each of the shares represents 1/100th of a share of the Series G, with a liquidation preference of $2,500.00 per share ($25.00 per American Depositary Share). Dividends are payable quarterly in arrears on the Series G at a rate of 8.75% per annum and on the Series H at a rate of 8.625% per annum of the stated liquidation preference. At any time on or after January 28, 2019, the Series G may be redeemed at the Company’s option and at any time on or after July 8, 2019, the Series H may be redeemed at the Company’s option (and the American Depositary Shares can be caused to be redeemed), in whole or in part, out of amounts legally available therefore, at a redemption price of $2,500.00 per share (equivalent to $25.00 per American Depositary Share) plus an amount equal to all accumulated and unpaid dividends thereon to the date of redemption, whether or not declared. The Company has accounted for these shares as equity. See also Note 17.</w:t>
      </w:r>
    </w:p>
    <w:p>
      <w:pPr>
        <w:spacing w:after="0" w:line="86" w:lineRule="exact"/>
        <w:rPr>
          <w:sz w:val="20"/>
          <w:szCs w:val="20"/>
          <w:color w:val="auto"/>
        </w:rPr>
      </w:pPr>
    </w:p>
    <w:p>
      <w:pPr>
        <w:sectPr>
          <w:pgSz w:w="11900" w:h="16838" w:orient="portrait"/>
          <w:cols w:equalWidth="0" w:num="2">
            <w:col w:w="400" w:space="140"/>
            <w:col w:w="10580"/>
          </w:cols>
          <w:pgMar w:left="320" w:top="459" w:right="459" w:bottom="1440" w:gutter="0" w:footer="0" w:header="0"/>
          <w:type w:val="continuous"/>
        </w:sectPr>
      </w:pPr>
    </w:p>
    <w:p>
      <w:pPr>
        <w:ind w:left="120"/>
        <w:spacing w:after="0"/>
        <w:rPr>
          <w:sz w:val="20"/>
          <w:szCs w:val="20"/>
          <w:color w:val="auto"/>
        </w:rPr>
      </w:pPr>
      <w:r>
        <w:rPr>
          <w:rFonts w:ascii="Arial" w:cs="Arial" w:eastAsia="Arial" w:hAnsi="Arial"/>
          <w:sz w:val="16"/>
          <w:szCs w:val="16"/>
          <w:b w:val="1"/>
          <w:bCs w:val="1"/>
          <w:i w:val="1"/>
          <w:iCs w:val="1"/>
          <w:color w:val="auto"/>
        </w:rPr>
        <w:t>(ad)</w:t>
      </w:r>
    </w:p>
    <w:p>
      <w:pPr>
        <w:spacing w:after="0" w:line="20" w:lineRule="exact"/>
        <w:rPr>
          <w:sz w:val="20"/>
          <w:szCs w:val="20"/>
          <w:color w:val="auto"/>
        </w:rPr>
      </w:pPr>
      <w:r>
        <w:rPr>
          <w:sz w:val="20"/>
          <w:szCs w:val="20"/>
          <w:color w:val="auto"/>
        </w:rPr>
        <w:br w:type="column"/>
      </w:r>
    </w:p>
    <w:p>
      <w:pPr>
        <w:ind w:right="80"/>
        <w:spacing w:after="0" w:line="255" w:lineRule="auto"/>
        <w:rPr>
          <w:sz w:val="20"/>
          <w:szCs w:val="20"/>
          <w:color w:val="auto"/>
        </w:rPr>
      </w:pPr>
      <w:r>
        <w:rPr>
          <w:rFonts w:ascii="Arial" w:cs="Arial" w:eastAsia="Arial" w:hAnsi="Arial"/>
          <w:sz w:val="18"/>
          <w:szCs w:val="18"/>
          <w:b w:val="1"/>
          <w:bCs w:val="1"/>
          <w:i w:val="1"/>
          <w:iCs w:val="1"/>
          <w:color w:val="auto"/>
        </w:rPr>
        <w:t xml:space="preserve">Investment in Available-for-Sale Securities: </w:t>
      </w:r>
      <w:r>
        <w:rPr>
          <w:rFonts w:ascii="Arial" w:cs="Arial" w:eastAsia="Arial" w:hAnsi="Arial"/>
          <w:sz w:val="18"/>
          <w:szCs w:val="18"/>
          <w:color w:val="auto"/>
        </w:rPr>
        <w:t>The Company classifies its existing marketable equity securities as available-for-sale. These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are carried at fair value, with unrealized gains and losses reflected directly in the consolidated statements of comprehensive (loss)/income at each reporting period. Management evaluates securities for other-than-temporary impairment (“OTTI”) on a quarterly basis. Consideration is given to (i) the length of time and the extent to which the fair value has been less than cost, (ii) the financial condition and near-term prospects of the investee, and (iii) the intent and ability of the Company to retain its investment in the investee for a period of time sufficient to allow for any anticipated recovery in fair value.</w:t>
      </w:r>
    </w:p>
    <w:p>
      <w:pPr>
        <w:spacing w:after="0" w:line="84" w:lineRule="exact"/>
        <w:rPr>
          <w:sz w:val="20"/>
          <w:szCs w:val="20"/>
          <w:color w:val="auto"/>
        </w:rPr>
      </w:pPr>
    </w:p>
    <w:p>
      <w:pPr>
        <w:sectPr>
          <w:pgSz w:w="11900" w:h="16838" w:orient="portrait"/>
          <w:cols w:equalWidth="0" w:num="2">
            <w:col w:w="420" w:space="120"/>
            <w:col w:w="10580"/>
          </w:cols>
          <w:pgMar w:left="320" w:top="459" w:right="459" w:bottom="1440" w:gutter="0" w:footer="0" w:header="0"/>
          <w:type w:val="continuous"/>
        </w:sectPr>
      </w:pPr>
    </w:p>
    <w:p>
      <w:pPr>
        <w:ind w:left="560"/>
        <w:spacing w:after="0" w:line="272" w:lineRule="auto"/>
        <w:rPr>
          <w:sz w:val="20"/>
          <w:szCs w:val="20"/>
          <w:color w:val="auto"/>
        </w:rPr>
      </w:pPr>
      <w:r>
        <w:rPr>
          <w:rFonts w:ascii="Arial" w:cs="Arial" w:eastAsia="Arial" w:hAnsi="Arial"/>
          <w:sz w:val="17"/>
          <w:szCs w:val="17"/>
          <w:b w:val="1"/>
          <w:bCs w:val="1"/>
          <w:i w:val="1"/>
          <w:iCs w:val="1"/>
          <w:color w:val="auto"/>
        </w:rPr>
        <w:t xml:space="preserve">Investment in Equity Securities: </w:t>
      </w:r>
      <w:r>
        <w:rPr>
          <w:rFonts w:ascii="Arial" w:cs="Arial" w:eastAsia="Arial" w:hAnsi="Arial"/>
          <w:sz w:val="17"/>
          <w:szCs w:val="17"/>
          <w:color w:val="auto"/>
        </w:rPr>
        <w:t>Navios Holdings evaluates its investments in Navios Acquisition, Navios Partners and Navios Containers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(following the deconsolidation) and evaluated Navios Europe I, Navios Europe II (through their liquidation in December 2019 and June 2020, respectively) for OTTI on a quarterly basis. Consideration is given to (i) the length of time and the extent to which the fair value has been less than the carrying value, (ii) the financial condition and near-term prospects of Navios Partners, Navios Acquisition and Navios Containers, and (iii) the intent and ability of the Company to retain its investment in Navios Acquisition, Navios Partners and Navios Containers, for a period of time sufficient to allow for any anticipated recovery in fair value. If the Company considers any decline to be “other-than-temporary”, then the Company would write down the carrying amount of the investment to its estimated fair value.</w:t>
      </w:r>
    </w:p>
    <w:p>
      <w:pPr>
        <w:sectPr>
          <w:pgSz w:w="11900" w:h="16838" w:orient="portrait"/>
          <w:cols w:equalWidth="0" w:num="1">
            <w:col w:w="11120"/>
          </w:cols>
          <w:pgMar w:left="320" w:top="459" w:right="459" w:bottom="1440" w:gutter="0" w:footer="0" w:header="0"/>
          <w:type w:val="continuous"/>
        </w:sectPr>
      </w:pPr>
    </w:p>
    <w:p>
      <w:pPr>
        <w:spacing w:after="0" w:line="83"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(ae)</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spacing w:after="0" w:line="286" w:lineRule="auto"/>
        <w:rPr>
          <w:sz w:val="20"/>
          <w:szCs w:val="20"/>
          <w:color w:val="auto"/>
        </w:rPr>
      </w:pPr>
      <w:r>
        <w:rPr>
          <w:rFonts w:ascii="Arial" w:cs="Arial" w:eastAsia="Arial" w:hAnsi="Arial"/>
          <w:sz w:val="17"/>
          <w:szCs w:val="17"/>
          <w:b w:val="1"/>
          <w:bCs w:val="1"/>
          <w:i w:val="1"/>
          <w:iCs w:val="1"/>
          <w:color w:val="auto"/>
        </w:rPr>
        <w:t xml:space="preserve">Financial Instruments and Fair Value: </w:t>
      </w:r>
      <w:r>
        <w:rPr>
          <w:rFonts w:ascii="Arial" w:cs="Arial" w:eastAsia="Arial" w:hAnsi="Arial"/>
          <w:sz w:val="17"/>
          <w:szCs w:val="17"/>
          <w:color w:val="auto"/>
        </w:rPr>
        <w:t>Guidance on Fair Value Measurements provides a fair value hierarchy that prioritizes the inputs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valuation techniques used to measure fair value. The hierarchy gives the highest priority to unadjusted quoted prices in active markets for identical assets or liabilities (Level I measurements) and the lowest priority to unobservable inputs (Level III measurements).</w:t>
      </w:r>
    </w:p>
    <w:p>
      <w:pPr>
        <w:spacing w:after="0" w:line="57" w:lineRule="exact"/>
        <w:rPr>
          <w:sz w:val="20"/>
          <w:szCs w:val="20"/>
          <w:color w:val="auto"/>
        </w:rPr>
      </w:pPr>
    </w:p>
    <w:p>
      <w:pPr>
        <w:sectPr>
          <w:pgSz w:w="11900" w:h="16838" w:orient="portrait"/>
          <w:cols w:equalWidth="0" w:num="2">
            <w:col w:w="400" w:space="140"/>
            <w:col w:w="10580"/>
          </w:cols>
          <w:pgMar w:left="320" w:top="459" w:right="459" w:bottom="1440" w:gutter="0" w:footer="0" w:header="0"/>
          <w:type w:val="continuous"/>
        </w:sectPr>
      </w:pPr>
    </w:p>
    <w:p>
      <w:pPr>
        <w:ind w:left="560" w:right="480"/>
        <w:spacing w:after="0" w:line="263" w:lineRule="auto"/>
        <w:rPr>
          <w:sz w:val="20"/>
          <w:szCs w:val="20"/>
          <w:color w:val="auto"/>
        </w:rPr>
      </w:pPr>
      <w:r>
        <w:rPr>
          <w:rFonts w:ascii="Arial" w:cs="Arial" w:eastAsia="Arial" w:hAnsi="Arial"/>
          <w:sz w:val="18"/>
          <w:szCs w:val="18"/>
          <w:color w:val="auto"/>
        </w:rPr>
        <w:t>A financial instrument’s level within the fair value hierarchy is based on the lowest level of any input that is significant to the fair value measurement. In determining the appropriate levels, the Company performs a detailed analysis of the assets and liabilities that are subject to guidance on Fair Value Measurements.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20"/>
          </w:cols>
          <w:pgMar w:left="320" w:top="459" w:right="459" w:bottom="1440" w:gutter="0" w:footer="0" w:header="0"/>
          <w:type w:val="continuous"/>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NAVIOS MARITIME HOLDINGS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(Expressed in thousands of U.S. dollars — except share data)</w:t>
      </w:r>
    </w:p>
    <w:p>
      <w:pPr>
        <w:spacing w:after="0" w:line="143"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i w:val="1"/>
          <w:iCs w:val="1"/>
          <w:color w:val="auto"/>
        </w:rPr>
        <w:t>(af)</w:t>
      </w:r>
      <w:r>
        <w:rPr>
          <w:sz w:val="20"/>
          <w:szCs w:val="20"/>
          <w:color w:val="auto"/>
        </w:rPr>
        <w:tab/>
      </w:r>
      <w:r>
        <w:rPr>
          <w:rFonts w:ascii="Arial" w:cs="Arial" w:eastAsia="Arial" w:hAnsi="Arial"/>
          <w:sz w:val="15"/>
          <w:szCs w:val="15"/>
          <w:b w:val="1"/>
          <w:bCs w:val="1"/>
          <w:i w:val="1"/>
          <w:iCs w:val="1"/>
          <w:color w:val="auto"/>
        </w:rPr>
        <w:t>Recent Accounting Pronouncements: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Adoption of new accounting pronouncements:</w:t>
      </w:r>
    </w:p>
    <w:p>
      <w:pPr>
        <w:spacing w:after="0" w:line="117" w:lineRule="exact"/>
        <w:rPr>
          <w:sz w:val="20"/>
          <w:szCs w:val="20"/>
          <w:color w:val="auto"/>
        </w:rPr>
      </w:pPr>
    </w:p>
    <w:p>
      <w:pPr>
        <w:ind w:left="560"/>
        <w:spacing w:after="0" w:line="288" w:lineRule="auto"/>
        <w:rPr>
          <w:sz w:val="20"/>
          <w:szCs w:val="20"/>
          <w:color w:val="auto"/>
        </w:rPr>
      </w:pPr>
      <w:r>
        <w:rPr>
          <w:rFonts w:ascii="Arial" w:cs="Arial" w:eastAsia="Arial" w:hAnsi="Arial"/>
          <w:sz w:val="16"/>
          <w:szCs w:val="16"/>
          <w:color w:val="auto"/>
        </w:rPr>
        <w:t>In March 2020, the Financial Accounting Standards Board (“FASB”) issued Accounting Standards Update (“ASU”) ASU 2020-4, “Reference Rate Reform (Topic 848)” (“ASU 2020-4”), which provides optional guidance intended to ease the potential burden in accounting for the expected discontinuation of LIBOR as a reference rate in the financial markets. The guidance can be applied to modifications made to certain contracts to replace LIBOR with a new reference rate. The guidance, if elected, will permit entities to treat such modifications as the continuation of the original contract, without any required accounting reassessments or remeasurements. In addition, in January 2021, the FASB issued another ASU (ASU No. 2021-01) with respect to the Reference Rate Reform (Topic 848). The amendments in this Update clarify that certain optional expedients and exceptions in Topic 848 for contract modifications and hedge accounting apply to derivatives that are affected by the discounting transition. The ASU 2020-4 was effective for the Company beginning on March 12, 2020 and the Company will apply the amendments prospectively through December 31, 2022. As of December 31, 2020, the Company has not made any contract modification to replace the reference rate in any of its agreements and had evaluated that there was no impact to its consolidated financial statements.</w:t>
      </w:r>
    </w:p>
    <w:p>
      <w:pPr>
        <w:spacing w:after="0" w:line="60" w:lineRule="exact"/>
        <w:rPr>
          <w:sz w:val="20"/>
          <w:szCs w:val="20"/>
          <w:color w:val="auto"/>
        </w:rPr>
      </w:pPr>
    </w:p>
    <w:p>
      <w:pPr>
        <w:ind w:left="560" w:right="20"/>
        <w:spacing w:after="0" w:line="272" w:lineRule="auto"/>
        <w:rPr>
          <w:sz w:val="20"/>
          <w:szCs w:val="20"/>
          <w:color w:val="auto"/>
        </w:rPr>
      </w:pPr>
      <w:r>
        <w:rPr>
          <w:rFonts w:ascii="Arial" w:cs="Arial" w:eastAsia="Arial" w:hAnsi="Arial"/>
          <w:sz w:val="17"/>
          <w:szCs w:val="17"/>
          <w:color w:val="auto"/>
        </w:rPr>
        <w:t>In October 2018, FASB issued ASU 2018-17, Consolidation (Topic 810): “Targeted Improvements to Related Party Guidance for Variable Interest Entities” (“ASU 2018-17”). ASU 2018-17 provides that indirect interests held through related parties in common control arrangements should be considered on a proportional basis for determining whether fees paid to decision makers and service providers are variable interests. This is consistent with how indirect interests held through related parties under common control are considered for determining whether a reporting entity must consolidate a VIE. For public business entities the amendments are effective for fiscal years beginning after December 15, 2019, and interim periods within those fiscal years. Early adoption is permitted. The adoption of this ASU on January 1, 2020 did not have a material impact on the Company’s consolidated financial statements.</w:t>
      </w:r>
    </w:p>
    <w:p>
      <w:pPr>
        <w:spacing w:after="0" w:line="69" w:lineRule="exact"/>
        <w:rPr>
          <w:sz w:val="20"/>
          <w:szCs w:val="20"/>
          <w:color w:val="auto"/>
        </w:rPr>
      </w:pPr>
    </w:p>
    <w:p>
      <w:pPr>
        <w:ind w:left="560" w:right="160"/>
        <w:spacing w:after="0" w:line="259" w:lineRule="auto"/>
        <w:rPr>
          <w:sz w:val="20"/>
          <w:szCs w:val="20"/>
          <w:color w:val="auto"/>
        </w:rPr>
      </w:pPr>
      <w:r>
        <w:rPr>
          <w:rFonts w:ascii="Arial" w:cs="Arial" w:eastAsia="Arial" w:hAnsi="Arial"/>
          <w:sz w:val="18"/>
          <w:szCs w:val="18"/>
          <w:color w:val="auto"/>
        </w:rPr>
        <w:t>In August 2018, FASB issued ASU 2018-13, “Fair Value Measurement (Topic 820): Disclosure Framework-Changes to the Disclosure Requirements for Fair Value Measurement”. This update modifies the disclosure requirements on fair value measurements. ASU 2018-13 is effective for fiscal years beginning after December 15, 2019, and earlier adoption is permitted. The adoption of this ASU on January 1, 2020 did not have a material impact on the Company’s consolidated financial statements.</w:t>
      </w:r>
    </w:p>
    <w:p>
      <w:pPr>
        <w:spacing w:after="0" w:line="79" w:lineRule="exact"/>
        <w:rPr>
          <w:sz w:val="20"/>
          <w:szCs w:val="20"/>
          <w:color w:val="auto"/>
        </w:rPr>
      </w:pPr>
    </w:p>
    <w:p>
      <w:pPr>
        <w:ind w:left="560" w:right="20"/>
        <w:spacing w:after="0" w:line="254" w:lineRule="auto"/>
        <w:rPr>
          <w:sz w:val="20"/>
          <w:szCs w:val="20"/>
          <w:color w:val="auto"/>
        </w:rPr>
      </w:pPr>
      <w:r>
        <w:rPr>
          <w:rFonts w:ascii="Arial" w:cs="Arial" w:eastAsia="Arial" w:hAnsi="Arial"/>
          <w:sz w:val="18"/>
          <w:szCs w:val="18"/>
          <w:color w:val="auto"/>
        </w:rPr>
        <w:t>In January 2017, FASB issued ASU 2017-04, “Intangibles-Goodwill and Other (Topic 350)”. This update addresses concerns expressed about the cost and complexity of the goodwill impairment test and simplifies how an entity is required to test goodwill for impairment by eliminating Step 2 from the goodwill impairment test. The amendments in this ASU are required for public business entities and other entities that have goodwill reported in their financial statements and have not elected the private company alternative for the subsequent measurement of goodwill. The amendments are effective for public business entities that are SEC filers for fiscal years beginning after December 15, 2019. Early adoption is permitted for all entities. The adoption of this ASU on January 1, 2020 did not have a material impact on the Company’s consolidated financial statements. See also Note 2(n).</w:t>
      </w:r>
    </w:p>
    <w:p>
      <w:pPr>
        <w:spacing w:after="0" w:line="87" w:lineRule="exact"/>
        <w:rPr>
          <w:sz w:val="20"/>
          <w:szCs w:val="20"/>
          <w:color w:val="auto"/>
        </w:rPr>
      </w:pPr>
    </w:p>
    <w:p>
      <w:pPr>
        <w:ind w:left="560" w:right="60"/>
        <w:spacing w:after="0" w:line="291" w:lineRule="auto"/>
        <w:rPr>
          <w:sz w:val="20"/>
          <w:szCs w:val="20"/>
          <w:color w:val="auto"/>
        </w:rPr>
      </w:pPr>
      <w:r>
        <w:rPr>
          <w:rFonts w:ascii="Arial" w:cs="Arial" w:eastAsia="Arial" w:hAnsi="Arial"/>
          <w:sz w:val="16"/>
          <w:szCs w:val="16"/>
          <w:color w:val="auto"/>
        </w:rPr>
        <w:t>In June 2016, FASB issued ASU No. 2016-13, “Financial Instruments-Credit Losses (Topic 326): Measurement of Credit Losses on Financial Instruments.” This standard requires entities to measure all expected credit losses of financial assets held at a reporting date based on historical experience, current conditions, and reasonable and supportable forecasts in order to record credit losses in a timelier manner. ASU 2016-13 also amends the accounting for credit losses on available-for-sale debt securities and purchased financial assets with credit deterioration. The standard is effective for interim and annual reporting periods beginning after December 15, 2019, although early adoption is permitted for interim and annual periods beginning after December 15, 2018. The Company has assessed all the expected credit losses of its financial assets and the adoption of this ASU on January 1, 2020 did not have a material impact on the Company’s consolidated financial statements. See also Note 2(aa).</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Recently Issued Accounting Pronouncements Pending Adoption</w:t>
      </w:r>
    </w:p>
    <w:p>
      <w:pPr>
        <w:spacing w:after="0" w:line="117" w:lineRule="exact"/>
        <w:rPr>
          <w:sz w:val="20"/>
          <w:szCs w:val="20"/>
          <w:color w:val="auto"/>
        </w:rPr>
      </w:pPr>
    </w:p>
    <w:p>
      <w:pPr>
        <w:ind w:left="560" w:right="40"/>
        <w:spacing w:after="0" w:line="263" w:lineRule="auto"/>
        <w:rPr>
          <w:sz w:val="20"/>
          <w:szCs w:val="20"/>
          <w:color w:val="auto"/>
        </w:rPr>
      </w:pPr>
      <w:r>
        <w:rPr>
          <w:rFonts w:ascii="Arial" w:cs="Arial" w:eastAsia="Arial" w:hAnsi="Arial"/>
          <w:sz w:val="18"/>
          <w:szCs w:val="18"/>
          <w:color w:val="auto"/>
        </w:rPr>
        <w:t>In December 2019, FASB issued ASU 2019-12, Income Taxes (Topic 740), which modifies ASC 740 to simplify the accounting for income taxes. It removes certain exceptions to the general principles in Topic 740 and amends existing guidance to improve consistent application. The amendments in ASU 2019-12 are effective for public business entities for fiscal years beginning after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20"/>
          </w:cols>
          <w:pgMar w:left="320" w:top="459" w:right="4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NAVIOS MARITIME HOLDINGS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(Expressed in thousands of U.S. dollars — except share data)</w:t>
      </w:r>
    </w:p>
    <w:p>
      <w:pPr>
        <w:spacing w:after="0" w:line="143" w:lineRule="exact"/>
        <w:rPr>
          <w:sz w:val="20"/>
          <w:szCs w:val="20"/>
          <w:color w:val="auto"/>
        </w:rPr>
      </w:pPr>
    </w:p>
    <w:p>
      <w:pPr>
        <w:ind w:left="560" w:right="20"/>
        <w:spacing w:after="0" w:line="286" w:lineRule="auto"/>
        <w:rPr>
          <w:sz w:val="20"/>
          <w:szCs w:val="20"/>
          <w:color w:val="auto"/>
        </w:rPr>
      </w:pPr>
      <w:r>
        <w:rPr>
          <w:rFonts w:ascii="Arial" w:cs="Arial" w:eastAsia="Arial" w:hAnsi="Arial"/>
          <w:sz w:val="17"/>
          <w:szCs w:val="17"/>
          <w:color w:val="auto"/>
        </w:rPr>
        <w:t>December 15, 2020, including interim periods therein. Early adoption of the standard is permitted, including adoption in interim or annual periods for which financial statements have not yet been issued. The Company is currently assessing the impact of that standard and believes that it will not have any material impact on the Company’s disclosures to the consolidated financial statements.</w:t>
      </w:r>
    </w:p>
    <w:p>
      <w:pPr>
        <w:spacing w:after="0" w:line="57" w:lineRule="exact"/>
        <w:rPr>
          <w:sz w:val="20"/>
          <w:szCs w:val="20"/>
          <w:color w:val="auto"/>
        </w:rPr>
      </w:pPr>
    </w:p>
    <w:p>
      <w:pPr>
        <w:ind w:left="560" w:right="20"/>
        <w:spacing w:after="0" w:line="275" w:lineRule="auto"/>
        <w:rPr>
          <w:sz w:val="20"/>
          <w:szCs w:val="20"/>
          <w:color w:val="auto"/>
        </w:rPr>
      </w:pPr>
      <w:r>
        <w:rPr>
          <w:rFonts w:ascii="Arial" w:cs="Arial" w:eastAsia="Arial" w:hAnsi="Arial"/>
          <w:sz w:val="17"/>
          <w:szCs w:val="17"/>
          <w:color w:val="auto"/>
        </w:rPr>
        <w:t>In August 2018, FASB issued ASU 2018-14, “Compensation-Retirement Benefits-Defined Benefit Plans (Topic 715-20): Disclosure Framework-Changes to the Disclosure Requirements for Defined Benefit Plans”. This update modifies the disclosure requirements for defined benefit pension plans and other postretirement plans. ASU 2018-14 is effective for public business entities that are SEC filers beginning in the first quarter of fiscal year 2021, and earlier adoption is permitted. The Company is currently assessing the impact of that standard and believes that it will not have any material impact on the Company’s disclosures to the consolidated financial statements.</w:t>
      </w:r>
    </w:p>
    <w:p>
      <w:pPr>
        <w:spacing w:after="0" w:line="280" w:lineRule="exact"/>
        <w:rPr>
          <w:sz w:val="20"/>
          <w:szCs w:val="20"/>
          <w:color w:val="auto"/>
        </w:rPr>
      </w:pPr>
    </w:p>
    <w:p>
      <w:pPr>
        <w:ind w:left="120" w:right="2200"/>
        <w:spacing w:after="0" w:line="378" w:lineRule="auto"/>
        <w:rPr>
          <w:sz w:val="20"/>
          <w:szCs w:val="20"/>
          <w:color w:val="auto"/>
        </w:rPr>
      </w:pPr>
      <w:r>
        <w:rPr>
          <w:rFonts w:ascii="Arial" w:cs="Arial" w:eastAsia="Arial" w:hAnsi="Arial"/>
          <w:sz w:val="18"/>
          <w:szCs w:val="18"/>
          <w:b w:val="1"/>
          <w:bCs w:val="1"/>
          <w:color w:val="auto"/>
        </w:rPr>
        <w:t>NOTE 3: SALE OF MANAGEMENT &amp; CONSOLIDATION/DECONSOLIDATION OF NAVIOS CONTAINERS Sale of Management</w:t>
      </w:r>
    </w:p>
    <w:p>
      <w:pPr>
        <w:ind w:left="120" w:right="60" w:firstLine="440"/>
        <w:spacing w:after="0" w:line="286" w:lineRule="auto"/>
        <w:rPr>
          <w:sz w:val="20"/>
          <w:szCs w:val="20"/>
          <w:color w:val="auto"/>
        </w:rPr>
      </w:pPr>
      <w:r>
        <w:rPr>
          <w:rFonts w:ascii="Arial" w:cs="Arial" w:eastAsia="Arial" w:hAnsi="Arial"/>
          <w:sz w:val="17"/>
          <w:szCs w:val="17"/>
          <w:color w:val="auto"/>
        </w:rPr>
        <w:t>In August 2019, Navios Holdings sold its ship management division, the general partnership interests in Navios Partners (except for the incentive distribution rights) and Navios Containers GP LLC (the “Transaction”) to NSM, affiliated with Company’s Chairman and Chief Executive Officer, Angeliki Frangou. The Company received aggregate consideration of $20,000 (including assumption of liabilities). (Refer to Note 16).</w:t>
      </w:r>
    </w:p>
    <w:p>
      <w:pPr>
        <w:spacing w:after="0" w:line="165"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As a result of the Transaction the Company is a holding company owning dry bulk vessels and various investments in entities owning maritime and infrastructure assets. NSM owns all entities providing ship management services and employs all associated people. NSM owns the general partner interests in Navios Containers and Navios Partners. The Company deconsolidated Navios Containers from August 30, 2019 onwards.</w:t>
      </w:r>
    </w:p>
    <w:p>
      <w:pPr>
        <w:spacing w:after="0" w:line="149"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The Company simultaneously entered into a secured credit facility with NSM whereby the Company agreed to repay NSM a loan of $141,795 (including post-closing adjustments). See also in Note 16 “NSM Loan”.</w:t>
      </w:r>
    </w:p>
    <w:p>
      <w:pPr>
        <w:spacing w:after="0" w:line="170"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difference between the carrying value of the identifiable net liabilities sold as of August 30, 2019 and the loan payable to NSM assumed by Navios Holdings, and the sale proceeds, net of expenses, resulted in a gain on sale of $9,802.</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7960" w:type="dxa"/>
            <w:vAlign w:val="bottom"/>
            <w:gridSpan w:val="2"/>
          </w:tcPr>
          <w:p>
            <w:pPr>
              <w:spacing w:after="0"/>
              <w:rPr>
                <w:sz w:val="20"/>
                <w:szCs w:val="20"/>
                <w:color w:val="auto"/>
              </w:rPr>
            </w:pPr>
            <w:r>
              <w:rPr>
                <w:rFonts w:ascii="Arial" w:cs="Arial" w:eastAsia="Arial" w:hAnsi="Arial"/>
                <w:sz w:val="18"/>
                <w:szCs w:val="18"/>
                <w:color w:val="auto"/>
              </w:rPr>
              <w:t>The gain on sale was calculated as follows:</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20" w:type="dxa"/>
            <w:vAlign w:val="bottom"/>
            <w:vMerge w:val="restart"/>
          </w:tcPr>
          <w:p>
            <w:pPr>
              <w:spacing w:after="0"/>
              <w:rPr>
                <w:sz w:val="21"/>
                <w:szCs w:val="21"/>
                <w:color w:val="auto"/>
              </w:rPr>
            </w:pPr>
          </w:p>
        </w:tc>
        <w:tc>
          <w:tcPr>
            <w:tcW w:w="6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Proceeds received:</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640" w:type="dxa"/>
            <w:vAlign w:val="bottom"/>
          </w:tcPr>
          <w:p>
            <w:pPr>
              <w:ind w:left="180"/>
              <w:spacing w:after="0"/>
              <w:rPr>
                <w:sz w:val="20"/>
                <w:szCs w:val="20"/>
                <w:color w:val="auto"/>
              </w:rPr>
            </w:pPr>
            <w:r>
              <w:rPr>
                <w:rFonts w:ascii="Arial" w:cs="Arial" w:eastAsia="Arial" w:hAnsi="Arial"/>
                <w:sz w:val="18"/>
                <w:szCs w:val="18"/>
                <w:color w:val="auto"/>
              </w:rPr>
              <w:t>Cash consideration</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Less: Transaction fees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6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Carrying value of assets and liabilities: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Net liabilities derecognized</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158,795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Loan payable to NSM assumed</w:t>
            </w: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0"/>
              </w:rPr>
              <w:t>(141,795)</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Book value of general partner interest in Navios Partners</w:t>
            </w:r>
          </w:p>
        </w:tc>
        <w:tc>
          <w:tcPr>
            <w:tcW w:w="8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(3,212)</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Book value of Other fixed assets</w:t>
            </w: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(6,213)</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Lease liability, net</w:t>
            </w: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7,890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960" w:type="dxa"/>
            <w:vAlign w:val="bottom"/>
            <w:gridSpan w:val="2"/>
          </w:tcPr>
          <w:p>
            <w:pPr>
              <w:ind w:left="1320"/>
              <w:spacing w:after="0"/>
              <w:rPr>
                <w:sz w:val="20"/>
                <w:szCs w:val="20"/>
                <w:color w:val="auto"/>
              </w:rPr>
            </w:pPr>
            <w:r>
              <w:rPr>
                <w:rFonts w:ascii="Arial" w:cs="Arial" w:eastAsia="Arial" w:hAnsi="Arial"/>
                <w:sz w:val="18"/>
                <w:szCs w:val="18"/>
                <w:b w:val="1"/>
                <w:bCs w:val="1"/>
                <w:color w:val="auto"/>
              </w:rPr>
              <w:t>Gain on sale</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9,802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Consolidation/ Deconsolidation of Navios Containers</w:t>
      </w:r>
    </w:p>
    <w:p>
      <w:pPr>
        <w:spacing w:after="0" w:line="121" w:lineRule="exact"/>
        <w:rPr>
          <w:sz w:val="20"/>
          <w:szCs w:val="20"/>
          <w:color w:val="auto"/>
        </w:rPr>
      </w:pPr>
    </w:p>
    <w:p>
      <w:pPr>
        <w:ind w:left="120" w:right="180" w:firstLine="440"/>
        <w:spacing w:after="0" w:line="255" w:lineRule="auto"/>
        <w:rPr>
          <w:sz w:val="20"/>
          <w:szCs w:val="20"/>
          <w:color w:val="auto"/>
        </w:rPr>
      </w:pPr>
      <w:r>
        <w:rPr>
          <w:rFonts w:ascii="Arial" w:cs="Arial" w:eastAsia="Arial" w:hAnsi="Arial"/>
          <w:sz w:val="18"/>
          <w:szCs w:val="18"/>
          <w:color w:val="auto"/>
        </w:rPr>
        <w:t>Navios Maritime Containers Inc. was incorporated in the Republic of the Marshall Islands on April 28, 2017 (date of inception) and on November 30, 2018, was converted into a limited partnership. In connection with the conversion, Navios Maritime Containers GP LLC, a Republic of the Marshall Islands limited liability company and wholly-owned subsidiary of Navios Holdings, was admitted as Navios Containers’ general partner. As of that date, as a result of holding the general partner interest which had the power to govern the financial and operating policies of Navios Containers, Navios Holdings obtained control over Navios Containers and consequently the results of operations of Navios Containers were consolidated under Navios Holdings.</w:t>
      </w:r>
    </w:p>
    <w:p>
      <w:pPr>
        <w:spacing w:after="0" w:line="192"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Following the sale of Navios Containers’ general partnership interest effected on August 30, 2019 along with the sale of the management division, referred above, Navios Holdings deconsolidated Navios Containers from that date onwards in accordance with ASC 810. As a result, since August 30, 2019, Navios Containers is not a controlled subsidiary of the Company and the investment in Navios Containers is accounted for under the equity method due to Navios Holdings’ significant influence over Navios Containers.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100"/>
          </w:cols>
          <w:pgMar w:left="320" w:top="459" w:right="47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NAVIOS MARITIME HOLDINGS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(Expressed in thousands of U.S. dollars — except share data)</w:t>
      </w:r>
    </w:p>
    <w:p>
      <w:pPr>
        <w:spacing w:after="0" w:line="143" w:lineRule="exact"/>
        <w:rPr>
          <w:sz w:val="20"/>
          <w:szCs w:val="20"/>
          <w:color w:val="auto"/>
        </w:rPr>
      </w:pPr>
    </w:p>
    <w:p>
      <w:pPr>
        <w:jc w:val="both"/>
        <w:ind w:left="120" w:right="40" w:firstLine="440"/>
        <w:spacing w:after="0" w:line="301" w:lineRule="auto"/>
        <w:rPr>
          <w:sz w:val="20"/>
          <w:szCs w:val="20"/>
          <w:color w:val="auto"/>
        </w:rPr>
      </w:pPr>
      <w:r>
        <w:rPr>
          <w:rFonts w:ascii="Arial" w:cs="Arial" w:eastAsia="Arial" w:hAnsi="Arial"/>
          <w:sz w:val="16"/>
          <w:szCs w:val="16"/>
          <w:color w:val="auto"/>
        </w:rPr>
        <w:t>The difference between the carrying value of Navios Containers’ identifiable net assets and noncontrolling interest derecognized as of August 30, 2019 amounted to $57,999 and the loss from the remeasurement of Navios Holdings’ interest in Navios Containers to its fair value of $2,527 amounted to $3,742 and are included within the caption “Loss on loss of control” in the consolidated statements of comprehensive (loss)/income. The fair value of the 1,263,276 shares of Navios Containers owned by Navios Holdings was determined by using the closing share price of $2.00 as of that date.</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Amounts recorded in respect of discontinued operations in the years ended December 31, 2019 and 2018, respectively are as follows:</w:t>
      </w:r>
    </w:p>
    <w:p>
      <w:pPr>
        <w:spacing w:after="0" w:line="24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Period from</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Period from</w:t>
            </w:r>
          </w:p>
        </w:tc>
      </w:tr>
      <w:tr>
        <w:trPr>
          <w:trHeight w:val="149"/>
        </w:trPr>
        <w:tc>
          <w:tcPr>
            <w:tcW w:w="594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January 1 to</w:t>
            </w:r>
          </w:p>
        </w:tc>
        <w:tc>
          <w:tcPr>
            <w:tcW w:w="26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November 30 to</w:t>
            </w:r>
          </w:p>
        </w:tc>
      </w:tr>
      <w:tr>
        <w:trPr>
          <w:trHeight w:val="148"/>
        </w:trPr>
        <w:tc>
          <w:tcPr>
            <w:tcW w:w="5940" w:type="dxa"/>
            <w:vAlign w:val="bottom"/>
          </w:tcPr>
          <w:p>
            <w:pPr>
              <w:spacing w:after="0"/>
              <w:rPr>
                <w:sz w:val="12"/>
                <w:szCs w:val="12"/>
                <w:color w:val="auto"/>
              </w:rPr>
            </w:pPr>
          </w:p>
        </w:tc>
        <w:tc>
          <w:tcPr>
            <w:tcW w:w="1080" w:type="dxa"/>
            <w:vAlign w:val="bottom"/>
            <w:gridSpan w:val="3"/>
          </w:tcPr>
          <w:p>
            <w:pPr>
              <w:jc w:val="right"/>
              <w:ind w:right="281"/>
              <w:spacing w:after="0" w:line="149" w:lineRule="exact"/>
              <w:rPr>
                <w:sz w:val="20"/>
                <w:szCs w:val="20"/>
                <w:color w:val="auto"/>
              </w:rPr>
            </w:pPr>
            <w:r>
              <w:rPr>
                <w:rFonts w:ascii="Arial" w:cs="Arial" w:eastAsia="Arial" w:hAnsi="Arial"/>
                <w:sz w:val="14"/>
                <w:szCs w:val="14"/>
                <w:b w:val="1"/>
                <w:bCs w:val="1"/>
                <w:color w:val="auto"/>
                <w:w w:val="97"/>
              </w:rPr>
              <w:t>August 30,</w:t>
            </w:r>
          </w:p>
        </w:tc>
        <w:tc>
          <w:tcPr>
            <w:tcW w:w="260" w:type="dxa"/>
            <w:vAlign w:val="bottom"/>
          </w:tcPr>
          <w:p>
            <w:pPr>
              <w:spacing w:after="0"/>
              <w:rPr>
                <w:sz w:val="12"/>
                <w:szCs w:val="12"/>
                <w:color w:val="auto"/>
              </w:rPr>
            </w:pPr>
          </w:p>
        </w:tc>
        <w:tc>
          <w:tcPr>
            <w:tcW w:w="10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December 31,</w:t>
            </w:r>
          </w:p>
        </w:tc>
      </w:tr>
      <w:tr>
        <w:trPr>
          <w:trHeight w:val="171"/>
        </w:trPr>
        <w:tc>
          <w:tcPr>
            <w:tcW w:w="59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CEEFF"/>
            </w:tcBorders>
          </w:tcPr>
          <w:p>
            <w:pPr>
              <w:spacing w:after="0"/>
              <w:rPr>
                <w:sz w:val="14"/>
                <w:szCs w:val="14"/>
                <w:color w:val="auto"/>
              </w:rPr>
            </w:pPr>
          </w:p>
        </w:tc>
      </w:tr>
      <w:tr>
        <w:trPr>
          <w:trHeight w:val="209"/>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89,925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12,053</w:t>
            </w:r>
          </w:p>
        </w:tc>
        <w:tc>
          <w:tcPr>
            <w:tcW w:w="10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Time charter, voyage and port terminal expenses</w:t>
            </w:r>
          </w:p>
        </w:tc>
        <w:tc>
          <w:tcPr>
            <w:tcW w:w="160" w:type="dxa"/>
            <w:vAlign w:val="bottom"/>
          </w:tcPr>
          <w:p>
            <w:pPr>
              <w:spacing w:after="0"/>
              <w:rPr>
                <w:sz w:val="18"/>
                <w:szCs w:val="18"/>
                <w:color w:val="auto"/>
              </w:rPr>
            </w:pPr>
          </w:p>
        </w:tc>
        <w:tc>
          <w:tcPr>
            <w:tcW w:w="920" w:type="dxa"/>
            <w:vAlign w:val="bottom"/>
            <w:gridSpan w:val="2"/>
          </w:tcPr>
          <w:p>
            <w:pPr>
              <w:jc w:val="right"/>
              <w:ind w:right="161"/>
              <w:spacing w:after="0"/>
              <w:rPr>
                <w:sz w:val="20"/>
                <w:szCs w:val="20"/>
                <w:color w:val="auto"/>
              </w:rPr>
            </w:pPr>
            <w:r>
              <w:rPr>
                <w:rFonts w:ascii="Arial" w:cs="Arial" w:eastAsia="Arial" w:hAnsi="Arial"/>
                <w:sz w:val="18"/>
                <w:szCs w:val="18"/>
                <w:color w:val="auto"/>
              </w:rPr>
              <w:t>(3,976)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(546)</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Direct vessel expenses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w w:val="98"/>
              </w:rPr>
              <w:t>(44,088)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(5,282)</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tcPr>
          <w:p>
            <w:pPr>
              <w:spacing w:after="0"/>
              <w:rPr>
                <w:sz w:val="18"/>
                <w:szCs w:val="18"/>
                <w:color w:val="auto"/>
              </w:rPr>
            </w:pPr>
          </w:p>
        </w:tc>
        <w:tc>
          <w:tcPr>
            <w:tcW w:w="920" w:type="dxa"/>
            <w:vAlign w:val="bottom"/>
            <w:gridSpan w:val="2"/>
          </w:tcPr>
          <w:p>
            <w:pPr>
              <w:jc w:val="right"/>
              <w:ind w:right="161"/>
              <w:spacing w:after="0"/>
              <w:rPr>
                <w:sz w:val="20"/>
                <w:szCs w:val="20"/>
                <w:color w:val="auto"/>
              </w:rPr>
            </w:pPr>
            <w:r>
              <w:rPr>
                <w:rFonts w:ascii="Arial" w:cs="Arial" w:eastAsia="Arial" w:hAnsi="Arial"/>
                <w:sz w:val="18"/>
                <w:szCs w:val="18"/>
                <w:color w:val="auto"/>
              </w:rPr>
              <w:t>(6,706)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(873)</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w w:val="98"/>
              </w:rPr>
              <w:t>(22,858)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(3,060)</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Interest expense and finance cost</w:t>
            </w:r>
          </w:p>
        </w:tc>
        <w:tc>
          <w:tcPr>
            <w:tcW w:w="160" w:type="dxa"/>
            <w:vAlign w:val="bottom"/>
          </w:tcPr>
          <w:p>
            <w:pPr>
              <w:spacing w:after="0"/>
              <w:rPr>
                <w:sz w:val="18"/>
                <w:szCs w:val="18"/>
                <w:color w:val="auto"/>
              </w:rPr>
            </w:pPr>
          </w:p>
        </w:tc>
        <w:tc>
          <w:tcPr>
            <w:tcW w:w="920" w:type="dxa"/>
            <w:vAlign w:val="bottom"/>
            <w:gridSpan w:val="2"/>
          </w:tcPr>
          <w:p>
            <w:pPr>
              <w:jc w:val="right"/>
              <w:ind w:right="161"/>
              <w:spacing w:after="0"/>
              <w:rPr>
                <w:sz w:val="20"/>
                <w:szCs w:val="20"/>
                <w:color w:val="auto"/>
              </w:rPr>
            </w:pPr>
            <w:r>
              <w:rPr>
                <w:rFonts w:ascii="Arial" w:cs="Arial" w:eastAsia="Arial" w:hAnsi="Arial"/>
                <w:sz w:val="18"/>
                <w:szCs w:val="18"/>
                <w:color w:val="auto"/>
                <w:w w:val="98"/>
              </w:rPr>
              <w:t>(10,519)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(1,204)</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(5,896)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(336)</w:t>
            </w:r>
          </w:p>
        </w:tc>
      </w:tr>
      <w:tr>
        <w:trPr>
          <w:trHeight w:val="230"/>
        </w:trPr>
        <w:tc>
          <w:tcPr>
            <w:tcW w:w="5940" w:type="dxa"/>
            <w:vAlign w:val="bottom"/>
          </w:tcPr>
          <w:p>
            <w:pPr>
              <w:spacing w:after="0"/>
              <w:rPr>
                <w:sz w:val="20"/>
                <w:szCs w:val="20"/>
                <w:color w:val="auto"/>
              </w:rPr>
            </w:pPr>
            <w:r>
              <w:rPr>
                <w:rFonts w:ascii="Arial" w:cs="Arial" w:eastAsia="Arial" w:hAnsi="Arial"/>
                <w:sz w:val="18"/>
                <w:szCs w:val="18"/>
                <w:b w:val="1"/>
                <w:bCs w:val="1"/>
                <w:color w:val="auto"/>
              </w:rPr>
              <w:t>Net (loss)/income from discontinued operations</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(4,118</w:t>
            </w:r>
          </w:p>
        </w:tc>
        <w:tc>
          <w:tcPr>
            <w:tcW w:w="300" w:type="dxa"/>
            <w:vAlign w:val="bottom"/>
          </w:tcPr>
          <w:p>
            <w:pPr>
              <w:jc w:val="right"/>
              <w:ind w:right="161"/>
              <w:spacing w:after="0"/>
              <w:rPr>
                <w:sz w:val="20"/>
                <w:szCs w:val="20"/>
                <w:color w:val="auto"/>
              </w:rPr>
            </w:pPr>
            <w:r>
              <w:rPr>
                <w:rFonts w:ascii="Arial" w:cs="Arial" w:eastAsia="Arial" w:hAnsi="Arial"/>
                <w:sz w:val="16"/>
                <w:szCs w:val="16"/>
                <w:b w:val="1"/>
                <w:bCs w:val="1"/>
                <w:color w:val="auto"/>
                <w:w w:val="74"/>
              </w:rPr>
              <w:t>)</w:t>
            </w: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752</w:t>
            </w:r>
          </w:p>
        </w:tc>
        <w:tc>
          <w:tcPr>
            <w:tcW w:w="100" w:type="dxa"/>
            <w:vAlign w:val="bottom"/>
          </w:tcPr>
          <w:p>
            <w:pPr>
              <w:spacing w:after="0"/>
              <w:rPr>
                <w:sz w:val="20"/>
                <w:szCs w:val="20"/>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Less: Net loss/(income) attributable to the noncontrolling interest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3,968</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(725)</w:t>
            </w:r>
          </w:p>
        </w:tc>
      </w:tr>
      <w:tr>
        <w:trPr>
          <w:trHeight w:val="205"/>
        </w:trPr>
        <w:tc>
          <w:tcPr>
            <w:tcW w:w="5940" w:type="dxa"/>
            <w:vAlign w:val="bottom"/>
          </w:tcPr>
          <w:p>
            <w:pPr>
              <w:spacing w:after="0" w:line="205" w:lineRule="exact"/>
              <w:rPr>
                <w:sz w:val="20"/>
                <w:szCs w:val="20"/>
                <w:color w:val="auto"/>
              </w:rPr>
            </w:pPr>
            <w:r>
              <w:rPr>
                <w:rFonts w:ascii="Arial" w:cs="Arial" w:eastAsia="Arial" w:hAnsi="Arial"/>
                <w:sz w:val="18"/>
                <w:szCs w:val="18"/>
                <w:b w:val="1"/>
                <w:bCs w:val="1"/>
                <w:color w:val="auto"/>
              </w:rPr>
              <w:t>Net (loss)/income attributable to Navios Holdings common</w:t>
            </w: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940" w:type="dxa"/>
            <w:vAlign w:val="bottom"/>
          </w:tcPr>
          <w:p>
            <w:pPr>
              <w:ind w:left="180"/>
              <w:spacing w:after="0"/>
              <w:rPr>
                <w:sz w:val="20"/>
                <w:szCs w:val="20"/>
                <w:color w:val="auto"/>
              </w:rPr>
            </w:pPr>
            <w:r>
              <w:rPr>
                <w:rFonts w:ascii="Arial" w:cs="Arial" w:eastAsia="Arial" w:hAnsi="Arial"/>
                <w:sz w:val="18"/>
                <w:szCs w:val="18"/>
                <w:b w:val="1"/>
                <w:bCs w:val="1"/>
                <w:color w:val="auto"/>
              </w:rPr>
              <w:t>stockholders</w:t>
            </w: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161"/>
              <w:spacing w:after="0"/>
              <w:rPr>
                <w:sz w:val="20"/>
                <w:szCs w:val="20"/>
                <w:color w:val="auto"/>
              </w:rPr>
            </w:pPr>
            <w:r>
              <w:rPr>
                <w:rFonts w:ascii="Arial" w:cs="Arial" w:eastAsia="Arial" w:hAnsi="Arial"/>
                <w:sz w:val="18"/>
                <w:szCs w:val="18"/>
                <w:b w:val="1"/>
                <w:bCs w:val="1"/>
                <w:color w:val="auto"/>
              </w:rPr>
              <w:t>(150)</w:t>
            </w:r>
          </w:p>
        </w:tc>
        <w:tc>
          <w:tcPr>
            <w:tcW w:w="360" w:type="dxa"/>
            <w:vAlign w:val="bottom"/>
            <w:gridSpan w:val="2"/>
          </w:tcPr>
          <w:p>
            <w:pPr>
              <w:ind w:left="26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27</w:t>
            </w:r>
          </w:p>
        </w:tc>
      </w:tr>
      <w:tr>
        <w:trPr>
          <w:trHeight w:val="20"/>
        </w:trPr>
        <w:tc>
          <w:tcPr>
            <w:tcW w:w="5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20" w:firstLine="440"/>
        <w:spacing w:after="0" w:line="254" w:lineRule="auto"/>
        <w:rPr>
          <w:sz w:val="20"/>
          <w:szCs w:val="20"/>
          <w:color w:val="auto"/>
        </w:rPr>
      </w:pPr>
      <w:r>
        <w:rPr>
          <w:rFonts w:ascii="Arial" w:cs="Arial" w:eastAsia="Arial" w:hAnsi="Arial"/>
          <w:sz w:val="18"/>
          <w:szCs w:val="18"/>
          <w:color w:val="auto"/>
        </w:rPr>
        <w:t>Navios Containers accounted for the control obtained in November 2018 as a business combination which resulted in the application of the “acquisition method”, as defined under ASC 805 “Business Combinations”, as well as the recalculation of Navios Holdings’ equity interest in Navios Containers to its fair value at the date of obtaining control and the recognition of a gain in the consolidated statements of comprehensive (loss)/income. The excess of the fair value of Navios Containers’ identifiable net assets of $229,865 over the total fair value of Navios Containers’ total shares outstanding as of November 30, 2018 of $171,743, resulted in a bargain gain upon obtaining control in the amount of $58,122. The fair value of the 34,603,100 total Navios Container’s shares outstanding as of November 30, 2018 was determined by using the closing share price of $4.96, as of that date.</w:t>
      </w:r>
    </w:p>
    <w:p>
      <w:pPr>
        <w:spacing w:after="0" w:line="19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As of November 30, 2018, Navios Holdings’ interest in Navios Containers with a carrying value of $6,078 was remeasured to fair value of $6,269, resulting in a gain on obtaining control in the amount of $191 and is presented within “Bargain gain upon obtaining control” in the consolidated statements of comprehensive (loss)/income.</w:t>
      </w:r>
    </w:p>
    <w:p>
      <w:pPr>
        <w:spacing w:after="0" w:line="184"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The results of operations of Navios Containers were included in Navios Holdings’ consolidated statements of comprehensive (loss)/income following the completion of the conversion of Navios Maritime Containers Inc. into a limited partnership on November 30, 2018 and until August 30, 2019.</w:t>
      </w:r>
    </w:p>
    <w:p>
      <w:pPr>
        <w:spacing w:after="0" w:line="184"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following table summarizes the fair value of Navios Containers outstanding shares, the fair value of assets and liabilities and the fair value of the noncontrolling interest in Navios Containers assumed on November 30, 2018:</w:t>
      </w:r>
    </w:p>
    <w:p>
      <w:pPr>
        <w:spacing w:after="0" w:line="212"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Fair value of Navios Containers’ outstanding shares: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Fair value of Navios Holdings’ interest (3.7%)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6,269</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noncontrolling interest (96.3%)</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165,474</w:t>
            </w:r>
          </w:p>
        </w:tc>
      </w:tr>
      <w:tr>
        <w:trPr>
          <w:trHeight w:val="223"/>
        </w:trPr>
        <w:tc>
          <w:tcPr>
            <w:tcW w:w="6740" w:type="dxa"/>
            <w:vAlign w:val="bottom"/>
          </w:tcPr>
          <w:p>
            <w:pPr>
              <w:spacing w:after="0"/>
              <w:rPr>
                <w:sz w:val="20"/>
                <w:szCs w:val="20"/>
                <w:color w:val="auto"/>
              </w:rPr>
            </w:pPr>
            <w:r>
              <w:rPr>
                <w:rFonts w:ascii="Arial" w:cs="Arial" w:eastAsia="Arial" w:hAnsi="Arial"/>
                <w:sz w:val="18"/>
                <w:szCs w:val="18"/>
                <w:b w:val="1"/>
                <w:bCs w:val="1"/>
                <w:color w:val="auto"/>
              </w:rPr>
              <w:t>Total fair value of Navios Containers’ outstanding shares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171,743</w:t>
            </w:r>
          </w:p>
        </w:tc>
        <w:tc>
          <w:tcPr>
            <w:tcW w:w="60" w:type="dxa"/>
            <w:vAlign w:val="bottom"/>
          </w:tcPr>
          <w:p>
            <w:pPr>
              <w:spacing w:after="0"/>
              <w:rPr>
                <w:sz w:val="19"/>
                <w:szCs w:val="19"/>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Fair value of Navios Containers’ assets and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Current assets (including cash and restricted cash of $24,400)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27,705</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Vessels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376,133</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Favorable lease terms</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31,342</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Long term receivable from affiliate companies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7,313</w:t>
            </w:r>
          </w:p>
        </w:tc>
      </w:tr>
      <w:tr>
        <w:trPr>
          <w:trHeight w:val="364"/>
        </w:trPr>
        <w:tc>
          <w:tcPr>
            <w:tcW w:w="6740" w:type="dxa"/>
            <w:vAlign w:val="bottom"/>
          </w:tcPr>
          <w:p>
            <w:pPr>
              <w:ind w:left="3580"/>
              <w:spacing w:after="0"/>
              <w:rPr>
                <w:sz w:val="20"/>
                <w:szCs w:val="20"/>
                <w:color w:val="auto"/>
              </w:rPr>
            </w:pPr>
            <w:r>
              <w:rPr>
                <w:rFonts w:ascii="Arial" w:cs="Arial" w:eastAsia="Arial" w:hAnsi="Arial"/>
                <w:sz w:val="18"/>
                <w:szCs w:val="18"/>
                <w:color w:val="auto"/>
              </w:rPr>
              <w:t>F-33</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NAVIOS MARITIME HOLDINGS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(Expressed in thousands of U.S. dollars — except share data)</w:t>
      </w:r>
    </w:p>
    <w:p>
      <w:pPr>
        <w:spacing w:after="0" w:line="158"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Other long term assets</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1,099</w:t>
            </w: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Long term debt assumed (including current portion)</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(199,000)</w:t>
            </w: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(14,727)</w:t>
            </w:r>
          </w:p>
        </w:tc>
      </w:tr>
      <w:tr>
        <w:trPr>
          <w:trHeight w:val="230"/>
        </w:trPr>
        <w:tc>
          <w:tcPr>
            <w:tcW w:w="6640" w:type="dxa"/>
            <w:vAlign w:val="bottom"/>
            <w:gridSpan w:val="2"/>
          </w:tcPr>
          <w:p>
            <w:pPr>
              <w:spacing w:after="0"/>
              <w:rPr>
                <w:sz w:val="20"/>
                <w:szCs w:val="20"/>
                <w:color w:val="auto"/>
              </w:rPr>
            </w:pPr>
            <w:r>
              <w:rPr>
                <w:rFonts w:ascii="Arial" w:cs="Arial" w:eastAsia="Arial" w:hAnsi="Arial"/>
                <w:sz w:val="18"/>
                <w:szCs w:val="18"/>
                <w:b w:val="1"/>
                <w:bCs w:val="1"/>
                <w:color w:val="auto"/>
              </w:rPr>
              <w:t>Fair value of Navios Containers’ net assets</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229,865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Bargain gain upon obtaining control</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5"/>
              </w:rPr>
              <w:t>$  58,122</w:t>
            </w: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The transaction resulted in a bargain purchase gain as a result of the share price of Navios Containers trading at a discount to its net asset value (“NAV”).</w:t>
      </w:r>
    </w:p>
    <w:p>
      <w:pPr>
        <w:spacing w:after="0" w:line="170" w:lineRule="exact"/>
        <w:rPr>
          <w:sz w:val="20"/>
          <w:szCs w:val="20"/>
          <w:color w:val="auto"/>
        </w:rPr>
      </w:pPr>
    </w:p>
    <w:p>
      <w:pPr>
        <w:ind w:left="120" w:firstLine="991"/>
        <w:spacing w:after="0" w:line="296" w:lineRule="auto"/>
        <w:rPr>
          <w:sz w:val="20"/>
          <w:szCs w:val="20"/>
          <w:color w:val="auto"/>
        </w:rPr>
      </w:pPr>
      <w:r>
        <w:rPr>
          <w:rFonts w:ascii="Arial" w:cs="Arial" w:eastAsia="Arial" w:hAnsi="Arial"/>
          <w:sz w:val="16"/>
          <w:szCs w:val="16"/>
          <w:color w:val="auto"/>
        </w:rPr>
        <w:t>The fair value of the vessels was determined based on vessel valuations, obtained from independent third party shipbrokers, which were among other things, based on recent sales and purchase transactions of similar vessels. The fair value of the favorable lease terms (intangible assets) was determined by reference to market data and the discounted amount of expected future cash flows. The key assumptions that were used in the discounted cash flow analysis were as follows: 1) the contracted charter rate of the acquired charter over the remaining lease term compared to 2) the current market charter rates for a similar contract and 3) discounted using our weighted average cost of capital of 8.95%.</w:t>
      </w:r>
    </w:p>
    <w:p>
      <w:pPr>
        <w:spacing w:after="0" w:line="161"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intangible assets listed below as determined at the date of obtaining control were amortized under the straight-line method over the period indicated below:</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880" w:type="dxa"/>
            <w:vAlign w:val="bottom"/>
            <w:gridSpan w:val="6"/>
          </w:tcPr>
          <w:p>
            <w:pPr>
              <w:jc w:val="center"/>
              <w:ind w:right="760"/>
              <w:spacing w:after="0"/>
              <w:rPr>
                <w:sz w:val="20"/>
                <w:szCs w:val="20"/>
                <w:color w:val="auto"/>
              </w:rPr>
            </w:pPr>
            <w:r>
              <w:rPr>
                <w:rFonts w:ascii="Arial" w:cs="Arial" w:eastAsia="Arial" w:hAnsi="Arial"/>
                <w:sz w:val="14"/>
                <w:szCs w:val="14"/>
                <w:b w:val="1"/>
                <w:bCs w:val="1"/>
                <w:color w:val="auto"/>
                <w:w w:val="91"/>
              </w:rPr>
              <w:t>Weighted Average</w:t>
            </w:r>
          </w:p>
        </w:tc>
        <w:tc>
          <w:tcPr>
            <w:tcW w:w="92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880" w:type="dxa"/>
            <w:vAlign w:val="bottom"/>
            <w:gridSpan w:val="6"/>
          </w:tcPr>
          <w:p>
            <w:pPr>
              <w:jc w:val="center"/>
              <w:ind w:right="760"/>
              <w:spacing w:after="0" w:line="149" w:lineRule="exact"/>
              <w:rPr>
                <w:sz w:val="20"/>
                <w:szCs w:val="20"/>
                <w:color w:val="auto"/>
              </w:rPr>
            </w:pPr>
            <w:r>
              <w:rPr>
                <w:rFonts w:ascii="Arial" w:cs="Arial" w:eastAsia="Arial" w:hAnsi="Arial"/>
                <w:sz w:val="14"/>
                <w:szCs w:val="14"/>
                <w:b w:val="1"/>
                <w:bCs w:val="1"/>
                <w:color w:val="auto"/>
                <w:w w:val="98"/>
              </w:rPr>
              <w:t>Amortization</w:t>
            </w:r>
          </w:p>
        </w:tc>
        <w:tc>
          <w:tcPr>
            <w:tcW w:w="92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800" w:type="dxa"/>
            <w:vAlign w:val="bottom"/>
            <w:gridSpan w:val="2"/>
          </w:tcPr>
          <w:p>
            <w:pPr>
              <w:jc w:val="center"/>
              <w:ind w:left="248"/>
              <w:spacing w:after="0"/>
              <w:rPr>
                <w:sz w:val="20"/>
                <w:szCs w:val="20"/>
                <w:color w:val="auto"/>
              </w:rPr>
            </w:pPr>
            <w:r>
              <w:rPr>
                <w:rFonts w:ascii="Arial" w:cs="Arial" w:eastAsia="Arial" w:hAnsi="Arial"/>
                <w:sz w:val="14"/>
                <w:szCs w:val="14"/>
                <w:b w:val="1"/>
                <w:bCs w:val="1"/>
                <w:color w:val="auto"/>
                <w:w w:val="95"/>
              </w:rPr>
              <w:t>(years)</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per Year</w:t>
            </w: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5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Favorable lease terms</w:t>
            </w:r>
          </w:p>
        </w:tc>
        <w:tc>
          <w:tcPr>
            <w:tcW w:w="5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(22,391)</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40"/>
        </w:trPr>
        <w:tc>
          <w:tcPr>
            <w:tcW w:w="6880" w:type="dxa"/>
            <w:vAlign w:val="bottom"/>
            <w:gridSpan w:val="2"/>
          </w:tcPr>
          <w:p>
            <w:pPr>
              <w:spacing w:after="0"/>
              <w:rPr>
                <w:sz w:val="20"/>
                <w:szCs w:val="20"/>
                <w:color w:val="auto"/>
              </w:rPr>
            </w:pPr>
            <w:r>
              <w:rPr>
                <w:rFonts w:ascii="Arial" w:cs="Arial" w:eastAsia="Arial" w:hAnsi="Arial"/>
                <w:sz w:val="18"/>
                <w:szCs w:val="18"/>
                <w:b w:val="1"/>
                <w:bCs w:val="1"/>
                <w:color w:val="auto"/>
              </w:rPr>
              <w:t>NOTE 4: CASH AND CASH EQUIVALENTS AND RESTRICTED CASH</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880" w:type="dxa"/>
            <w:vAlign w:val="bottom"/>
            <w:gridSpan w:val="2"/>
          </w:tcPr>
          <w:p>
            <w:pPr>
              <w:ind w:left="440"/>
              <w:spacing w:after="0"/>
              <w:rPr>
                <w:sz w:val="20"/>
                <w:szCs w:val="20"/>
                <w:color w:val="auto"/>
              </w:rPr>
            </w:pPr>
            <w:r>
              <w:rPr>
                <w:rFonts w:ascii="Arial" w:cs="Arial" w:eastAsia="Arial" w:hAnsi="Arial"/>
                <w:sz w:val="18"/>
                <w:szCs w:val="18"/>
                <w:color w:val="auto"/>
              </w:rPr>
              <w:t>Cash and cash equivalents and restricted cash consisted of the following:</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20" w:type="dxa"/>
            <w:vAlign w:val="bottom"/>
            <w:gridSpan w:val="5"/>
          </w:tcPr>
          <w:p>
            <w:pPr>
              <w:spacing w:after="0"/>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24"/>
                <w:szCs w:val="24"/>
                <w:color w:val="auto"/>
              </w:rPr>
            </w:pPr>
          </w:p>
        </w:tc>
        <w:tc>
          <w:tcPr>
            <w:tcW w:w="880" w:type="dxa"/>
            <w:vAlign w:val="bottom"/>
            <w:gridSpan w:val="4"/>
          </w:tcPr>
          <w:p>
            <w:pPr>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556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Cash on hand and at banks</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94,787</w:t>
            </w:r>
          </w:p>
        </w:tc>
        <w:tc>
          <w:tcPr>
            <w:tcW w:w="480" w:type="dxa"/>
            <w:vAlign w:val="bottom"/>
            <w:gridSpan w:val="2"/>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77,041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Short-term deposits and highly liquid funds</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94</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rPr>
              <w:t>16,303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b w:val="1"/>
                <w:bCs w:val="1"/>
                <w:color w:val="auto"/>
              </w:rPr>
              <w:t>Cash and cash equivalents and restricted cash</w:t>
            </w:r>
          </w:p>
        </w:tc>
        <w:tc>
          <w:tcPr>
            <w:tcW w:w="5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9"/>
              </w:rPr>
              <w:t>111,184</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78,727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80" w:firstLine="440"/>
        <w:spacing w:after="0" w:line="308" w:lineRule="auto"/>
        <w:rPr>
          <w:sz w:val="20"/>
          <w:szCs w:val="20"/>
          <w:color w:val="auto"/>
        </w:rPr>
      </w:pPr>
      <w:r>
        <w:rPr>
          <w:rFonts w:ascii="Arial" w:cs="Arial" w:eastAsia="Arial" w:hAnsi="Arial"/>
          <w:sz w:val="17"/>
          <w:szCs w:val="17"/>
          <w:color w:val="auto"/>
        </w:rPr>
        <w:t>Short-term deposits and highly liquid funds relate to amounts held in banks for general financing purposes and represent deposits with an original maturity of less than three months and are included in the consolidated balance sheets within the caption “Cash and cash equivalents”.</w:t>
      </w:r>
    </w:p>
    <w:p>
      <w:pPr>
        <w:spacing w:after="0" w:line="146" w:lineRule="exact"/>
        <w:rPr>
          <w:sz w:val="20"/>
          <w:szCs w:val="20"/>
          <w:color w:val="auto"/>
        </w:rPr>
      </w:pPr>
    </w:p>
    <w:p>
      <w:pPr>
        <w:ind w:left="120" w:right="280" w:firstLine="440"/>
        <w:spacing w:after="0" w:line="311" w:lineRule="auto"/>
        <w:rPr>
          <w:sz w:val="20"/>
          <w:szCs w:val="20"/>
          <w:color w:val="auto"/>
        </w:rPr>
      </w:pPr>
      <w:r>
        <w:rPr>
          <w:rFonts w:ascii="Arial" w:cs="Arial" w:eastAsia="Arial" w:hAnsi="Arial"/>
          <w:sz w:val="16"/>
          <w:szCs w:val="16"/>
          <w:color w:val="auto"/>
        </w:rPr>
        <w:t>Cash deposits and cash equivalents in excess of amounts covered by government-provided insurance are exposed to loss in the event of non-performance by financial institutions. Navios Holdings does maintain cash deposits and equivalents in excess of government provided insurance limits. Navios Holdings reduces exposure to credit risk by dealing with a diversified group of major financial institutions. See also Note 2(e).</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 ACCOUNTS RECEIVABLE, NET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Accounts receivable consisted of the following:</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3200" w:type="dxa"/>
            <w:vAlign w:val="bottom"/>
            <w:tcBorders>
              <w:bottom w:val="single" w:sz="8" w:color="CCEEFF"/>
            </w:tcBorders>
          </w:tcPr>
          <w:p>
            <w:pPr>
              <w:spacing w:after="0"/>
              <w:rPr>
                <w:sz w:val="14"/>
                <w:szCs w:val="14"/>
                <w:color w:val="auto"/>
              </w:rPr>
            </w:pPr>
          </w:p>
        </w:tc>
        <w:tc>
          <w:tcPr>
            <w:tcW w:w="28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4"/>
                <w:szCs w:val="14"/>
                <w:color w:val="auto"/>
              </w:rPr>
            </w:pPr>
          </w:p>
        </w:tc>
      </w:tr>
      <w:tr>
        <w:trPr>
          <w:trHeight w:val="210"/>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69,694</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68,309</w:t>
            </w:r>
          </w:p>
        </w:tc>
        <w:tc>
          <w:tcPr>
            <w:tcW w:w="100" w:type="dxa"/>
            <w:vAlign w:val="bottom"/>
            <w:shd w:val="clear" w:color="auto" w:fill="CCEEFF"/>
          </w:tcPr>
          <w:p>
            <w:pPr>
              <w:spacing w:after="0"/>
              <w:rPr>
                <w:sz w:val="18"/>
                <w:szCs w:val="18"/>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Less: Allowance for credit losses</w:t>
            </w:r>
          </w:p>
        </w:tc>
        <w:tc>
          <w:tcPr>
            <w:tcW w:w="2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(15,366)</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(16,377)</w:t>
            </w:r>
          </w:p>
        </w:tc>
      </w:tr>
      <w:tr>
        <w:trPr>
          <w:trHeight w:val="27"/>
        </w:trPr>
        <w:tc>
          <w:tcPr>
            <w:tcW w:w="32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Accounts receivable, net</w:t>
            </w:r>
          </w:p>
        </w:tc>
        <w:tc>
          <w:tcPr>
            <w:tcW w:w="2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54,328</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51,932</w:t>
            </w:r>
          </w:p>
        </w:tc>
      </w:tr>
      <w:tr>
        <w:trPr>
          <w:trHeight w:val="20"/>
        </w:trPr>
        <w:tc>
          <w:tcPr>
            <w:tcW w:w="32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8"/>
        </w:trPr>
        <w:tc>
          <w:tcPr>
            <w:tcW w:w="3200" w:type="dxa"/>
            <w:vAlign w:val="bottom"/>
          </w:tcPr>
          <w:p>
            <w:pPr>
              <w:spacing w:after="0"/>
              <w:rPr>
                <w:sz w:val="24"/>
                <w:szCs w:val="24"/>
                <w:color w:val="auto"/>
              </w:rPr>
            </w:pPr>
          </w:p>
        </w:tc>
        <w:tc>
          <w:tcPr>
            <w:tcW w:w="3000" w:type="dxa"/>
            <w:vAlign w:val="bottom"/>
            <w:gridSpan w:val="2"/>
          </w:tcPr>
          <w:p>
            <w:pPr>
              <w:ind w:left="820"/>
              <w:spacing w:after="0"/>
              <w:rPr>
                <w:sz w:val="20"/>
                <w:szCs w:val="20"/>
                <w:color w:val="auto"/>
              </w:rPr>
            </w:pPr>
            <w:r>
              <w:rPr>
                <w:rFonts w:ascii="Arial" w:cs="Arial" w:eastAsia="Arial" w:hAnsi="Arial"/>
                <w:sz w:val="18"/>
                <w:szCs w:val="18"/>
                <w:color w:val="auto"/>
              </w:rPr>
              <w:t>F-34</w:t>
            </w: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NAVIOS MARITIME HOLDINGS INC.</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(Expressed in thousands of U.S. dollars — except share data)</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Changes to the allowance for credit losses are summarized as follows:</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16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Balance at</w:t>
            </w:r>
          </w:p>
        </w:tc>
        <w:tc>
          <w:tcPr>
            <w:tcW w:w="160" w:type="dxa"/>
            <w:vAlign w:val="bottom"/>
          </w:tcPr>
          <w:p>
            <w:pPr>
              <w:spacing w:after="0"/>
              <w:rPr>
                <w:sz w:val="14"/>
                <w:szCs w:val="14"/>
                <w:color w:val="auto"/>
              </w:rPr>
            </w:pPr>
          </w:p>
        </w:tc>
        <w:tc>
          <w:tcPr>
            <w:tcW w:w="8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Charges to</w:t>
            </w:r>
          </w:p>
        </w:tc>
        <w:tc>
          <w:tcPr>
            <w:tcW w:w="160" w:type="dxa"/>
            <w:vAlign w:val="bottom"/>
          </w:tcPr>
          <w:p>
            <w:pPr>
              <w:spacing w:after="0"/>
              <w:rPr>
                <w:sz w:val="14"/>
                <w:szCs w:val="14"/>
                <w:color w:val="auto"/>
              </w:rPr>
            </w:pPr>
          </w:p>
        </w:tc>
        <w:tc>
          <w:tcPr>
            <w:tcW w:w="9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8"/>
        </w:trPr>
        <w:tc>
          <w:tcPr>
            <w:tcW w:w="1640" w:type="dxa"/>
            <w:vAlign w:val="bottom"/>
            <w:vMerge w:val="restart"/>
          </w:tcPr>
          <w:p>
            <w:pPr>
              <w:spacing w:after="0"/>
              <w:rPr>
                <w:sz w:val="20"/>
                <w:szCs w:val="20"/>
                <w:color w:val="auto"/>
              </w:rPr>
            </w:pPr>
            <w:r>
              <w:rPr>
                <w:rFonts w:ascii="Arial" w:cs="Arial" w:eastAsia="Arial" w:hAnsi="Arial"/>
                <w:sz w:val="14"/>
                <w:szCs w:val="14"/>
                <w:b w:val="1"/>
                <w:bCs w:val="1"/>
                <w:color w:val="auto"/>
                <w:w w:val="89"/>
              </w:rPr>
              <w:t>Allowance for credit losses</w:t>
            </w:r>
          </w:p>
        </w:tc>
        <w:tc>
          <w:tcPr>
            <w:tcW w:w="2600" w:type="dxa"/>
            <w:vAlign w:val="bottom"/>
            <w:vMerge w:val="restart"/>
          </w:tcPr>
          <w:p>
            <w:pPr>
              <w:spacing w:after="0"/>
              <w:rPr>
                <w:sz w:val="12"/>
                <w:szCs w:val="12"/>
                <w:color w:val="auto"/>
              </w:rPr>
            </w:pPr>
          </w:p>
        </w:tc>
        <w:tc>
          <w:tcPr>
            <w:tcW w:w="1980" w:type="dxa"/>
            <w:vAlign w:val="bottom"/>
          </w:tcPr>
          <w:p>
            <w:pPr>
              <w:spacing w:after="0"/>
              <w:rPr>
                <w:sz w:val="12"/>
                <w:szCs w:val="12"/>
                <w:color w:val="auto"/>
              </w:rPr>
            </w:pPr>
          </w:p>
        </w:tc>
        <w:tc>
          <w:tcPr>
            <w:tcW w:w="10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160" w:type="dxa"/>
            <w:vAlign w:val="bottom"/>
          </w:tcPr>
          <w:p>
            <w:pPr>
              <w:spacing w:after="0"/>
              <w:rPr>
                <w:sz w:val="12"/>
                <w:szCs w:val="12"/>
                <w:color w:val="auto"/>
              </w:rPr>
            </w:pPr>
          </w:p>
        </w:tc>
        <w:tc>
          <w:tcPr>
            <w:tcW w:w="8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Costs and</w:t>
            </w:r>
          </w:p>
        </w:tc>
        <w:tc>
          <w:tcPr>
            <w:tcW w:w="16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76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178"/>
        </w:trPr>
        <w:tc>
          <w:tcPr>
            <w:tcW w:w="1640" w:type="dxa"/>
            <w:vAlign w:val="bottom"/>
            <w:tcBorders>
              <w:bottom w:val="single" w:sz="8" w:color="auto"/>
            </w:tcBorders>
            <w:vMerge w:val="continue"/>
          </w:tcPr>
          <w:p>
            <w:pPr>
              <w:spacing w:after="0"/>
              <w:rPr>
                <w:sz w:val="15"/>
                <w:szCs w:val="15"/>
                <w:color w:val="auto"/>
              </w:rPr>
            </w:pPr>
          </w:p>
        </w:tc>
        <w:tc>
          <w:tcPr>
            <w:tcW w:w="2600" w:type="dxa"/>
            <w:vAlign w:val="bottom"/>
            <w:vMerge w:val="continue"/>
          </w:tcPr>
          <w:p>
            <w:pPr>
              <w:spacing w:after="0"/>
              <w:rPr>
                <w:sz w:val="15"/>
                <w:szCs w:val="15"/>
                <w:color w:val="auto"/>
              </w:rPr>
            </w:pPr>
          </w:p>
        </w:tc>
        <w:tc>
          <w:tcPr>
            <w:tcW w:w="1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1"/>
              </w:rPr>
              <w:t>Period</w:t>
            </w:r>
          </w:p>
        </w:tc>
        <w:tc>
          <w:tcPr>
            <w:tcW w:w="160" w:type="dxa"/>
            <w:vAlign w:val="bottom"/>
          </w:tcPr>
          <w:p>
            <w:pPr>
              <w:spacing w:after="0"/>
              <w:rPr>
                <w:sz w:val="15"/>
                <w:szCs w:val="15"/>
                <w:color w:val="auto"/>
              </w:rPr>
            </w:pPr>
          </w:p>
        </w:tc>
        <w:tc>
          <w:tcPr>
            <w:tcW w:w="880" w:type="dxa"/>
            <w:vAlign w:val="bottom"/>
            <w:gridSpan w:val="3"/>
          </w:tcPr>
          <w:p>
            <w:pPr>
              <w:jc w:val="center"/>
              <w:ind w:right="220"/>
              <w:spacing w:after="0" w:line="158" w:lineRule="exact"/>
              <w:rPr>
                <w:sz w:val="20"/>
                <w:szCs w:val="20"/>
                <w:color w:val="auto"/>
              </w:rPr>
            </w:pPr>
            <w:r>
              <w:rPr>
                <w:rFonts w:ascii="Arial" w:cs="Arial" w:eastAsia="Arial" w:hAnsi="Arial"/>
                <w:sz w:val="14"/>
                <w:szCs w:val="14"/>
                <w:b w:val="1"/>
                <w:bCs w:val="1"/>
                <w:color w:val="auto"/>
                <w:w w:val="88"/>
              </w:rPr>
              <w:t>Expenses</w:t>
            </w:r>
          </w:p>
        </w:tc>
        <w:tc>
          <w:tcPr>
            <w:tcW w:w="160" w:type="dxa"/>
            <w:vAlign w:val="bottom"/>
          </w:tcPr>
          <w:p>
            <w:pPr>
              <w:spacing w:after="0"/>
              <w:rPr>
                <w:sz w:val="15"/>
                <w:szCs w:val="15"/>
                <w:color w:val="auto"/>
              </w:rPr>
            </w:pPr>
          </w:p>
        </w:tc>
        <w:tc>
          <w:tcPr>
            <w:tcW w:w="94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Utilized</w:t>
            </w:r>
          </w:p>
        </w:tc>
        <w:tc>
          <w:tcPr>
            <w:tcW w:w="760" w:type="dxa"/>
            <w:vAlign w:val="bottom"/>
            <w:gridSpan w:val="2"/>
          </w:tcPr>
          <w:p>
            <w:pPr>
              <w:ind w:left="120"/>
              <w:spacing w:after="0" w:line="158" w:lineRule="exact"/>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03"/>
        </w:trPr>
        <w:tc>
          <w:tcPr>
            <w:tcW w:w="42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Year ended December 31, 2018</w:t>
            </w:r>
          </w:p>
        </w:tc>
        <w:tc>
          <w:tcPr>
            <w:tcW w:w="19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ind w:left="80"/>
              <w:spacing w:after="0" w:line="203" w:lineRule="exact"/>
              <w:rPr>
                <w:sz w:val="20"/>
                <w:szCs w:val="20"/>
                <w:color w:val="auto"/>
              </w:rPr>
            </w:pPr>
            <w:r>
              <w:rPr>
                <w:rFonts w:ascii="Arial" w:cs="Arial" w:eastAsia="Arial" w:hAnsi="Arial"/>
                <w:sz w:val="18"/>
                <w:szCs w:val="18"/>
                <w:color w:val="auto"/>
                <w:w w:val="80"/>
              </w:rPr>
              <w:t>(19,706)</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ind w:left="120"/>
              <w:spacing w:after="0" w:line="203" w:lineRule="exact"/>
              <w:rPr>
                <w:sz w:val="20"/>
                <w:szCs w:val="20"/>
                <w:color w:val="auto"/>
              </w:rPr>
            </w:pPr>
            <w:r>
              <w:rPr>
                <w:rFonts w:ascii="Arial" w:cs="Arial" w:eastAsia="Arial" w:hAnsi="Arial"/>
                <w:sz w:val="18"/>
                <w:szCs w:val="18"/>
                <w:color w:val="auto"/>
                <w:w w:val="71"/>
              </w:rPr>
              <w:t>(575)</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4,195</w:t>
            </w:r>
          </w:p>
        </w:tc>
        <w:tc>
          <w:tcPr>
            <w:tcW w:w="4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83"/>
              </w:rPr>
              <w:t>$(16,086)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Year ended December 31, 2019</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(16,086)</w:t>
            </w:r>
          </w:p>
        </w:tc>
        <w:tc>
          <w:tcPr>
            <w:tcW w:w="38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120"/>
              <w:spacing w:after="0"/>
              <w:rPr>
                <w:sz w:val="20"/>
                <w:szCs w:val="20"/>
                <w:color w:val="auto"/>
              </w:rPr>
            </w:pPr>
            <w:r>
              <w:rPr>
                <w:rFonts w:ascii="Arial" w:cs="Arial" w:eastAsia="Arial" w:hAnsi="Arial"/>
                <w:sz w:val="18"/>
                <w:szCs w:val="18"/>
                <w:color w:val="auto"/>
              </w:rPr>
              <w:t>(999)</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708</w:t>
            </w:r>
          </w:p>
        </w:tc>
        <w:tc>
          <w:tcPr>
            <w:tcW w:w="760" w:type="dxa"/>
            <w:vAlign w:val="bottom"/>
            <w:gridSpan w:val="2"/>
          </w:tcPr>
          <w:p>
            <w:pPr>
              <w:spacing w:after="0"/>
              <w:rPr>
                <w:sz w:val="20"/>
                <w:szCs w:val="20"/>
                <w:color w:val="auto"/>
              </w:rPr>
            </w:pPr>
            <w:r>
              <w:rPr>
                <w:rFonts w:ascii="Arial" w:cs="Arial" w:eastAsia="Arial" w:hAnsi="Arial"/>
                <w:sz w:val="18"/>
                <w:szCs w:val="18"/>
                <w:color w:val="auto"/>
                <w:w w:val="95"/>
              </w:rPr>
              <w:t>$(16,377)</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ended December 31, 2020</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(16,377)</w:t>
            </w:r>
          </w:p>
        </w:tc>
        <w:tc>
          <w:tcPr>
            <w:tcW w:w="3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(541)</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1,552</w:t>
            </w:r>
          </w:p>
        </w:tc>
        <w:tc>
          <w:tcPr>
            <w:tcW w:w="7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$(15,366)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Concentration of credit risk with respect to accounts receivable is limited due to the Company’s large number of customers, who are internationally dispersed and have a variety of end markets in which they sell. Due to these factors, management believes that no additional credit risk beyond amounts provided for collection losses is inherent in the Company’s trade receivables. For the year ended December 31, 2020, two customers accounted for 16.4% and 11.2%, respectively, of the Company’s revenue. For the year ended December 31, 2019, two customers accounted for 17.1% and 14.4%, respectively, of the Company’s revenue from continuing operations and were the same customers who accounted for 13.1% and 11.6%, respectively, of the Company’s revenue from continuing operations for the year ended December 31, 2018.</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 PREPAID EXPENSES AND OTHER CURRENT ASSETS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Prepaid expenses and other current assets consisted of the following:</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486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4"/>
                <w:szCs w:val="14"/>
                <w:color w:val="auto"/>
              </w:rPr>
            </w:pPr>
          </w:p>
        </w:tc>
      </w:tr>
      <w:tr>
        <w:trPr>
          <w:trHeight w:val="209"/>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Prepaid voyage and operating costs</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4,616</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5,726</w:t>
            </w:r>
          </w:p>
        </w:tc>
        <w:tc>
          <w:tcPr>
            <w:tcW w:w="4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Claims receivable</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4,136</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3,826</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Prepaid other taxes</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2,604</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1,012</w:t>
            </w:r>
          </w:p>
        </w:tc>
      </w:tr>
      <w:tr>
        <w:trPr>
          <w:trHeight w:val="223"/>
        </w:trPr>
        <w:tc>
          <w:tcPr>
            <w:tcW w:w="4860" w:type="dxa"/>
            <w:vAlign w:val="bottom"/>
          </w:tcPr>
          <w:p>
            <w:pPr>
              <w:spacing w:after="0"/>
              <w:rPr>
                <w:sz w:val="20"/>
                <w:szCs w:val="20"/>
                <w:color w:val="auto"/>
              </w:rPr>
            </w:pPr>
            <w:r>
              <w:rPr>
                <w:rFonts w:ascii="Arial" w:cs="Arial" w:eastAsia="Arial" w:hAnsi="Arial"/>
                <w:sz w:val="18"/>
                <w:szCs w:val="18"/>
                <w:color w:val="auto"/>
              </w:rPr>
              <w:t>Other</w:t>
            </w:r>
          </w:p>
        </w:tc>
        <w:tc>
          <w:tcPr>
            <w:tcW w:w="1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3,625</w:t>
            </w:r>
          </w:p>
        </w:tc>
        <w:tc>
          <w:tcPr>
            <w:tcW w:w="5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1,675</w:t>
            </w:r>
          </w:p>
        </w:tc>
        <w:tc>
          <w:tcPr>
            <w:tcW w:w="40" w:type="dxa"/>
            <w:vAlign w:val="bottom"/>
          </w:tcPr>
          <w:p>
            <w:pPr>
              <w:spacing w:after="0"/>
              <w:rPr>
                <w:sz w:val="19"/>
                <w:szCs w:val="19"/>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prepaid expenses and other current assets</w:t>
            </w:r>
          </w:p>
        </w:tc>
        <w:tc>
          <w:tcPr>
            <w:tcW w:w="1380" w:type="dxa"/>
            <w:vAlign w:val="bottom"/>
            <w:gridSpan w:val="2"/>
            <w:shd w:val="clear" w:color="auto" w:fill="CCEEFF"/>
          </w:tcPr>
          <w:p>
            <w:pPr>
              <w:ind w:left="120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14,981</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12,239</w:t>
            </w:r>
          </w:p>
        </w:tc>
      </w:tr>
      <w:tr>
        <w:trPr>
          <w:trHeight w:val="20"/>
        </w:trPr>
        <w:tc>
          <w:tcPr>
            <w:tcW w:w="4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Claims receivable mainly represents claims against vessels’ insurance underwriters in respect of damages arising from accidents or other insured risks, as well as claims under charter contracts including off-hires. While it is anticipated that claims receivable will be recovered within one year, such claims may not all be recovered within one year due to the attendant process of settlement. Nonetheless, amounts are classified as current as they represent amounts currently due to the Company. All amounts are shown net of applicable deductibles.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 VESSELS, PORT TERMINALS AND OTHER FIXED ASSETS, NET</w:t>
      </w:r>
    </w:p>
    <w:p>
      <w:pPr>
        <w:spacing w:after="0" w:line="235"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Vessels</w:t>
            </w:r>
          </w:p>
        </w:tc>
        <w:tc>
          <w:tcPr>
            <w:tcW w:w="2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Cost</w:t>
            </w:r>
          </w:p>
        </w:tc>
        <w:tc>
          <w:tcPr>
            <w:tcW w:w="1200" w:type="dxa"/>
            <w:vAlign w:val="bottom"/>
            <w:gridSpan w:val="4"/>
          </w:tcPr>
          <w:p>
            <w:pPr>
              <w:ind w:left="16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Net Book</w:t>
            </w:r>
          </w:p>
        </w:tc>
        <w:tc>
          <w:tcPr>
            <w:tcW w:w="0" w:type="dxa"/>
            <w:vAlign w:val="bottom"/>
          </w:tcPr>
          <w:p>
            <w:pPr>
              <w:spacing w:after="0"/>
              <w:rPr>
                <w:sz w:val="1"/>
                <w:szCs w:val="1"/>
                <w:color w:val="auto"/>
              </w:rPr>
            </w:pPr>
          </w:p>
        </w:tc>
      </w:tr>
      <w:tr>
        <w:trPr>
          <w:trHeight w:val="158"/>
        </w:trPr>
        <w:tc>
          <w:tcPr>
            <w:tcW w:w="3280" w:type="dxa"/>
            <w:vAlign w:val="bottom"/>
            <w:gridSpan w:val="3"/>
            <w:vMerge w:val="continue"/>
          </w:tcPr>
          <w:p>
            <w:pPr>
              <w:spacing w:after="0"/>
              <w:rPr>
                <w:sz w:val="13"/>
                <w:szCs w:val="13"/>
                <w:color w:val="auto"/>
              </w:rPr>
            </w:pPr>
          </w:p>
        </w:tc>
        <w:tc>
          <w:tcPr>
            <w:tcW w:w="2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Depreciation</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360"/>
              <w:spacing w:after="0" w:line="158"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Borders>
              <w:bottom w:val="single" w:sz="8" w:color="CCEEFF"/>
            </w:tcBorders>
            <w:shd w:val="clear" w:color="auto" w:fill="000000"/>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2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Balance December 31, 2017</w:t>
            </w:r>
          </w:p>
        </w:tc>
        <w:tc>
          <w:tcPr>
            <w:tcW w:w="26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7"/>
              </w:rPr>
              <w:t>1,814,965</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b w:val="1"/>
                <w:bCs w:val="1"/>
                <w:color w:val="auto"/>
                <w:w w:val="99"/>
              </w:rPr>
              <w:t>$</w:t>
            </w: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8"/>
              </w:rPr>
              <w:t>(536,518)</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7"/>
              </w:rPr>
              <w:t>1,278,447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(66,405)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(66,007)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Vessel impairment</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(411,265)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212,399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(198,866)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Disposals</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(101,717)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(101,717)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Vessel acquisition</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22,385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80" w:type="dxa"/>
            <w:vAlign w:val="bottom"/>
            <w:gridSpan w:val="3"/>
          </w:tcPr>
          <w:p>
            <w:pPr>
              <w:spacing w:after="0"/>
              <w:rPr>
                <w:sz w:val="20"/>
                <w:szCs w:val="20"/>
                <w:color w:val="auto"/>
              </w:rPr>
            </w:pPr>
            <w:r>
              <w:rPr>
                <w:rFonts w:ascii="Arial" w:cs="Arial" w:eastAsia="Arial" w:hAnsi="Arial"/>
                <w:sz w:val="18"/>
                <w:szCs w:val="18"/>
                <w:b w:val="1"/>
                <w:bCs w:val="1"/>
                <w:color w:val="auto"/>
              </w:rPr>
              <w:t>Balance December 31, 2018</w:t>
            </w:r>
          </w:p>
        </w:tc>
        <w:tc>
          <w:tcPr>
            <w:tcW w:w="2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1,324,766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(390,982)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933,784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Additions</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(48,812)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Vessel impairment</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(274,067)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159,834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(114,233)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Disposals</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(48,830)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Vessel acquisition</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14,735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14,691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December 31, 2019</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1,021,351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5"/>
              </w:rPr>
              <w:t>(280,004)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741,347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1,277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(36,438)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(35,161)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Vessel impairment</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(221,754)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137,255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Disposals</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(87,823)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(87,823)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Vessel acquisition</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96,678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(2,820)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Write offs</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(153)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December 31, 2020</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809,576</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w w:val="9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5"/>
              </w:rPr>
              <w:t>(182,007)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627,569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740" w:type="dxa"/>
            <w:vAlign w:val="bottom"/>
            <w:gridSpan w:val="2"/>
          </w:tcPr>
          <w:p>
            <w:pPr>
              <w:jc w:val="right"/>
              <w:ind w:right="1147"/>
              <w:spacing w:after="0"/>
              <w:rPr>
                <w:sz w:val="20"/>
                <w:szCs w:val="20"/>
                <w:color w:val="auto"/>
              </w:rPr>
            </w:pPr>
            <w:r>
              <w:rPr>
                <w:rFonts w:ascii="Arial" w:cs="Arial" w:eastAsia="Arial" w:hAnsi="Arial"/>
                <w:sz w:val="18"/>
                <w:szCs w:val="18"/>
                <w:color w:val="auto"/>
              </w:rPr>
              <w:t>F-35</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320" w:top="459" w:right="57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auto"/>
        </w:rPr>
        <w:t>Port Terminals (Navios Logistics)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jc w:val="center"/>
        <w:ind w:right="2940"/>
        <w:spacing w:after="0" w:line="266" w:lineRule="auto"/>
        <w:rPr>
          <w:sz w:val="20"/>
          <w:szCs w:val="20"/>
          <w:color w:val="auto"/>
        </w:rPr>
      </w:pPr>
      <w:r>
        <w:rPr>
          <w:rFonts w:ascii="Arial" w:cs="Arial" w:eastAsia="Arial" w:hAnsi="Arial"/>
          <w:sz w:val="18"/>
          <w:szCs w:val="18"/>
          <w:b w:val="1"/>
          <w:bCs w:val="1"/>
          <w:color w:val="auto"/>
        </w:rPr>
        <w:t xml:space="preserve">NAVIOS MARITIME HOLDINGS INC. NOTES TO THE CONSOLIDATED FINANCIAL STATEMENTS </w:t>
      </w:r>
      <w:r>
        <w:rPr>
          <w:rFonts w:ascii="Arial" w:cs="Arial" w:eastAsia="Arial" w:hAnsi="Arial"/>
          <w:sz w:val="18"/>
          <w:szCs w:val="18"/>
          <w:color w:val="auto"/>
        </w:rPr>
        <w:t>(Expressed in thousands of U.S. dollars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-1950085</wp:posOffset>
            </wp:positionH>
            <wp:positionV relativeFrom="paragraph">
              <wp:posOffset>-964565</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71" w:lineRule="exact"/>
        <w:rPr>
          <w:sz w:val="20"/>
          <w:szCs w:val="20"/>
          <w:color w:val="auto"/>
        </w:rPr>
      </w:pPr>
    </w:p>
    <w:tbl>
      <w:tblPr>
        <w:tblLayout w:type="fixed"/>
        <w:tblInd w:w="5320" w:type="dxa"/>
        <w:tblCellMar>
          <w:top w:w="0" w:type="dxa"/>
          <w:left w:w="0" w:type="dxa"/>
          <w:bottom w:w="0" w:type="dxa"/>
          <w:right w:w="0" w:type="dxa"/>
        </w:tblCellMar>
      </w:tblPr>
      <w:tr>
        <w:trPr>
          <w:trHeight w:val="161"/>
        </w:trPr>
        <w:tc>
          <w:tcPr>
            <w:tcW w:w="540" w:type="dxa"/>
            <w:vAlign w:val="bottom"/>
            <w:vMerge w:val="restart"/>
          </w:tcPr>
          <w:p>
            <w:pPr>
              <w:spacing w:after="0"/>
              <w:rPr>
                <w:sz w:val="20"/>
                <w:szCs w:val="20"/>
                <w:color w:val="auto"/>
              </w:rPr>
            </w:pPr>
            <w:r>
              <w:rPr>
                <w:rFonts w:ascii="Arial" w:cs="Arial" w:eastAsia="Arial" w:hAnsi="Arial"/>
                <w:sz w:val="14"/>
                <w:szCs w:val="14"/>
                <w:b w:val="1"/>
                <w:bCs w:val="1"/>
                <w:color w:val="auto"/>
              </w:rPr>
              <w:t>Cost</w:t>
            </w:r>
          </w:p>
        </w:tc>
        <w:tc>
          <w:tcPr>
            <w:tcW w:w="1280" w:type="dxa"/>
            <w:vAlign w:val="bottom"/>
          </w:tcPr>
          <w:p>
            <w:pPr>
              <w:ind w:left="280"/>
              <w:spacing w:after="0"/>
              <w:rPr>
                <w:sz w:val="20"/>
                <w:szCs w:val="20"/>
                <w:color w:val="auto"/>
              </w:rPr>
            </w:pPr>
            <w:r>
              <w:rPr>
                <w:rFonts w:ascii="Arial" w:cs="Arial" w:eastAsia="Arial" w:hAnsi="Arial"/>
                <w:sz w:val="14"/>
                <w:szCs w:val="14"/>
                <w:b w:val="1"/>
                <w:bCs w:val="1"/>
                <w:color w:val="auto"/>
              </w:rPr>
              <w:t>Accumulated</w:t>
            </w:r>
          </w:p>
        </w:tc>
        <w:tc>
          <w:tcPr>
            <w:tcW w:w="760" w:type="dxa"/>
            <w:vAlign w:val="bottom"/>
          </w:tcPr>
          <w:p>
            <w:pPr>
              <w:jc w:val="center"/>
              <w:ind w:left="128"/>
              <w:spacing w:after="0"/>
              <w:rPr>
                <w:sz w:val="20"/>
                <w:szCs w:val="20"/>
                <w:color w:val="auto"/>
              </w:rPr>
            </w:pPr>
            <w:r>
              <w:rPr>
                <w:rFonts w:ascii="Arial" w:cs="Arial" w:eastAsia="Arial" w:hAnsi="Arial"/>
                <w:sz w:val="14"/>
                <w:szCs w:val="14"/>
                <w:b w:val="1"/>
                <w:bCs w:val="1"/>
                <w:color w:val="auto"/>
                <w:w w:val="91"/>
              </w:rPr>
              <w:t>Net Book</w:t>
            </w:r>
          </w:p>
        </w:tc>
        <w:tc>
          <w:tcPr>
            <w:tcW w:w="0" w:type="dxa"/>
            <w:vAlign w:val="bottom"/>
          </w:tcPr>
          <w:p>
            <w:pPr>
              <w:spacing w:after="0"/>
              <w:rPr>
                <w:sz w:val="1"/>
                <w:szCs w:val="1"/>
                <w:color w:val="auto"/>
              </w:rPr>
            </w:pPr>
          </w:p>
        </w:tc>
      </w:tr>
      <w:tr>
        <w:trPr>
          <w:trHeight w:val="158"/>
        </w:trPr>
        <w:tc>
          <w:tcPr>
            <w:tcW w:w="540" w:type="dxa"/>
            <w:vAlign w:val="bottom"/>
            <w:vMerge w:val="continue"/>
          </w:tcPr>
          <w:p>
            <w:pPr>
              <w:spacing w:after="0"/>
              <w:rPr>
                <w:sz w:val="13"/>
                <w:szCs w:val="13"/>
                <w:color w:val="auto"/>
              </w:rPr>
            </w:pPr>
          </w:p>
        </w:tc>
        <w:tc>
          <w:tcPr>
            <w:tcW w:w="1280" w:type="dxa"/>
            <w:vAlign w:val="bottom"/>
          </w:tcPr>
          <w:p>
            <w:pPr>
              <w:ind w:left="280"/>
              <w:spacing w:after="0" w:line="158" w:lineRule="exact"/>
              <w:rPr>
                <w:sz w:val="20"/>
                <w:szCs w:val="20"/>
                <w:color w:val="auto"/>
              </w:rPr>
            </w:pPr>
            <w:r>
              <w:rPr>
                <w:rFonts w:ascii="Arial" w:cs="Arial" w:eastAsia="Arial" w:hAnsi="Arial"/>
                <w:sz w:val="14"/>
                <w:szCs w:val="14"/>
                <w:b w:val="1"/>
                <w:bCs w:val="1"/>
                <w:color w:val="auto"/>
              </w:rPr>
              <w:t>Depreciation</w:t>
            </w:r>
          </w:p>
        </w:tc>
        <w:tc>
          <w:tcPr>
            <w:tcW w:w="760" w:type="dxa"/>
            <w:vAlign w:val="bottom"/>
          </w:tcPr>
          <w:p>
            <w:pPr>
              <w:jc w:val="center"/>
              <w:ind w:left="128"/>
              <w:spacing w:after="0" w:line="158"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2340" w:space="720"/>
            <w:col w:w="8080"/>
          </w:cols>
          <w:pgMar w:left="320" w:top="459" w:right="439" w:bottom="1440" w:gutter="0" w:footer="0" w:header="0"/>
        </w:sectPr>
      </w:pPr>
    </w:p>
    <w:tbl>
      <w:tblPr>
        <w:tblLayout w:type="fixed"/>
        <w:tblInd w:w="120" w:type="dxa"/>
        <w:tblCellMar>
          <w:top w:w="0" w:type="dxa"/>
          <w:left w:w="0" w:type="dxa"/>
          <w:bottom w:w="0" w:type="dxa"/>
          <w:right w:w="0" w:type="dxa"/>
        </w:tblCellMar>
      </w:tblPr>
      <w:tr>
        <w:trPr>
          <w:trHeight w:val="20"/>
        </w:trPr>
        <w:tc>
          <w:tcPr>
            <w:tcW w:w="2060" w:type="dxa"/>
            <w:vAlign w:val="bottom"/>
            <w:shd w:val="clear" w:color="auto" w:fill="000000"/>
          </w:tcPr>
          <w:p>
            <w:pPr>
              <w:spacing w:after="0" w:line="20" w:lineRule="exact"/>
              <w:rPr>
                <w:sz w:val="1"/>
                <w:szCs w:val="1"/>
                <w:color w:val="auto"/>
              </w:rPr>
            </w:pPr>
          </w:p>
        </w:tc>
        <w:tc>
          <w:tcPr>
            <w:tcW w:w="440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3"/>
        </w:trPr>
        <w:tc>
          <w:tcPr>
            <w:tcW w:w="64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Balance December 31, 2017</w:t>
            </w:r>
          </w:p>
        </w:tc>
        <w:tc>
          <w:tcPr>
            <w:tcW w:w="2600" w:type="dxa"/>
            <w:vAlign w:val="bottom"/>
            <w:gridSpan w:val="3"/>
            <w:shd w:val="clear" w:color="auto" w:fill="CCEEFF"/>
          </w:tcPr>
          <w:p>
            <w:pPr>
              <w:jc w:val="right"/>
              <w:ind w:right="320"/>
              <w:spacing w:after="0" w:line="203" w:lineRule="exact"/>
              <w:rPr>
                <w:sz w:val="20"/>
                <w:szCs w:val="20"/>
                <w:color w:val="auto"/>
              </w:rPr>
            </w:pPr>
            <w:r>
              <w:rPr>
                <w:rFonts w:ascii="Arial" w:cs="Arial" w:eastAsia="Arial" w:hAnsi="Arial"/>
                <w:sz w:val="18"/>
                <w:szCs w:val="18"/>
                <w:b w:val="1"/>
                <w:bCs w:val="1"/>
                <w:color w:val="auto"/>
              </w:rPr>
              <w:t>$251,641</w:t>
            </w:r>
          </w:p>
        </w:tc>
        <w:tc>
          <w:tcPr>
            <w:tcW w:w="102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b w:val="1"/>
                <w:bCs w:val="1"/>
                <w:color w:val="auto"/>
              </w:rPr>
              <w:t>$  (32,628)</w:t>
            </w:r>
          </w:p>
        </w:tc>
        <w:tc>
          <w:tcPr>
            <w:tcW w:w="940" w:type="dxa"/>
            <w:vAlign w:val="bottom"/>
            <w:gridSpan w:val="3"/>
            <w:shd w:val="clear" w:color="auto" w:fill="CCEEFF"/>
          </w:tcPr>
          <w:p>
            <w:pPr>
              <w:jc w:val="right"/>
              <w:ind w:right="120"/>
              <w:spacing w:after="0" w:line="203" w:lineRule="exact"/>
              <w:rPr>
                <w:sz w:val="20"/>
                <w:szCs w:val="20"/>
                <w:color w:val="auto"/>
              </w:rPr>
            </w:pPr>
            <w:r>
              <w:rPr>
                <w:rFonts w:ascii="Arial" w:cs="Arial" w:eastAsia="Arial" w:hAnsi="Arial"/>
                <w:sz w:val="18"/>
                <w:szCs w:val="18"/>
                <w:b w:val="1"/>
                <w:bCs w:val="1"/>
                <w:color w:val="auto"/>
              </w:rPr>
              <w:t>$219,013</w:t>
            </w:r>
          </w:p>
        </w:tc>
      </w:tr>
      <w:tr>
        <w:trPr>
          <w:trHeight w:val="216"/>
        </w:trPr>
        <w:tc>
          <w:tcPr>
            <w:tcW w:w="646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2600" w:type="dxa"/>
            <w:vAlign w:val="bottom"/>
            <w:gridSpan w:val="3"/>
          </w:tcPr>
          <w:p>
            <w:pPr>
              <w:jc w:val="right"/>
              <w:ind w:right="320"/>
              <w:spacing w:after="0"/>
              <w:rPr>
                <w:sz w:val="20"/>
                <w:szCs w:val="20"/>
                <w:color w:val="auto"/>
              </w:rPr>
            </w:pPr>
            <w:r>
              <w:rPr>
                <w:rFonts w:ascii="Arial" w:cs="Arial" w:eastAsia="Arial" w:hAnsi="Arial"/>
                <w:sz w:val="18"/>
                <w:szCs w:val="18"/>
                <w:color w:val="auto"/>
              </w:rPr>
              <w:t>2,530</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(7,284)</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(4,754)</w:t>
            </w:r>
          </w:p>
        </w:tc>
      </w:tr>
      <w:tr>
        <w:trPr>
          <w:trHeight w:val="216"/>
        </w:trPr>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Transfers from oil storage plant and port facilities for liquid cargoes</w:t>
            </w:r>
          </w:p>
        </w:tc>
        <w:tc>
          <w:tcPr>
            <w:tcW w:w="26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(629)</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(629)</w:t>
            </w:r>
          </w:p>
        </w:tc>
      </w:tr>
      <w:tr>
        <w:trPr>
          <w:trHeight w:val="216"/>
        </w:trPr>
        <w:tc>
          <w:tcPr>
            <w:tcW w:w="6460" w:type="dxa"/>
            <w:vAlign w:val="bottom"/>
            <w:gridSpan w:val="2"/>
          </w:tcPr>
          <w:p>
            <w:pPr>
              <w:spacing w:after="0"/>
              <w:rPr>
                <w:sz w:val="20"/>
                <w:szCs w:val="20"/>
                <w:color w:val="auto"/>
              </w:rPr>
            </w:pPr>
            <w:r>
              <w:rPr>
                <w:rFonts w:ascii="Arial" w:cs="Arial" w:eastAsia="Arial" w:hAnsi="Arial"/>
                <w:sz w:val="18"/>
                <w:szCs w:val="18"/>
                <w:color w:val="auto"/>
              </w:rPr>
              <w:t>Transfers to other long-term assets</w:t>
            </w:r>
          </w:p>
        </w:tc>
        <w:tc>
          <w:tcPr>
            <w:tcW w:w="2600" w:type="dxa"/>
            <w:vAlign w:val="bottom"/>
            <w:gridSpan w:val="3"/>
          </w:tcPr>
          <w:p>
            <w:pPr>
              <w:jc w:val="right"/>
              <w:ind w:right="260"/>
              <w:spacing w:after="0"/>
              <w:rPr>
                <w:sz w:val="20"/>
                <w:szCs w:val="20"/>
                <w:color w:val="auto"/>
              </w:rPr>
            </w:pPr>
            <w:r>
              <w:rPr>
                <w:rFonts w:ascii="Arial" w:cs="Arial" w:eastAsia="Arial" w:hAnsi="Arial"/>
                <w:sz w:val="18"/>
                <w:szCs w:val="18"/>
                <w:color w:val="auto"/>
              </w:rPr>
              <w:t>(26)</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(26)</w:t>
            </w:r>
          </w:p>
        </w:tc>
      </w:tr>
      <w:tr>
        <w:trPr>
          <w:trHeight w:val="216"/>
        </w:trPr>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Disposals</w:t>
            </w:r>
          </w:p>
        </w:tc>
        <w:tc>
          <w:tcPr>
            <w:tcW w:w="16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(156)</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137</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r>
      <w:tr>
        <w:trPr>
          <w:trHeight w:val="20"/>
        </w:trPr>
        <w:tc>
          <w:tcPr>
            <w:tcW w:w="20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6580" w:type="dxa"/>
            <w:vAlign w:val="bottom"/>
            <w:gridSpan w:val="4"/>
          </w:tcPr>
          <w:p>
            <w:pPr>
              <w:spacing w:after="0"/>
              <w:rPr>
                <w:sz w:val="20"/>
                <w:szCs w:val="20"/>
                <w:color w:val="auto"/>
              </w:rPr>
            </w:pPr>
            <w:r>
              <w:rPr>
                <w:rFonts w:ascii="Arial" w:cs="Arial" w:eastAsia="Arial" w:hAnsi="Arial"/>
                <w:sz w:val="18"/>
                <w:szCs w:val="18"/>
                <w:b w:val="1"/>
                <w:bCs w:val="1"/>
                <w:color w:val="auto"/>
              </w:rPr>
              <w:t>Balance December 31, 2018</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253,360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b w:val="1"/>
                <w:bCs w:val="1"/>
                <w:color w:val="auto"/>
                <w:w w:val="98"/>
              </w:rPr>
              <w:t>(39,775)</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86"/>
              </w:rPr>
              <w:t>213,585</w:t>
            </w:r>
          </w:p>
        </w:tc>
        <w:tc>
          <w:tcPr>
            <w:tcW w:w="0" w:type="dxa"/>
            <w:vAlign w:val="bottom"/>
          </w:tcPr>
          <w:p>
            <w:pPr>
              <w:spacing w:after="0"/>
              <w:rPr>
                <w:sz w:val="1"/>
                <w:szCs w:val="1"/>
                <w:color w:val="auto"/>
              </w:rPr>
            </w:pPr>
          </w:p>
        </w:tc>
      </w:tr>
      <w:tr>
        <w:trPr>
          <w:trHeight w:val="216"/>
        </w:trPr>
        <w:tc>
          <w:tcPr>
            <w:tcW w:w="6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Additions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(7,186)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(6,584)</w:t>
            </w:r>
          </w:p>
        </w:tc>
        <w:tc>
          <w:tcPr>
            <w:tcW w:w="0" w:type="dxa"/>
            <w:vAlign w:val="bottom"/>
          </w:tcPr>
          <w:p>
            <w:pPr>
              <w:spacing w:after="0"/>
              <w:rPr>
                <w:sz w:val="1"/>
                <w:szCs w:val="1"/>
                <w:color w:val="auto"/>
              </w:rPr>
            </w:pPr>
          </w:p>
        </w:tc>
      </w:tr>
      <w:tr>
        <w:trPr>
          <w:trHeight w:val="209"/>
        </w:trPr>
        <w:tc>
          <w:tcPr>
            <w:tcW w:w="6580" w:type="dxa"/>
            <w:vAlign w:val="bottom"/>
            <w:gridSpan w:val="4"/>
          </w:tcPr>
          <w:p>
            <w:pPr>
              <w:spacing w:after="0"/>
              <w:rPr>
                <w:sz w:val="20"/>
                <w:szCs w:val="20"/>
                <w:color w:val="auto"/>
              </w:rPr>
            </w:pPr>
            <w:r>
              <w:rPr>
                <w:rFonts w:ascii="Arial" w:cs="Arial" w:eastAsia="Arial" w:hAnsi="Arial"/>
                <w:sz w:val="18"/>
                <w:szCs w:val="18"/>
                <w:b w:val="1"/>
                <w:bCs w:val="1"/>
                <w:color w:val="auto"/>
              </w:rPr>
              <w:t>Balance December 31, 2019</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253,962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9"/>
              </w:rPr>
              <w:t>(46,961)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6"/>
              </w:rPr>
              <w:t>207,001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580" w:type="dxa"/>
            <w:vAlign w:val="bottom"/>
            <w:gridSpan w:val="4"/>
          </w:tcPr>
          <w:p>
            <w:pPr>
              <w:spacing w:after="0"/>
              <w:rPr>
                <w:sz w:val="20"/>
                <w:szCs w:val="20"/>
                <w:color w:val="auto"/>
              </w:rPr>
            </w:pPr>
            <w:r>
              <w:rPr>
                <w:rFonts w:ascii="Arial" w:cs="Arial" w:eastAsia="Arial" w:hAnsi="Arial"/>
                <w:sz w:val="18"/>
                <w:szCs w:val="18"/>
                <w:color w:val="auto"/>
              </w:rPr>
              <w:t>Additions</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869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(7,216)</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(6,347)</w:t>
            </w:r>
          </w:p>
        </w:tc>
        <w:tc>
          <w:tcPr>
            <w:tcW w:w="0" w:type="dxa"/>
            <w:vAlign w:val="bottom"/>
          </w:tcPr>
          <w:p>
            <w:pPr>
              <w:spacing w:after="0"/>
              <w:rPr>
                <w:sz w:val="1"/>
                <w:szCs w:val="1"/>
                <w:color w:val="auto"/>
              </w:rPr>
            </w:pPr>
          </w:p>
        </w:tc>
      </w:tr>
      <w:tr>
        <w:trPr>
          <w:trHeight w:val="223"/>
        </w:trPr>
        <w:tc>
          <w:tcPr>
            <w:tcW w:w="6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Write offs</w:t>
            </w: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21"/>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6580" w:type="dxa"/>
            <w:vAlign w:val="bottom"/>
            <w:gridSpan w:val="4"/>
          </w:tcPr>
          <w:p>
            <w:pPr>
              <w:spacing w:after="0"/>
              <w:rPr>
                <w:sz w:val="20"/>
                <w:szCs w:val="20"/>
                <w:color w:val="auto"/>
              </w:rPr>
            </w:pPr>
            <w:r>
              <w:rPr>
                <w:rFonts w:ascii="Arial" w:cs="Arial" w:eastAsia="Arial" w:hAnsi="Arial"/>
                <w:sz w:val="18"/>
                <w:szCs w:val="18"/>
                <w:b w:val="1"/>
                <w:bCs w:val="1"/>
                <w:color w:val="auto"/>
              </w:rPr>
              <w:t>Balance December 31, 2020</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254,744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(54,101</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u w:val="single" w:color="auto"/>
                <w:color w:val="auto"/>
                <w:w w:val="74"/>
              </w:rPr>
              <w:t>$</w:t>
            </w:r>
            <w:r>
              <w:rPr>
                <w:rFonts w:ascii="Arial" w:cs="Arial" w:eastAsia="Arial" w:hAnsi="Arial"/>
                <w:sz w:val="18"/>
                <w:szCs w:val="18"/>
                <w:b w:val="1"/>
                <w:bCs w:val="1"/>
                <w:color w:val="auto"/>
                <w:w w:val="74"/>
              </w:rPr>
              <w:t>200,643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342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88"/>
              </w:rPr>
              <w:t>Tanker vessels, barges and pushboats (Navios Logistics)</w:t>
            </w:r>
          </w:p>
        </w:tc>
        <w:tc>
          <w:tcPr>
            <w:tcW w:w="3160" w:type="dxa"/>
            <w:vAlign w:val="bottom"/>
            <w:vMerge w:val="restart"/>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gridSpan w:val="4"/>
            <w:vMerge w:val="restart"/>
          </w:tcPr>
          <w:p>
            <w:pPr>
              <w:jc w:val="right"/>
              <w:ind w:right="520"/>
              <w:spacing w:after="0"/>
              <w:rPr>
                <w:sz w:val="20"/>
                <w:szCs w:val="20"/>
                <w:color w:val="auto"/>
              </w:rPr>
            </w:pPr>
            <w:r>
              <w:rPr>
                <w:rFonts w:ascii="Arial" w:cs="Arial" w:eastAsia="Arial" w:hAnsi="Arial"/>
                <w:sz w:val="14"/>
                <w:szCs w:val="14"/>
                <w:b w:val="1"/>
                <w:bCs w:val="1"/>
                <w:color w:val="auto"/>
                <w:w w:val="76"/>
              </w:rPr>
              <w:t>Cost</w:t>
            </w:r>
          </w:p>
        </w:tc>
        <w:tc>
          <w:tcPr>
            <w:tcW w:w="1060" w:type="dxa"/>
            <w:vAlign w:val="bottom"/>
            <w:gridSpan w:val="6"/>
          </w:tcPr>
          <w:p>
            <w:pPr>
              <w:ind w:left="20"/>
              <w:spacing w:after="0"/>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81"/>
              </w:rPr>
              <w:t>Net Book</w:t>
            </w:r>
          </w:p>
        </w:tc>
        <w:tc>
          <w:tcPr>
            <w:tcW w:w="0" w:type="dxa"/>
            <w:vAlign w:val="bottom"/>
          </w:tcPr>
          <w:p>
            <w:pPr>
              <w:spacing w:after="0"/>
              <w:rPr>
                <w:sz w:val="1"/>
                <w:szCs w:val="1"/>
                <w:color w:val="auto"/>
              </w:rPr>
            </w:pPr>
          </w:p>
        </w:tc>
      </w:tr>
      <w:tr>
        <w:trPr>
          <w:trHeight w:val="178"/>
        </w:trPr>
        <w:tc>
          <w:tcPr>
            <w:tcW w:w="3420" w:type="dxa"/>
            <w:vAlign w:val="bottom"/>
            <w:tcBorders>
              <w:bottom w:val="single" w:sz="8" w:color="auto"/>
            </w:tcBorders>
            <w:gridSpan w:val="3"/>
            <w:vMerge w:val="continue"/>
          </w:tcPr>
          <w:p>
            <w:pPr>
              <w:spacing w:after="0"/>
              <w:rPr>
                <w:sz w:val="15"/>
                <w:szCs w:val="15"/>
                <w:color w:val="auto"/>
              </w:rPr>
            </w:pPr>
          </w:p>
        </w:tc>
        <w:tc>
          <w:tcPr>
            <w:tcW w:w="316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gridSpan w:val="4"/>
            <w:vMerge w:val="continue"/>
          </w:tcPr>
          <w:p>
            <w:pPr>
              <w:spacing w:after="0"/>
              <w:rPr>
                <w:sz w:val="15"/>
                <w:szCs w:val="15"/>
                <w:color w:val="auto"/>
              </w:rPr>
            </w:pPr>
          </w:p>
        </w:tc>
        <w:tc>
          <w:tcPr>
            <w:tcW w:w="1060" w:type="dxa"/>
            <w:vAlign w:val="bottom"/>
            <w:gridSpan w:val="6"/>
          </w:tcPr>
          <w:p>
            <w:pPr>
              <w:ind w:left="20"/>
              <w:spacing w:after="0" w:line="158" w:lineRule="exact"/>
              <w:rPr>
                <w:sz w:val="20"/>
                <w:szCs w:val="20"/>
                <w:color w:val="auto"/>
              </w:rPr>
            </w:pPr>
            <w:r>
              <w:rPr>
                <w:rFonts w:ascii="Arial" w:cs="Arial" w:eastAsia="Arial" w:hAnsi="Arial"/>
                <w:sz w:val="14"/>
                <w:szCs w:val="14"/>
                <w:b w:val="1"/>
                <w:bCs w:val="1"/>
                <w:color w:val="auto"/>
              </w:rPr>
              <w:t>Depreciation</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3"/>
          </w:tcPr>
          <w:p>
            <w:pPr>
              <w:jc w:val="right"/>
              <w:ind w:right="280"/>
              <w:spacing w:after="0" w:line="158"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3"/>
        </w:trPr>
        <w:tc>
          <w:tcPr>
            <w:tcW w:w="6580" w:type="dxa"/>
            <w:vAlign w:val="bottom"/>
            <w:tcBorders>
              <w:top w:val="single" w:sz="8" w:color="CCEEFF"/>
            </w:tcBorders>
            <w:gridSpan w:val="4"/>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Balance December 31, 2017</w:t>
            </w:r>
          </w:p>
        </w:tc>
        <w:tc>
          <w:tcPr>
            <w:tcW w:w="9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7"/>
              </w:rPr>
              <w:t>$472,081</w:t>
            </w: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gridSpan w:val="4"/>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9"/>
              </w:rPr>
              <w:t>$ (164,056)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74"/>
              </w:rPr>
              <w:t>$308,025</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80" w:type="dxa"/>
            <w:vAlign w:val="bottom"/>
            <w:gridSpan w:val="4"/>
          </w:tcPr>
          <w:p>
            <w:pPr>
              <w:spacing w:after="0"/>
              <w:rPr>
                <w:sz w:val="20"/>
                <w:szCs w:val="20"/>
                <w:color w:val="auto"/>
              </w:rPr>
            </w:pPr>
            <w:r>
              <w:rPr>
                <w:rFonts w:ascii="Arial" w:cs="Arial" w:eastAsia="Arial" w:hAnsi="Arial"/>
                <w:sz w:val="18"/>
                <w:szCs w:val="18"/>
                <w:color w:val="auto"/>
              </w:rPr>
              <w:t>Additions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3,581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w w:val="98"/>
              </w:rPr>
              <w:t>(18,528)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w w:val="92"/>
              </w:rPr>
              <w:t>(14,947)</w:t>
            </w:r>
          </w:p>
        </w:tc>
        <w:tc>
          <w:tcPr>
            <w:tcW w:w="0" w:type="dxa"/>
            <w:vAlign w:val="bottom"/>
          </w:tcPr>
          <w:p>
            <w:pPr>
              <w:spacing w:after="0"/>
              <w:rPr>
                <w:sz w:val="1"/>
                <w:szCs w:val="1"/>
                <w:color w:val="auto"/>
              </w:rPr>
            </w:pPr>
          </w:p>
        </w:tc>
      </w:tr>
      <w:tr>
        <w:trPr>
          <w:trHeight w:val="216"/>
        </w:trPr>
        <w:tc>
          <w:tcPr>
            <w:tcW w:w="6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Transfers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16"/>
        </w:trPr>
        <w:tc>
          <w:tcPr>
            <w:tcW w:w="6580" w:type="dxa"/>
            <w:vAlign w:val="bottom"/>
            <w:gridSpan w:val="4"/>
          </w:tcPr>
          <w:p>
            <w:pPr>
              <w:spacing w:after="0"/>
              <w:rPr>
                <w:sz w:val="20"/>
                <w:szCs w:val="20"/>
                <w:color w:val="auto"/>
              </w:rPr>
            </w:pPr>
            <w:r>
              <w:rPr>
                <w:rFonts w:ascii="Arial" w:cs="Arial" w:eastAsia="Arial" w:hAnsi="Arial"/>
                <w:sz w:val="18"/>
                <w:szCs w:val="18"/>
                <w:color w:val="auto"/>
              </w:rPr>
              <w:t>Transfers from deposits for vessels, port terminal and other fixed assets, net</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49,421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gridSpan w:val="3"/>
          </w:tcPr>
          <w:p>
            <w:pPr>
              <w:jc w:val="right"/>
              <w:ind w:right="32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8"/>
                <w:szCs w:val="18"/>
                <w:color w:val="auto"/>
              </w:rPr>
              <w:t>49,421</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Borders>
              <w:right w:val="single" w:sz="8" w:color="auto"/>
            </w:tcBorders>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Balance December 31, 2018</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525,712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(182,584)</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6"/>
              </w:rPr>
              <w:t>343,128</w:t>
            </w:r>
          </w:p>
        </w:tc>
        <w:tc>
          <w:tcPr>
            <w:tcW w:w="0" w:type="dxa"/>
            <w:vAlign w:val="bottom"/>
          </w:tcPr>
          <w:p>
            <w:pPr>
              <w:spacing w:after="0"/>
              <w:rPr>
                <w:sz w:val="1"/>
                <w:szCs w:val="1"/>
                <w:color w:val="auto"/>
              </w:rPr>
            </w:pPr>
          </w:p>
        </w:tc>
      </w:tr>
      <w:tr>
        <w:trPr>
          <w:trHeight w:val="216"/>
        </w:trPr>
        <w:tc>
          <w:tcPr>
            <w:tcW w:w="6580" w:type="dxa"/>
            <w:vAlign w:val="bottom"/>
            <w:gridSpan w:val="4"/>
          </w:tcPr>
          <w:p>
            <w:pPr>
              <w:spacing w:after="0"/>
              <w:rPr>
                <w:sz w:val="20"/>
                <w:szCs w:val="20"/>
                <w:color w:val="auto"/>
              </w:rPr>
            </w:pPr>
            <w:r>
              <w:rPr>
                <w:rFonts w:ascii="Arial" w:cs="Arial" w:eastAsia="Arial" w:hAnsi="Arial"/>
                <w:sz w:val="18"/>
                <w:szCs w:val="18"/>
                <w:color w:val="auto"/>
              </w:rPr>
              <w:t>Additions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2,403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w w:val="98"/>
              </w:rPr>
              <w:t>(19,038)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w w:val="92"/>
              </w:rPr>
              <w:t>(16,635)</w:t>
            </w:r>
          </w:p>
        </w:tc>
        <w:tc>
          <w:tcPr>
            <w:tcW w:w="0" w:type="dxa"/>
            <w:vAlign w:val="bottom"/>
          </w:tcPr>
          <w:p>
            <w:pPr>
              <w:spacing w:after="0"/>
              <w:rPr>
                <w:sz w:val="1"/>
                <w:szCs w:val="1"/>
                <w:color w:val="auto"/>
              </w:rPr>
            </w:pPr>
          </w:p>
        </w:tc>
      </w:tr>
      <w:tr>
        <w:trPr>
          <w:trHeight w:val="216"/>
        </w:trPr>
        <w:tc>
          <w:tcPr>
            <w:tcW w:w="6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Write offs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(2,064)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1"/>
              <w:spacing w:after="0"/>
              <w:rPr>
                <w:sz w:val="20"/>
                <w:szCs w:val="20"/>
                <w:color w:val="auto"/>
              </w:rPr>
            </w:pPr>
            <w:r>
              <w:rPr>
                <w:rFonts w:ascii="Arial" w:cs="Arial" w:eastAsia="Arial" w:hAnsi="Arial"/>
                <w:sz w:val="18"/>
                <w:szCs w:val="18"/>
                <w:color w:val="auto"/>
              </w:rPr>
              <w:t>866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(1,198)</w:t>
            </w:r>
          </w:p>
        </w:tc>
        <w:tc>
          <w:tcPr>
            <w:tcW w:w="0" w:type="dxa"/>
            <w:vAlign w:val="bottom"/>
          </w:tcPr>
          <w:p>
            <w:pPr>
              <w:spacing w:after="0"/>
              <w:rPr>
                <w:sz w:val="1"/>
                <w:szCs w:val="1"/>
                <w:color w:val="auto"/>
              </w:rPr>
            </w:pPr>
          </w:p>
        </w:tc>
      </w:tr>
      <w:tr>
        <w:trPr>
          <w:trHeight w:val="223"/>
        </w:trPr>
        <w:tc>
          <w:tcPr>
            <w:tcW w:w="6580" w:type="dxa"/>
            <w:vAlign w:val="bottom"/>
            <w:gridSpan w:val="4"/>
          </w:tcPr>
          <w:p>
            <w:pPr>
              <w:spacing w:after="0"/>
              <w:rPr>
                <w:sz w:val="20"/>
                <w:szCs w:val="20"/>
                <w:color w:val="auto"/>
              </w:rPr>
            </w:pPr>
            <w:r>
              <w:rPr>
                <w:rFonts w:ascii="Arial" w:cs="Arial" w:eastAsia="Arial" w:hAnsi="Arial"/>
                <w:sz w:val="18"/>
                <w:szCs w:val="18"/>
                <w:b w:val="1"/>
                <w:bCs w:val="1"/>
                <w:color w:val="auto"/>
              </w:rPr>
              <w:t>Balance December 31, 2019</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526,051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(200,756)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6"/>
              </w:rPr>
              <w:t>325,295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Additions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1,931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(18,278)</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2"/>
              </w:rPr>
              <w:t>(16,347)</w:t>
            </w:r>
          </w:p>
        </w:tc>
        <w:tc>
          <w:tcPr>
            <w:tcW w:w="0" w:type="dxa"/>
            <w:vAlign w:val="bottom"/>
          </w:tcPr>
          <w:p>
            <w:pPr>
              <w:spacing w:after="0"/>
              <w:rPr>
                <w:sz w:val="1"/>
                <w:szCs w:val="1"/>
                <w:color w:val="auto"/>
              </w:rPr>
            </w:pPr>
          </w:p>
        </w:tc>
      </w:tr>
      <w:tr>
        <w:trPr>
          <w:trHeight w:val="216"/>
        </w:trPr>
        <w:tc>
          <w:tcPr>
            <w:tcW w:w="6580" w:type="dxa"/>
            <w:vAlign w:val="bottom"/>
            <w:gridSpan w:val="4"/>
          </w:tcPr>
          <w:p>
            <w:pPr>
              <w:spacing w:after="0"/>
              <w:rPr>
                <w:sz w:val="20"/>
                <w:szCs w:val="20"/>
                <w:color w:val="auto"/>
              </w:rPr>
            </w:pPr>
            <w:r>
              <w:rPr>
                <w:rFonts w:ascii="Arial" w:cs="Arial" w:eastAsia="Arial" w:hAnsi="Arial"/>
                <w:sz w:val="18"/>
                <w:szCs w:val="18"/>
                <w:color w:val="auto"/>
              </w:rPr>
              <w:t>Write offs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(308)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gridSpan w:val="3"/>
          </w:tcPr>
          <w:p>
            <w:pPr>
              <w:jc w:val="right"/>
              <w:ind w:right="32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Borders>
              <w:right w:val="single" w:sz="8" w:color="auto"/>
            </w:tcBorders>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Balance December 31, 2020</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527,674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 (219,034)</w:t>
            </w:r>
          </w:p>
        </w:tc>
        <w:tc>
          <w:tcPr>
            <w:tcW w:w="12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308,640</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2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Containerships (Navios Containers)</w:t>
            </w:r>
          </w:p>
        </w:tc>
        <w:tc>
          <w:tcPr>
            <w:tcW w:w="4380" w:type="dxa"/>
            <w:vAlign w:val="bottom"/>
            <w:gridSpan w:val="2"/>
            <w:vMerge w:val="restart"/>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vMerge w:val="restart"/>
          </w:tcPr>
          <w:p>
            <w:pPr>
              <w:jc w:val="right"/>
              <w:ind w:right="190"/>
              <w:spacing w:after="0"/>
              <w:rPr>
                <w:sz w:val="20"/>
                <w:szCs w:val="20"/>
                <w:color w:val="auto"/>
              </w:rPr>
            </w:pPr>
            <w:r>
              <w:rPr>
                <w:rFonts w:ascii="Arial" w:cs="Arial" w:eastAsia="Arial" w:hAnsi="Arial"/>
                <w:sz w:val="14"/>
                <w:szCs w:val="14"/>
                <w:b w:val="1"/>
                <w:bCs w:val="1"/>
                <w:color w:val="auto"/>
              </w:rPr>
              <w:t>Cost</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gridSpan w:val="8"/>
          </w:tcPr>
          <w:p>
            <w:pPr>
              <w:spacing w:after="0"/>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78"/>
              </w:rPr>
              <w:t>Net Book</w:t>
            </w:r>
          </w:p>
        </w:tc>
        <w:tc>
          <w:tcPr>
            <w:tcW w:w="0" w:type="dxa"/>
            <w:vAlign w:val="bottom"/>
          </w:tcPr>
          <w:p>
            <w:pPr>
              <w:spacing w:after="0"/>
              <w:rPr>
                <w:sz w:val="1"/>
                <w:szCs w:val="1"/>
                <w:color w:val="auto"/>
              </w:rPr>
            </w:pPr>
          </w:p>
        </w:tc>
      </w:tr>
      <w:tr>
        <w:trPr>
          <w:trHeight w:val="178"/>
        </w:trPr>
        <w:tc>
          <w:tcPr>
            <w:tcW w:w="2200" w:type="dxa"/>
            <w:vAlign w:val="bottom"/>
            <w:tcBorders>
              <w:bottom w:val="single" w:sz="8" w:color="auto"/>
            </w:tcBorders>
            <w:gridSpan w:val="2"/>
            <w:vMerge w:val="continue"/>
          </w:tcPr>
          <w:p>
            <w:pPr>
              <w:spacing w:after="0"/>
              <w:rPr>
                <w:sz w:val="15"/>
                <w:szCs w:val="15"/>
                <w:color w:val="auto"/>
              </w:rPr>
            </w:pPr>
          </w:p>
        </w:tc>
        <w:tc>
          <w:tcPr>
            <w:tcW w:w="4380" w:type="dxa"/>
            <w:vAlign w:val="bottom"/>
            <w:gridSpan w:val="2"/>
            <w:vMerge w:val="continue"/>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40" w:type="dxa"/>
            <w:vAlign w:val="bottom"/>
            <w:gridSpan w:val="8"/>
          </w:tcPr>
          <w:p>
            <w:pPr>
              <w:ind w:left="20"/>
              <w:spacing w:after="0" w:line="158" w:lineRule="exact"/>
              <w:rPr>
                <w:sz w:val="20"/>
                <w:szCs w:val="20"/>
                <w:color w:val="auto"/>
              </w:rPr>
            </w:pPr>
            <w:r>
              <w:rPr>
                <w:rFonts w:ascii="Arial" w:cs="Arial" w:eastAsia="Arial" w:hAnsi="Arial"/>
                <w:sz w:val="14"/>
                <w:szCs w:val="14"/>
                <w:b w:val="1"/>
                <w:bCs w:val="1"/>
                <w:color w:val="auto"/>
              </w:rPr>
              <w:t>Depreciation</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3"/>
          </w:tcPr>
          <w:p>
            <w:pPr>
              <w:jc w:val="right"/>
              <w:ind w:right="320"/>
              <w:spacing w:after="0" w:line="158"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03"/>
        </w:trPr>
        <w:tc>
          <w:tcPr>
            <w:tcW w:w="6580" w:type="dxa"/>
            <w:vAlign w:val="bottom"/>
            <w:tcBorders>
              <w:top w:val="single" w:sz="8" w:color="CCEEFF"/>
            </w:tcBorders>
            <w:gridSpan w:val="4"/>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Balance December 31, 2017</w:t>
            </w:r>
          </w:p>
        </w:tc>
        <w:tc>
          <w:tcPr>
            <w:tcW w:w="9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right w:val="single" w:sz="8" w:color="CCEEFF"/>
            </w:tcBorders>
            <w:gridSpan w:val="2"/>
            <w:shd w:val="clear" w:color="auto" w:fill="CCEEFF"/>
          </w:tcPr>
          <w:p>
            <w:pPr>
              <w:jc w:val="right"/>
              <w:ind w:right="50"/>
              <w:spacing w:after="0" w:line="203"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gridSpan w:val="2"/>
            <w:shd w:val="clear" w:color="auto" w:fill="CCEEFF"/>
          </w:tcPr>
          <w:p>
            <w:pPr>
              <w:spacing w:after="0"/>
              <w:rPr>
                <w:sz w:val="17"/>
                <w:szCs w:val="17"/>
                <w:color w:val="auto"/>
              </w:rPr>
            </w:pPr>
          </w:p>
        </w:tc>
        <w:tc>
          <w:tcPr>
            <w:tcW w:w="280" w:type="dxa"/>
            <w:vAlign w:val="bottom"/>
            <w:tcBorders>
              <w:top w:val="single" w:sz="8" w:color="auto"/>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CCEEFF"/>
            </w:tcBorders>
            <w:gridSpan w:val="2"/>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80" w:type="dxa"/>
            <w:vAlign w:val="bottom"/>
            <w:gridSpan w:val="4"/>
          </w:tcPr>
          <w:p>
            <w:pPr>
              <w:spacing w:after="0"/>
              <w:rPr>
                <w:sz w:val="20"/>
                <w:szCs w:val="20"/>
                <w:color w:val="auto"/>
              </w:rPr>
            </w:pPr>
            <w:r>
              <w:rPr>
                <w:rFonts w:ascii="Arial" w:cs="Arial" w:eastAsia="Arial" w:hAnsi="Arial"/>
                <w:sz w:val="18"/>
                <w:szCs w:val="18"/>
                <w:color w:val="auto"/>
              </w:rPr>
              <w:t>Vessels upon obtaining control</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8"/>
              </w:rPr>
              <w:t>376,133</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50"/>
              <w:spacing w:after="0"/>
              <w:rPr>
                <w:sz w:val="20"/>
                <w:szCs w:val="20"/>
                <w:color w:val="auto"/>
              </w:rPr>
            </w:pPr>
            <w:r>
              <w:rPr>
                <w:rFonts w:ascii="Arial" w:cs="Arial" w:eastAsia="Arial" w:hAnsi="Arial"/>
                <w:sz w:val="18"/>
                <w:szCs w:val="18"/>
                <w:color w:val="auto"/>
                <w:w w:val="85"/>
              </w:rPr>
              <w:t>(882)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8"/>
                <w:szCs w:val="18"/>
                <w:color w:val="auto"/>
                <w:w w:val="86"/>
              </w:rPr>
              <w:t>375,251</w:t>
            </w:r>
          </w:p>
        </w:tc>
        <w:tc>
          <w:tcPr>
            <w:tcW w:w="0" w:type="dxa"/>
            <w:vAlign w:val="bottom"/>
          </w:tcPr>
          <w:p>
            <w:pPr>
              <w:spacing w:after="0"/>
              <w:rPr>
                <w:sz w:val="1"/>
                <w:szCs w:val="1"/>
                <w:color w:val="auto"/>
              </w:rPr>
            </w:pPr>
          </w:p>
        </w:tc>
      </w:tr>
      <w:tr>
        <w:trPr>
          <w:trHeight w:val="216"/>
        </w:trPr>
        <w:tc>
          <w:tcPr>
            <w:tcW w:w="6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Vessel acquisition</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24,763</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24,728</w:t>
            </w:r>
          </w:p>
        </w:tc>
        <w:tc>
          <w:tcPr>
            <w:tcW w:w="0" w:type="dxa"/>
            <w:vAlign w:val="bottom"/>
          </w:tcPr>
          <w:p>
            <w:pPr>
              <w:spacing w:after="0"/>
              <w:rPr>
                <w:sz w:val="1"/>
                <w:szCs w:val="1"/>
                <w:color w:val="auto"/>
              </w:rPr>
            </w:pPr>
          </w:p>
        </w:tc>
      </w:tr>
      <w:tr>
        <w:trPr>
          <w:trHeight w:val="223"/>
        </w:trPr>
        <w:tc>
          <w:tcPr>
            <w:tcW w:w="6580" w:type="dxa"/>
            <w:vAlign w:val="bottom"/>
            <w:gridSpan w:val="4"/>
          </w:tcPr>
          <w:p>
            <w:pPr>
              <w:spacing w:after="0"/>
              <w:rPr>
                <w:sz w:val="20"/>
                <w:szCs w:val="20"/>
                <w:color w:val="auto"/>
              </w:rPr>
            </w:pPr>
            <w:r>
              <w:rPr>
                <w:rFonts w:ascii="Arial" w:cs="Arial" w:eastAsia="Arial" w:hAnsi="Arial"/>
                <w:sz w:val="18"/>
                <w:szCs w:val="18"/>
                <w:b w:val="1"/>
                <w:bCs w:val="1"/>
                <w:color w:val="auto"/>
              </w:rPr>
              <w:t>Balance December 31, 2018</w:t>
            </w:r>
          </w:p>
        </w:tc>
        <w:tc>
          <w:tcPr>
            <w:tcW w:w="9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400,896</w:t>
            </w: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1"/>
              </w:rPr>
              <w:t>(917)</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6"/>
              </w:rPr>
              <w:t>399,979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Additions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1,715</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50"/>
              <w:spacing w:after="0"/>
              <w:rPr>
                <w:sz w:val="20"/>
                <w:szCs w:val="20"/>
                <w:color w:val="auto"/>
              </w:rPr>
            </w:pPr>
            <w:r>
              <w:rPr>
                <w:rFonts w:ascii="Arial" w:cs="Arial" w:eastAsia="Arial" w:hAnsi="Arial"/>
                <w:sz w:val="18"/>
                <w:szCs w:val="18"/>
                <w:color w:val="auto"/>
              </w:rPr>
              <w:t>(7,497)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(5,782)</w:t>
            </w:r>
          </w:p>
        </w:tc>
        <w:tc>
          <w:tcPr>
            <w:tcW w:w="0" w:type="dxa"/>
            <w:vAlign w:val="bottom"/>
          </w:tcPr>
          <w:p>
            <w:pPr>
              <w:spacing w:after="0"/>
              <w:rPr>
                <w:sz w:val="1"/>
                <w:szCs w:val="1"/>
                <w:color w:val="auto"/>
              </w:rPr>
            </w:pPr>
          </w:p>
        </w:tc>
      </w:tr>
      <w:tr>
        <w:trPr>
          <w:trHeight w:val="216"/>
        </w:trPr>
        <w:tc>
          <w:tcPr>
            <w:tcW w:w="6580" w:type="dxa"/>
            <w:vAlign w:val="bottom"/>
            <w:gridSpan w:val="4"/>
          </w:tcPr>
          <w:p>
            <w:pPr>
              <w:spacing w:after="0"/>
              <w:rPr>
                <w:sz w:val="20"/>
                <w:szCs w:val="20"/>
                <w:color w:val="auto"/>
              </w:rPr>
            </w:pPr>
            <w:r>
              <w:rPr>
                <w:rFonts w:ascii="Arial" w:cs="Arial" w:eastAsia="Arial" w:hAnsi="Arial"/>
                <w:sz w:val="18"/>
                <w:szCs w:val="18"/>
                <w:color w:val="auto"/>
              </w:rPr>
              <w:t>Vessel acquisition</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53,097</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50"/>
              <w:spacing w:after="0"/>
              <w:rPr>
                <w:sz w:val="20"/>
                <w:szCs w:val="20"/>
                <w:color w:val="auto"/>
              </w:rPr>
            </w:pPr>
            <w:r>
              <w:rPr>
                <w:rFonts w:ascii="Arial" w:cs="Arial" w:eastAsia="Arial" w:hAnsi="Arial"/>
                <w:sz w:val="18"/>
                <w:szCs w:val="18"/>
                <w:color w:val="auto"/>
                <w:w w:val="85"/>
              </w:rPr>
              <w:t>(649)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8"/>
                <w:szCs w:val="18"/>
                <w:color w:val="auto"/>
              </w:rPr>
              <w:t>52,448</w:t>
            </w:r>
          </w:p>
        </w:tc>
        <w:tc>
          <w:tcPr>
            <w:tcW w:w="0" w:type="dxa"/>
            <w:vAlign w:val="bottom"/>
          </w:tcPr>
          <w:p>
            <w:pPr>
              <w:spacing w:after="0"/>
              <w:rPr>
                <w:sz w:val="1"/>
                <w:szCs w:val="1"/>
                <w:color w:val="auto"/>
              </w:rPr>
            </w:pPr>
          </w:p>
        </w:tc>
      </w:tr>
      <w:tr>
        <w:trPr>
          <w:trHeight w:val="216"/>
        </w:trPr>
        <w:tc>
          <w:tcPr>
            <w:tcW w:w="6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Navios Containers Deconsolidation</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52"/>
              <w:spacing w:after="0"/>
              <w:rPr>
                <w:sz w:val="20"/>
                <w:szCs w:val="20"/>
                <w:color w:val="auto"/>
              </w:rPr>
            </w:pPr>
            <w:r>
              <w:rPr>
                <w:rFonts w:ascii="Arial" w:cs="Arial" w:eastAsia="Arial" w:hAnsi="Arial"/>
                <w:sz w:val="18"/>
                <w:szCs w:val="18"/>
                <w:color w:val="auto"/>
                <w:w w:val="90"/>
              </w:rPr>
              <w:t>(455,708)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210"/>
              <w:spacing w:after="0"/>
              <w:rPr>
                <w:sz w:val="20"/>
                <w:szCs w:val="20"/>
                <w:color w:val="auto"/>
              </w:rPr>
            </w:pPr>
            <w:r>
              <w:rPr>
                <w:rFonts w:ascii="Arial" w:cs="Arial" w:eastAsia="Arial" w:hAnsi="Arial"/>
                <w:sz w:val="18"/>
                <w:szCs w:val="18"/>
                <w:color w:val="auto"/>
              </w:rPr>
              <w:t>9,063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0"/>
              </w:rPr>
              <w:t>(446,645)</w:t>
            </w:r>
          </w:p>
        </w:tc>
        <w:tc>
          <w:tcPr>
            <w:tcW w:w="0" w:type="dxa"/>
            <w:vAlign w:val="bottom"/>
          </w:tcPr>
          <w:p>
            <w:pPr>
              <w:spacing w:after="0"/>
              <w:rPr>
                <w:sz w:val="1"/>
                <w:szCs w:val="1"/>
                <w:color w:val="auto"/>
              </w:rPr>
            </w:pPr>
          </w:p>
        </w:tc>
      </w:tr>
      <w:tr>
        <w:trPr>
          <w:trHeight w:val="223"/>
        </w:trPr>
        <w:tc>
          <w:tcPr>
            <w:tcW w:w="6580" w:type="dxa"/>
            <w:vAlign w:val="bottom"/>
            <w:gridSpan w:val="4"/>
          </w:tcPr>
          <w:p>
            <w:pPr>
              <w:spacing w:after="0"/>
              <w:rPr>
                <w:sz w:val="20"/>
                <w:szCs w:val="20"/>
                <w:color w:val="auto"/>
              </w:rPr>
            </w:pPr>
            <w:r>
              <w:rPr>
                <w:rFonts w:ascii="Arial" w:cs="Arial" w:eastAsia="Arial" w:hAnsi="Arial"/>
                <w:sz w:val="18"/>
                <w:szCs w:val="18"/>
                <w:b w:val="1"/>
                <w:bCs w:val="1"/>
                <w:color w:val="auto"/>
              </w:rPr>
              <w:t>Balance December 31, 2019</w:t>
            </w:r>
          </w:p>
        </w:tc>
        <w:tc>
          <w:tcPr>
            <w:tcW w:w="9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1100" w:type="dxa"/>
            <w:vAlign w:val="bottom"/>
            <w:vMerge w:val="restart"/>
          </w:tcPr>
          <w:p>
            <w:pPr>
              <w:spacing w:after="0"/>
              <w:rPr>
                <w:sz w:val="20"/>
                <w:szCs w:val="20"/>
                <w:color w:val="auto"/>
              </w:rPr>
            </w:pPr>
            <w:r>
              <w:rPr>
                <w:rFonts w:ascii="Arial" w:cs="Arial" w:eastAsia="Arial" w:hAnsi="Arial"/>
                <w:sz w:val="14"/>
                <w:szCs w:val="14"/>
                <w:b w:val="1"/>
                <w:bCs w:val="1"/>
                <w:color w:val="auto"/>
                <w:w w:val="88"/>
              </w:rPr>
              <w:t>Other fixed assets</w:t>
            </w:r>
          </w:p>
        </w:tc>
        <w:tc>
          <w:tcPr>
            <w:tcW w:w="5480" w:type="dxa"/>
            <w:vAlign w:val="bottom"/>
            <w:gridSpan w:val="3"/>
            <w:vMerge w:val="restart"/>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gridSpan w:val="4"/>
            <w:vMerge w:val="restart"/>
          </w:tcPr>
          <w:p>
            <w:pPr>
              <w:jc w:val="right"/>
              <w:ind w:right="40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24"/>
                <w:szCs w:val="24"/>
                <w:color w:val="auto"/>
              </w:rPr>
            </w:pPr>
          </w:p>
        </w:tc>
        <w:tc>
          <w:tcPr>
            <w:tcW w:w="940" w:type="dxa"/>
            <w:vAlign w:val="bottom"/>
            <w:gridSpan w:val="5"/>
          </w:tcPr>
          <w:p>
            <w:pPr>
              <w:spacing w:after="0"/>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Net Book</w:t>
            </w:r>
          </w:p>
        </w:tc>
        <w:tc>
          <w:tcPr>
            <w:tcW w:w="0" w:type="dxa"/>
            <w:vAlign w:val="bottom"/>
          </w:tcPr>
          <w:p>
            <w:pPr>
              <w:spacing w:after="0"/>
              <w:rPr>
                <w:sz w:val="1"/>
                <w:szCs w:val="1"/>
                <w:color w:val="auto"/>
              </w:rPr>
            </w:pPr>
          </w:p>
        </w:tc>
      </w:tr>
      <w:tr>
        <w:trPr>
          <w:trHeight w:val="178"/>
        </w:trPr>
        <w:tc>
          <w:tcPr>
            <w:tcW w:w="1100" w:type="dxa"/>
            <w:vAlign w:val="bottom"/>
            <w:tcBorders>
              <w:bottom w:val="single" w:sz="8" w:color="auto"/>
            </w:tcBorders>
            <w:vMerge w:val="continue"/>
          </w:tcPr>
          <w:p>
            <w:pPr>
              <w:spacing w:after="0"/>
              <w:rPr>
                <w:sz w:val="15"/>
                <w:szCs w:val="15"/>
                <w:color w:val="auto"/>
              </w:rPr>
            </w:pPr>
          </w:p>
        </w:tc>
        <w:tc>
          <w:tcPr>
            <w:tcW w:w="5480" w:type="dxa"/>
            <w:vAlign w:val="bottom"/>
            <w:gridSpan w:val="3"/>
            <w:vMerge w:val="continue"/>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5"/>
          </w:tcPr>
          <w:p>
            <w:pPr>
              <w:ind w:left="20"/>
              <w:spacing w:after="0" w:line="158" w:lineRule="exact"/>
              <w:rPr>
                <w:sz w:val="20"/>
                <w:szCs w:val="20"/>
                <w:color w:val="auto"/>
              </w:rPr>
            </w:pPr>
            <w:r>
              <w:rPr>
                <w:rFonts w:ascii="Arial" w:cs="Arial" w:eastAsia="Arial" w:hAnsi="Arial"/>
                <w:sz w:val="14"/>
                <w:szCs w:val="14"/>
                <w:b w:val="1"/>
                <w:bCs w:val="1"/>
                <w:color w:val="auto"/>
              </w:rPr>
              <w:t>Depreciation</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ind w:right="240"/>
              <w:spacing w:after="0" w:line="158"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3"/>
        </w:trPr>
        <w:tc>
          <w:tcPr>
            <w:tcW w:w="6580" w:type="dxa"/>
            <w:vAlign w:val="bottom"/>
            <w:tcBorders>
              <w:top w:val="single" w:sz="8" w:color="CCEEFF"/>
            </w:tcBorders>
            <w:gridSpan w:val="4"/>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Balance December 31, 2017</w:t>
            </w:r>
          </w:p>
        </w:tc>
        <w:tc>
          <w:tcPr>
            <w:tcW w:w="9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right w:val="single" w:sz="8" w:color="CCEEFF"/>
            </w:tcBorders>
            <w:gridSpan w:val="2"/>
            <w:shd w:val="clear" w:color="auto" w:fill="CCEEFF"/>
          </w:tcPr>
          <w:p>
            <w:pPr>
              <w:spacing w:after="0"/>
              <w:rPr>
                <w:sz w:val="17"/>
                <w:szCs w:val="17"/>
                <w:color w:val="auto"/>
              </w:rPr>
            </w:pPr>
          </w:p>
        </w:tc>
        <w:tc>
          <w:tcPr>
            <w:tcW w:w="58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79"/>
              </w:rPr>
              <w:t>$ 14,360</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(10,620)</w:t>
            </w: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3,740</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80" w:type="dxa"/>
            <w:vAlign w:val="bottom"/>
            <w:gridSpan w:val="4"/>
          </w:tcPr>
          <w:p>
            <w:pPr>
              <w:spacing w:after="0"/>
              <w:rPr>
                <w:sz w:val="20"/>
                <w:szCs w:val="20"/>
                <w:color w:val="auto"/>
              </w:rPr>
            </w:pPr>
            <w:r>
              <w:rPr>
                <w:rFonts w:ascii="Arial" w:cs="Arial" w:eastAsia="Arial" w:hAnsi="Arial"/>
                <w:sz w:val="18"/>
                <w:szCs w:val="18"/>
                <w:color w:val="auto"/>
              </w:rPr>
              <w:t>Additions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4"/>
          </w:tcPr>
          <w:p>
            <w:pPr>
              <w:jc w:val="right"/>
              <w:ind w:right="200"/>
              <w:spacing w:after="0"/>
              <w:rPr>
                <w:sz w:val="20"/>
                <w:szCs w:val="20"/>
                <w:color w:val="auto"/>
              </w:rPr>
            </w:pPr>
            <w:r>
              <w:rPr>
                <w:rFonts w:ascii="Arial" w:cs="Arial" w:eastAsia="Arial" w:hAnsi="Arial"/>
                <w:sz w:val="18"/>
                <w:szCs w:val="18"/>
                <w:color w:val="auto"/>
              </w:rPr>
              <w:t>5,845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4"/>
          </w:tcPr>
          <w:p>
            <w:pPr>
              <w:jc w:val="right"/>
              <w:ind w:right="60"/>
              <w:spacing w:after="0"/>
              <w:rPr>
                <w:sz w:val="20"/>
                <w:szCs w:val="20"/>
                <w:color w:val="auto"/>
              </w:rPr>
            </w:pPr>
            <w:r>
              <w:rPr>
                <w:rFonts w:ascii="Arial" w:cs="Arial" w:eastAsia="Arial" w:hAnsi="Arial"/>
                <w:sz w:val="18"/>
                <w:szCs w:val="18"/>
                <w:color w:val="auto"/>
              </w:rPr>
              <w:t>(1,572)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4,273</w:t>
            </w:r>
          </w:p>
        </w:tc>
        <w:tc>
          <w:tcPr>
            <w:tcW w:w="0" w:type="dxa"/>
            <w:vAlign w:val="bottom"/>
          </w:tcPr>
          <w:p>
            <w:pPr>
              <w:spacing w:after="0"/>
              <w:rPr>
                <w:sz w:val="1"/>
                <w:szCs w:val="1"/>
                <w:color w:val="auto"/>
              </w:rPr>
            </w:pPr>
          </w:p>
        </w:tc>
      </w:tr>
      <w:tr>
        <w:trPr>
          <w:trHeight w:val="216"/>
        </w:trPr>
        <w:tc>
          <w:tcPr>
            <w:tcW w:w="6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Write offs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(329)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295</w:t>
            </w: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3"/>
        </w:trPr>
        <w:tc>
          <w:tcPr>
            <w:tcW w:w="6580" w:type="dxa"/>
            <w:vAlign w:val="bottom"/>
            <w:gridSpan w:val="4"/>
          </w:tcPr>
          <w:p>
            <w:pPr>
              <w:spacing w:after="0"/>
              <w:rPr>
                <w:sz w:val="20"/>
                <w:szCs w:val="20"/>
                <w:color w:val="auto"/>
              </w:rPr>
            </w:pPr>
            <w:r>
              <w:rPr>
                <w:rFonts w:ascii="Arial" w:cs="Arial" w:eastAsia="Arial" w:hAnsi="Arial"/>
                <w:sz w:val="18"/>
                <w:szCs w:val="18"/>
                <w:b w:val="1"/>
                <w:bCs w:val="1"/>
                <w:color w:val="auto"/>
              </w:rPr>
              <w:t>Balance December 31, 2018</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19,876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(11,897)</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7,979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Additions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2,161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(1,056)</w:t>
            </w: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216"/>
        </w:trPr>
        <w:tc>
          <w:tcPr>
            <w:tcW w:w="6580" w:type="dxa"/>
            <w:vAlign w:val="bottom"/>
            <w:gridSpan w:val="4"/>
          </w:tcPr>
          <w:p>
            <w:pPr>
              <w:spacing w:after="0"/>
              <w:rPr>
                <w:sz w:val="20"/>
                <w:szCs w:val="20"/>
                <w:color w:val="auto"/>
              </w:rPr>
            </w:pPr>
            <w:r>
              <w:rPr>
                <w:rFonts w:ascii="Arial" w:cs="Arial" w:eastAsia="Arial" w:hAnsi="Arial"/>
                <w:sz w:val="18"/>
                <w:szCs w:val="18"/>
                <w:color w:val="auto"/>
              </w:rPr>
              <w:t>Write offs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4"/>
          </w:tcPr>
          <w:p>
            <w:pPr>
              <w:jc w:val="right"/>
              <w:ind w:right="140"/>
              <w:spacing w:after="0"/>
              <w:rPr>
                <w:sz w:val="20"/>
                <w:szCs w:val="20"/>
                <w:color w:val="auto"/>
              </w:rPr>
            </w:pPr>
            <w:r>
              <w:rPr>
                <w:rFonts w:ascii="Arial" w:cs="Arial" w:eastAsia="Arial" w:hAnsi="Arial"/>
                <w:sz w:val="18"/>
                <w:szCs w:val="18"/>
                <w:color w:val="auto"/>
                <w:w w:val="92"/>
              </w:rPr>
              <w:t>(14,206)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4"/>
          </w:tcPr>
          <w:p>
            <w:pPr>
              <w:jc w:val="right"/>
              <w:ind w:right="120"/>
              <w:spacing w:after="0"/>
              <w:rPr>
                <w:sz w:val="20"/>
                <w:szCs w:val="20"/>
                <w:color w:val="auto"/>
              </w:rPr>
            </w:pPr>
            <w:r>
              <w:rPr>
                <w:rFonts w:ascii="Arial" w:cs="Arial" w:eastAsia="Arial" w:hAnsi="Arial"/>
                <w:sz w:val="18"/>
                <w:szCs w:val="18"/>
                <w:color w:val="auto"/>
              </w:rPr>
              <w:t>7,993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(6,213)</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Balance December 31, 2019</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7,831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(4,960)</w:t>
            </w: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2,871</w:t>
            </w:r>
          </w:p>
        </w:tc>
        <w:tc>
          <w:tcPr>
            <w:tcW w:w="0" w:type="dxa"/>
            <w:vAlign w:val="bottom"/>
          </w:tcPr>
          <w:p>
            <w:pPr>
              <w:spacing w:after="0"/>
              <w:rPr>
                <w:sz w:val="1"/>
                <w:szCs w:val="1"/>
                <w:color w:val="auto"/>
              </w:rPr>
            </w:pPr>
          </w:p>
        </w:tc>
      </w:tr>
      <w:tr>
        <w:trPr>
          <w:trHeight w:val="216"/>
        </w:trPr>
        <w:tc>
          <w:tcPr>
            <w:tcW w:w="6580" w:type="dxa"/>
            <w:vAlign w:val="bottom"/>
            <w:gridSpan w:val="4"/>
          </w:tcPr>
          <w:p>
            <w:pPr>
              <w:spacing w:after="0"/>
              <w:rPr>
                <w:sz w:val="20"/>
                <w:szCs w:val="20"/>
                <w:color w:val="auto"/>
              </w:rPr>
            </w:pPr>
            <w:r>
              <w:rPr>
                <w:rFonts w:ascii="Arial" w:cs="Arial" w:eastAsia="Arial" w:hAnsi="Arial"/>
                <w:sz w:val="18"/>
                <w:szCs w:val="18"/>
                <w:color w:val="auto"/>
              </w:rPr>
              <w:t>Additions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488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4"/>
          </w:tcPr>
          <w:p>
            <w:pPr>
              <w:jc w:val="right"/>
              <w:ind w:right="60"/>
              <w:spacing w:after="0"/>
              <w:rPr>
                <w:sz w:val="20"/>
                <w:szCs w:val="20"/>
                <w:color w:val="auto"/>
              </w:rPr>
            </w:pPr>
            <w:r>
              <w:rPr>
                <w:rFonts w:ascii="Arial" w:cs="Arial" w:eastAsia="Arial" w:hAnsi="Arial"/>
                <w:sz w:val="18"/>
                <w:szCs w:val="18"/>
                <w:color w:val="auto"/>
              </w:rPr>
              <w:t>(672)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Balance December 31, 2020</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8,319</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(5,632)</w:t>
            </w: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2,687</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160" w:type="dxa"/>
            <w:vAlign w:val="bottom"/>
            <w:vMerge w:val="restart"/>
          </w:tcPr>
          <w:p>
            <w:pPr>
              <w:ind w:left="1920"/>
              <w:spacing w:after="0"/>
              <w:rPr>
                <w:sz w:val="20"/>
                <w:szCs w:val="20"/>
                <w:color w:val="auto"/>
              </w:rPr>
            </w:pPr>
            <w:r>
              <w:rPr>
                <w:rFonts w:ascii="Arial" w:cs="Arial" w:eastAsia="Arial" w:hAnsi="Arial"/>
                <w:sz w:val="18"/>
                <w:szCs w:val="18"/>
                <w:color w:val="auto"/>
              </w:rPr>
              <w:t>F-36</w:t>
            </w: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16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type w:val="continuous"/>
        </w:sectPr>
      </w:pPr>
    </w:p>
    <w:bookmarkStart w:id="199" w:name="page200"/>
    <w:bookmarkEnd w:id="199"/>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jc w:val="center"/>
        <w:ind w:right="2940"/>
        <w:spacing w:after="0" w:line="266" w:lineRule="auto"/>
        <w:rPr>
          <w:sz w:val="20"/>
          <w:szCs w:val="20"/>
          <w:color w:val="auto"/>
        </w:rPr>
      </w:pPr>
      <w:r>
        <w:rPr>
          <w:rFonts w:ascii="Arial" w:cs="Arial" w:eastAsia="Arial" w:hAnsi="Arial"/>
          <w:sz w:val="18"/>
          <w:szCs w:val="18"/>
          <w:b w:val="1"/>
          <w:bCs w:val="1"/>
          <w:color w:val="auto"/>
        </w:rPr>
        <w:t xml:space="preserve">NAVIOS MARITIME HOLDINGS INC. NOTES TO THE CONSOLIDATED FINANCIAL STATEMENTS </w:t>
      </w:r>
      <w:r>
        <w:rPr>
          <w:rFonts w:ascii="Arial" w:cs="Arial" w:eastAsia="Arial" w:hAnsi="Arial"/>
          <w:sz w:val="18"/>
          <w:szCs w:val="18"/>
          <w:color w:val="auto"/>
        </w:rPr>
        <w:t>(Expressed in thousands of U.S. dollars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-1950085</wp:posOffset>
            </wp:positionH>
            <wp:positionV relativeFrom="paragraph">
              <wp:posOffset>-964565</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71" w:lineRule="exact"/>
        <w:rPr>
          <w:sz w:val="20"/>
          <w:szCs w:val="20"/>
          <w:color w:val="auto"/>
        </w:rPr>
      </w:pPr>
    </w:p>
    <w:tbl>
      <w:tblPr>
        <w:tblLayout w:type="fixed"/>
        <w:tblInd w:w="5300" w:type="dxa"/>
        <w:tblCellMar>
          <w:top w:w="0" w:type="dxa"/>
          <w:left w:w="0" w:type="dxa"/>
          <w:bottom w:w="0" w:type="dxa"/>
          <w:right w:w="0" w:type="dxa"/>
        </w:tblCellMar>
      </w:tblPr>
      <w:tr>
        <w:trPr>
          <w:trHeight w:val="161"/>
        </w:trPr>
        <w:tc>
          <w:tcPr>
            <w:tcW w:w="540" w:type="dxa"/>
            <w:vAlign w:val="bottom"/>
            <w:vMerge w:val="restart"/>
          </w:tcPr>
          <w:p>
            <w:pPr>
              <w:spacing w:after="0"/>
              <w:rPr>
                <w:sz w:val="20"/>
                <w:szCs w:val="20"/>
                <w:color w:val="auto"/>
              </w:rPr>
            </w:pPr>
            <w:r>
              <w:rPr>
                <w:rFonts w:ascii="Arial" w:cs="Arial" w:eastAsia="Arial" w:hAnsi="Arial"/>
                <w:sz w:val="14"/>
                <w:szCs w:val="14"/>
                <w:b w:val="1"/>
                <w:bCs w:val="1"/>
                <w:color w:val="auto"/>
              </w:rPr>
              <w:t>Cost</w:t>
            </w:r>
          </w:p>
        </w:tc>
        <w:tc>
          <w:tcPr>
            <w:tcW w:w="1260" w:type="dxa"/>
            <w:vAlign w:val="bottom"/>
          </w:tcPr>
          <w:p>
            <w:pPr>
              <w:ind w:left="260"/>
              <w:spacing w:after="0"/>
              <w:rPr>
                <w:sz w:val="20"/>
                <w:szCs w:val="20"/>
                <w:color w:val="auto"/>
              </w:rPr>
            </w:pPr>
            <w:r>
              <w:rPr>
                <w:rFonts w:ascii="Arial" w:cs="Arial" w:eastAsia="Arial" w:hAnsi="Arial"/>
                <w:sz w:val="14"/>
                <w:szCs w:val="14"/>
                <w:b w:val="1"/>
                <w:bCs w:val="1"/>
                <w:color w:val="auto"/>
              </w:rPr>
              <w:t>Accumulated</w:t>
            </w:r>
          </w:p>
        </w:tc>
        <w:tc>
          <w:tcPr>
            <w:tcW w:w="740" w:type="dxa"/>
            <w:vAlign w:val="bottom"/>
          </w:tcPr>
          <w:p>
            <w:pPr>
              <w:jc w:val="center"/>
              <w:ind w:left="88"/>
              <w:spacing w:after="0"/>
              <w:rPr>
                <w:sz w:val="20"/>
                <w:szCs w:val="20"/>
                <w:color w:val="auto"/>
              </w:rPr>
            </w:pPr>
            <w:r>
              <w:rPr>
                <w:rFonts w:ascii="Arial" w:cs="Arial" w:eastAsia="Arial" w:hAnsi="Arial"/>
                <w:sz w:val="14"/>
                <w:szCs w:val="14"/>
                <w:b w:val="1"/>
                <w:bCs w:val="1"/>
                <w:color w:val="auto"/>
                <w:w w:val="94"/>
              </w:rPr>
              <w:t>Net Book</w:t>
            </w:r>
          </w:p>
        </w:tc>
        <w:tc>
          <w:tcPr>
            <w:tcW w:w="0" w:type="dxa"/>
            <w:vAlign w:val="bottom"/>
          </w:tcPr>
          <w:p>
            <w:pPr>
              <w:spacing w:after="0"/>
              <w:rPr>
                <w:sz w:val="1"/>
                <w:szCs w:val="1"/>
                <w:color w:val="auto"/>
              </w:rPr>
            </w:pPr>
          </w:p>
        </w:tc>
      </w:tr>
      <w:tr>
        <w:trPr>
          <w:trHeight w:val="158"/>
        </w:trPr>
        <w:tc>
          <w:tcPr>
            <w:tcW w:w="540" w:type="dxa"/>
            <w:vAlign w:val="bottom"/>
            <w:vMerge w:val="continue"/>
          </w:tcPr>
          <w:p>
            <w:pPr>
              <w:spacing w:after="0"/>
              <w:rPr>
                <w:sz w:val="13"/>
                <w:szCs w:val="13"/>
                <w:color w:val="auto"/>
              </w:rPr>
            </w:pPr>
          </w:p>
        </w:tc>
        <w:tc>
          <w:tcPr>
            <w:tcW w:w="1260" w:type="dxa"/>
            <w:vAlign w:val="bottom"/>
          </w:tcPr>
          <w:p>
            <w:pPr>
              <w:ind w:left="280"/>
              <w:spacing w:after="0" w:line="158" w:lineRule="exact"/>
              <w:rPr>
                <w:sz w:val="20"/>
                <w:szCs w:val="20"/>
                <w:color w:val="auto"/>
              </w:rPr>
            </w:pPr>
            <w:r>
              <w:rPr>
                <w:rFonts w:ascii="Arial" w:cs="Arial" w:eastAsia="Arial" w:hAnsi="Arial"/>
                <w:sz w:val="14"/>
                <w:szCs w:val="14"/>
                <w:b w:val="1"/>
                <w:bCs w:val="1"/>
                <w:color w:val="auto"/>
              </w:rPr>
              <w:t>Depreciation</w:t>
            </w:r>
          </w:p>
        </w:tc>
        <w:tc>
          <w:tcPr>
            <w:tcW w:w="740" w:type="dxa"/>
            <w:vAlign w:val="bottom"/>
          </w:tcPr>
          <w:p>
            <w:pPr>
              <w:jc w:val="center"/>
              <w:ind w:left="88"/>
              <w:spacing w:after="0" w:line="158"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2340" w:space="720"/>
            <w:col w:w="8080"/>
          </w:cols>
          <w:pgMar w:left="320" w:top="459" w:right="439" w:bottom="1440" w:gutter="0" w:footer="0" w:header="0"/>
        </w:sectPr>
      </w:pPr>
    </w:p>
    <w:tbl>
      <w:tblPr>
        <w:tblLayout w:type="fixed"/>
        <w:tblInd w:w="120" w:type="dxa"/>
        <w:tblCellMar>
          <w:top w:w="0" w:type="dxa"/>
          <w:left w:w="0" w:type="dxa"/>
          <w:bottom w:w="0" w:type="dxa"/>
          <w:right w:w="0" w:type="dxa"/>
        </w:tblCellMar>
      </w:tblPr>
      <w:tr>
        <w:trPr>
          <w:trHeight w:val="20"/>
        </w:trPr>
        <w:tc>
          <w:tcPr>
            <w:tcW w:w="320" w:type="dxa"/>
            <w:vAlign w:val="bottom"/>
            <w:shd w:val="clear" w:color="auto" w:fill="000000"/>
          </w:tcPr>
          <w:p>
            <w:pPr>
              <w:spacing w:after="0" w:line="20" w:lineRule="exact"/>
              <w:rPr>
                <w:sz w:val="1"/>
                <w:szCs w:val="1"/>
                <w:color w:val="auto"/>
              </w:rPr>
            </w:pPr>
          </w:p>
        </w:tc>
        <w:tc>
          <w:tcPr>
            <w:tcW w:w="76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3"/>
        </w:trPr>
        <w:tc>
          <w:tcPr>
            <w:tcW w:w="79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Balance December 31, 2017</w:t>
            </w:r>
          </w:p>
        </w:tc>
        <w:tc>
          <w:tcPr>
            <w:tcW w:w="9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97"/>
              </w:rPr>
              <w:t>$2,553,047</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b w:val="1"/>
                <w:bCs w:val="1"/>
                <w:color w:val="auto"/>
                <w:w w:val="93"/>
              </w:rPr>
              <w:t>$ (743,822)</w:t>
            </w:r>
          </w:p>
        </w:tc>
        <w:tc>
          <w:tcPr>
            <w:tcW w:w="1020" w:type="dxa"/>
            <w:vAlign w:val="bottom"/>
            <w:gridSpan w:val="3"/>
            <w:shd w:val="clear" w:color="auto" w:fill="CCEEFF"/>
          </w:tcPr>
          <w:p>
            <w:pPr>
              <w:jc w:val="right"/>
              <w:ind w:right="120"/>
              <w:spacing w:after="0" w:line="203" w:lineRule="exact"/>
              <w:rPr>
                <w:sz w:val="20"/>
                <w:szCs w:val="20"/>
                <w:color w:val="auto"/>
              </w:rPr>
            </w:pPr>
            <w:r>
              <w:rPr>
                <w:rFonts w:ascii="Arial" w:cs="Arial" w:eastAsia="Arial" w:hAnsi="Arial"/>
                <w:sz w:val="18"/>
                <w:szCs w:val="18"/>
                <w:b w:val="1"/>
                <w:bCs w:val="1"/>
                <w:color w:val="auto"/>
                <w:w w:val="97"/>
              </w:rPr>
              <w:t>$1,809,225</w:t>
            </w:r>
          </w:p>
        </w:tc>
      </w:tr>
      <w:tr>
        <w:trPr>
          <w:trHeight w:val="216"/>
        </w:trPr>
        <w:tc>
          <w:tcPr>
            <w:tcW w:w="7920" w:type="dxa"/>
            <w:vAlign w:val="bottom"/>
            <w:gridSpan w:val="2"/>
          </w:tcPr>
          <w:p>
            <w:pPr>
              <w:spacing w:after="0"/>
              <w:rPr>
                <w:sz w:val="20"/>
                <w:szCs w:val="20"/>
                <w:color w:val="auto"/>
              </w:rPr>
            </w:pPr>
            <w:r>
              <w:rPr>
                <w:rFonts w:ascii="Arial" w:cs="Arial" w:eastAsia="Arial" w:hAnsi="Arial"/>
                <w:sz w:val="18"/>
                <w:szCs w:val="18"/>
                <w:color w:val="auto"/>
              </w:rPr>
              <w:t>Vessels upon obtaining control</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376,133</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(882)</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375,251</w:t>
            </w:r>
          </w:p>
        </w:tc>
      </w:tr>
      <w:tr>
        <w:trPr>
          <w:trHeight w:val="216"/>
        </w:trPr>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12,354</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(93,789)</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(81,435)</w:t>
            </w:r>
          </w:p>
        </w:tc>
      </w:tr>
      <w:tr>
        <w:trPr>
          <w:trHeight w:val="216"/>
        </w:trPr>
        <w:tc>
          <w:tcPr>
            <w:tcW w:w="7920" w:type="dxa"/>
            <w:vAlign w:val="bottom"/>
            <w:gridSpan w:val="2"/>
          </w:tcPr>
          <w:p>
            <w:pPr>
              <w:spacing w:after="0"/>
              <w:rPr>
                <w:sz w:val="20"/>
                <w:szCs w:val="20"/>
                <w:color w:val="auto"/>
              </w:rPr>
            </w:pPr>
            <w:r>
              <w:rPr>
                <w:rFonts w:ascii="Arial" w:cs="Arial" w:eastAsia="Arial" w:hAnsi="Arial"/>
                <w:sz w:val="18"/>
                <w:szCs w:val="18"/>
                <w:color w:val="auto"/>
              </w:rPr>
              <w:t>Vessel acquisition</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47,148</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(493)</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46,655</w:t>
            </w:r>
          </w:p>
        </w:tc>
      </w:tr>
      <w:tr>
        <w:trPr>
          <w:trHeight w:val="216"/>
        </w:trPr>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Vessel impairment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(411,265)</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212,399</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(198,866)</w:t>
            </w:r>
          </w:p>
        </w:tc>
      </w:tr>
      <w:tr>
        <w:trPr>
          <w:trHeight w:val="216"/>
        </w:trPr>
        <w:tc>
          <w:tcPr>
            <w:tcW w:w="7920" w:type="dxa"/>
            <w:vAlign w:val="bottom"/>
            <w:gridSpan w:val="2"/>
          </w:tcPr>
          <w:p>
            <w:pPr>
              <w:spacing w:after="0"/>
              <w:rPr>
                <w:sz w:val="20"/>
                <w:szCs w:val="20"/>
                <w:color w:val="auto"/>
              </w:rPr>
            </w:pPr>
            <w:r>
              <w:rPr>
                <w:rFonts w:ascii="Arial" w:cs="Arial" w:eastAsia="Arial" w:hAnsi="Arial"/>
                <w:sz w:val="18"/>
                <w:szCs w:val="18"/>
                <w:color w:val="auto"/>
              </w:rPr>
              <w:t>Vessel disposals</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(101,717)</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(101,717)</w:t>
            </w:r>
          </w:p>
        </w:tc>
      </w:tr>
      <w:tr>
        <w:trPr>
          <w:trHeight w:val="216"/>
        </w:trPr>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Disposals</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(156)</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r>
      <w:tr>
        <w:trPr>
          <w:trHeight w:val="216"/>
        </w:trPr>
        <w:tc>
          <w:tcPr>
            <w:tcW w:w="7920" w:type="dxa"/>
            <w:vAlign w:val="bottom"/>
            <w:gridSpan w:val="2"/>
          </w:tcPr>
          <w:p>
            <w:pPr>
              <w:spacing w:after="0"/>
              <w:rPr>
                <w:sz w:val="20"/>
                <w:szCs w:val="20"/>
                <w:color w:val="auto"/>
              </w:rPr>
            </w:pPr>
            <w:r>
              <w:rPr>
                <w:rFonts w:ascii="Arial" w:cs="Arial" w:eastAsia="Arial" w:hAnsi="Arial"/>
                <w:sz w:val="18"/>
                <w:szCs w:val="18"/>
                <w:color w:val="auto"/>
              </w:rPr>
              <w:t>Write offs</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(329)</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295</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(34)</w:t>
            </w:r>
          </w:p>
        </w:tc>
      </w:tr>
      <w:tr>
        <w:trPr>
          <w:trHeight w:val="216"/>
        </w:trPr>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Transfers from deposits for vessels, port terminals and other fixed assets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49,421</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49,421</w:t>
            </w:r>
          </w:p>
        </w:tc>
      </w:tr>
      <w:tr>
        <w:trPr>
          <w:trHeight w:val="216"/>
        </w:trPr>
        <w:tc>
          <w:tcPr>
            <w:tcW w:w="7920" w:type="dxa"/>
            <w:vAlign w:val="bottom"/>
            <w:gridSpan w:val="2"/>
          </w:tcPr>
          <w:p>
            <w:pPr>
              <w:spacing w:after="0"/>
              <w:rPr>
                <w:sz w:val="20"/>
                <w:szCs w:val="20"/>
                <w:color w:val="auto"/>
              </w:rPr>
            </w:pPr>
            <w:r>
              <w:rPr>
                <w:rFonts w:ascii="Arial" w:cs="Arial" w:eastAsia="Arial" w:hAnsi="Arial"/>
                <w:sz w:val="18"/>
                <w:szCs w:val="18"/>
                <w:color w:val="auto"/>
              </w:rPr>
              <w:t>Transfers to other long-term assets</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(26)</w:t>
            </w:r>
          </w:p>
        </w:tc>
      </w:tr>
    </w:tbl>
    <w:p>
      <w:pPr>
        <w:spacing w:after="0" w:line="20" w:lineRule="exact"/>
        <w:rPr>
          <w:sz w:val="20"/>
          <w:szCs w:val="20"/>
          <w:color w:val="auto"/>
        </w:rPr>
      </w:pPr>
    </w:p>
    <w:tbl>
      <w:tblPr>
        <w:tblLayout w:type="fixed"/>
        <w:tblInd w:w="120" w:type="dxa"/>
        <w:tblCellMar>
          <w:top w:w="0" w:type="dxa"/>
          <w:left w:w="0" w:type="dxa"/>
          <w:bottom w:w="0" w:type="dxa"/>
          <w:right w:w="0" w:type="dxa"/>
        </w:tblCellMar>
      </w:tblPr>
      <w:tr>
        <w:trPr>
          <w:trHeight w:val="20"/>
        </w:trPr>
        <w:tc>
          <w:tcPr>
            <w:tcW w:w="79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3"/>
        </w:trPr>
        <w:tc>
          <w:tcPr>
            <w:tcW w:w="7920" w:type="dxa"/>
            <w:vAlign w:val="bottom"/>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Balance December 31, 2018</w:t>
            </w:r>
          </w:p>
        </w:tc>
        <w:tc>
          <w:tcPr>
            <w:tcW w:w="112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b w:val="1"/>
                <w:bCs w:val="1"/>
                <w:color w:val="auto"/>
              </w:rPr>
              <w:t>2,524,610</w:t>
            </w:r>
          </w:p>
        </w:tc>
        <w:tc>
          <w:tcPr>
            <w:tcW w:w="104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b w:val="1"/>
                <w:bCs w:val="1"/>
                <w:color w:val="auto"/>
              </w:rPr>
              <w:t>(626,155)</w:t>
            </w:r>
          </w:p>
        </w:tc>
        <w:tc>
          <w:tcPr>
            <w:tcW w:w="94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b w:val="1"/>
                <w:bCs w:val="1"/>
                <w:color w:val="auto"/>
                <w:w w:val="99"/>
              </w:rPr>
              <w:t>1,898,455</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Additions</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11,628</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(83,589)</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(71,961)</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Vessel acquisition</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67,832</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(693)</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67,139</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Vessel impairment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(274,067)</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159,834</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(114,233)</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Vessel disposals</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(48,830)</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(48,830)</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Write offs</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(16,270)</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8,859</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(7,411)</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Navios Containers Deconsolidation</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(455,708)</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9,063</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(446,645)</w:t>
            </w:r>
          </w:p>
        </w:tc>
      </w:tr>
      <w:tr>
        <w:trPr>
          <w:trHeight w:val="20"/>
        </w:trPr>
        <w:tc>
          <w:tcPr>
            <w:tcW w:w="79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29"/>
        </w:trPr>
        <w:tc>
          <w:tcPr>
            <w:tcW w:w="7920" w:type="dxa"/>
            <w:vAlign w:val="bottom"/>
          </w:tcPr>
          <w:p>
            <w:pPr>
              <w:spacing w:after="0"/>
              <w:rPr>
                <w:sz w:val="20"/>
                <w:szCs w:val="20"/>
                <w:color w:val="auto"/>
              </w:rPr>
            </w:pPr>
            <w:r>
              <w:rPr>
                <w:rFonts w:ascii="Arial" w:cs="Arial" w:eastAsia="Arial" w:hAnsi="Arial"/>
                <w:sz w:val="18"/>
                <w:szCs w:val="18"/>
                <w:b w:val="1"/>
                <w:bCs w:val="1"/>
                <w:color w:val="auto"/>
              </w:rPr>
              <w:t>Balance December 31, 2019</w:t>
            </w:r>
          </w:p>
        </w:tc>
        <w:tc>
          <w:tcPr>
            <w:tcW w:w="140" w:type="dxa"/>
            <w:vAlign w:val="bottom"/>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2"/>
              </w:rPr>
              <w:t>1,809,195</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tcPr>
          <w:p>
            <w:pPr>
              <w:jc w:val="right"/>
              <w:ind w:right="1"/>
              <w:spacing w:after="0"/>
              <w:rPr>
                <w:sz w:val="20"/>
                <w:szCs w:val="20"/>
                <w:color w:val="auto"/>
              </w:rPr>
            </w:pPr>
            <w:r>
              <w:rPr>
                <w:rFonts w:ascii="Arial" w:cs="Arial" w:eastAsia="Arial" w:hAnsi="Arial"/>
                <w:sz w:val="18"/>
                <w:szCs w:val="18"/>
                <w:b w:val="1"/>
                <w:bCs w:val="1"/>
                <w:color w:val="auto"/>
                <w:w w:val="93"/>
              </w:rPr>
              <w:t>(532,681)</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7"/>
              </w:rPr>
              <w:t>$1,276,514</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4,565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(62,604)</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(58,039)</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Vessel acquisition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96,678</w:t>
            </w:r>
          </w:p>
        </w:tc>
        <w:tc>
          <w:tcPr>
            <w:tcW w:w="140" w:type="dxa"/>
            <w:vAlign w:val="bottom"/>
          </w:tcPr>
          <w:p>
            <w:pPr>
              <w:spacing w:after="0"/>
              <w:rPr>
                <w:sz w:val="18"/>
                <w:szCs w:val="18"/>
                <w:color w:val="auto"/>
              </w:rPr>
            </w:pPr>
          </w:p>
        </w:tc>
        <w:tc>
          <w:tcPr>
            <w:tcW w:w="820" w:type="dxa"/>
            <w:vAlign w:val="bottom"/>
            <w:gridSpan w:val="2"/>
          </w:tcPr>
          <w:p>
            <w:pPr>
              <w:jc w:val="right"/>
              <w:ind w:right="1"/>
              <w:spacing w:after="0"/>
              <w:rPr>
                <w:sz w:val="20"/>
                <w:szCs w:val="20"/>
                <w:color w:val="auto"/>
              </w:rPr>
            </w:pPr>
            <w:r>
              <w:rPr>
                <w:rFonts w:ascii="Arial" w:cs="Arial" w:eastAsia="Arial" w:hAnsi="Arial"/>
                <w:sz w:val="18"/>
                <w:szCs w:val="18"/>
                <w:color w:val="auto"/>
              </w:rPr>
              <w:t>(2,820)</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93,858</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Vessel impairment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(221,754)</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137,255</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(84,499)</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Vessel disposals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(87,823)</w:t>
            </w:r>
          </w:p>
        </w:tc>
        <w:tc>
          <w:tcPr>
            <w:tcW w:w="140" w:type="dxa"/>
            <w:vAlign w:val="bottom"/>
          </w:tcPr>
          <w:p>
            <w:pPr>
              <w:spacing w:after="0"/>
              <w:rPr>
                <w:sz w:val="18"/>
                <w:szCs w:val="18"/>
                <w:color w:val="auto"/>
              </w:rPr>
            </w:pPr>
          </w:p>
        </w:tc>
        <w:tc>
          <w:tcPr>
            <w:tcW w:w="8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(87,823)</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Write offs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(548)</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76</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(472)</w:t>
            </w:r>
          </w:p>
        </w:tc>
      </w:tr>
      <w:tr>
        <w:trPr>
          <w:trHeight w:val="223"/>
        </w:trPr>
        <w:tc>
          <w:tcPr>
            <w:tcW w:w="7920" w:type="dxa"/>
            <w:vAlign w:val="bottom"/>
          </w:tcPr>
          <w:p>
            <w:pPr>
              <w:spacing w:after="0"/>
              <w:rPr>
                <w:sz w:val="20"/>
                <w:szCs w:val="20"/>
                <w:color w:val="auto"/>
              </w:rPr>
            </w:pPr>
            <w:r>
              <w:rPr>
                <w:rFonts w:ascii="Arial" w:cs="Arial" w:eastAsia="Arial" w:hAnsi="Arial"/>
                <w:sz w:val="18"/>
                <w:szCs w:val="18"/>
                <w:b w:val="1"/>
                <w:bCs w:val="1"/>
                <w:color w:val="auto"/>
              </w:rPr>
              <w:t>Balance December 31, 2020</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1,600,313</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(460,774</w:t>
            </w:r>
          </w:p>
        </w:tc>
        <w:tc>
          <w:tcPr>
            <w:tcW w:w="140" w:type="dxa"/>
            <w:vAlign w:val="bottom"/>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1,139,539</w:t>
            </w:r>
          </w:p>
        </w:tc>
        <w:tc>
          <w:tcPr>
            <w:tcW w:w="120" w:type="dxa"/>
            <w:vAlign w:val="bottom"/>
          </w:tcPr>
          <w:p>
            <w:pPr>
              <w:spacing w:after="0"/>
              <w:rPr>
                <w:sz w:val="19"/>
                <w:szCs w:val="19"/>
                <w:color w:val="auto"/>
              </w:rPr>
            </w:pPr>
          </w:p>
        </w:tc>
      </w:tr>
      <w:tr>
        <w:trPr>
          <w:trHeight w:val="20"/>
        </w:trPr>
        <w:tc>
          <w:tcPr>
            <w:tcW w:w="7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Deposits for Vessels and Port Terminals Acquisitions</w:t>
      </w:r>
    </w:p>
    <w:p>
      <w:pPr>
        <w:spacing w:after="0" w:line="117"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On November 21, 2019, Navios Logistics entered into a shipbuilding contract, for the construction of six liquid barges for a total consideration of $17,760. Pursuant to this contract, Navios Logistics has secured the availability of credit for up to 75% of the purchase price, and up to a five-year repayment period starting from the delivery of each vessel. Five barges were delivered in the fourth quarter of 2020 and the remaining barge was delivered during the first quarter of 2021. As of December 31, 2020, Navios Logistics had paid $16,696, for the construction of these barges, which are included within “Other long-term assets”. Capitalized interest included within “Other long-term assets” amounted to $611 as of December 31, 2020.</w:t>
      </w:r>
    </w:p>
    <w:p>
      <w:pPr>
        <w:spacing w:after="0" w:line="161"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As of December 31, 2020 and December 31, 2019, Navios Logistics had paid $631 and $458, respectively, for capitalized expenses for the development of its port operations in Port Murtinho region, Brazil. As of December 31, 2020, Navios Logistics had paid $1,285 for the construction of two new tanks in its liquid port terminal.</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2020, Navios Logistics had paid $1,551 for the acquisition of three pushboats and 18 liquid barges.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2020, Navios Logistics had paid $723 for the construction of a crane in its grain port terminal.</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Impairment Loss/ Loss on Sale of Vessels, Net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2020</w:t>
      </w:r>
    </w:p>
    <w:p>
      <w:pPr>
        <w:spacing w:after="0" w:line="11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During the fourth quarter of the year ended December 31, 2020, Navios Holdings recorded an impairment loss of $52,820 for two of its dry bulk vessels.</w:t>
      </w:r>
    </w:p>
    <w:p>
      <w:pPr>
        <w:spacing w:after="0" w:line="170"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In February 2021, Navios Holdings completed the sale to an unrelated third party of the Navios Astra, a 2006-built Ultra Handymax vessel of 53,468 dwt, for a sale price of approximately $6,644. The impairment loss amounted to $6,288 (including $98 remaining carrying balance of dry dock and special survey costs) and is included in the consolidated statements of comprehensive (loss)/income within the caption “Impairment loss/ loss on sale of vessels, net”.</w:t>
      </w:r>
    </w:p>
    <w:p>
      <w:pPr>
        <w:spacing w:after="0" w:line="187" w:lineRule="exact"/>
        <w:rPr>
          <w:sz w:val="20"/>
          <w:szCs w:val="20"/>
          <w:color w:val="auto"/>
        </w:rPr>
      </w:pPr>
    </w:p>
    <w:p>
      <w:pPr>
        <w:ind w:left="120" w:right="320" w:firstLine="440"/>
        <w:spacing w:after="0" w:line="279" w:lineRule="auto"/>
        <w:rPr>
          <w:sz w:val="20"/>
          <w:szCs w:val="20"/>
          <w:color w:val="auto"/>
        </w:rPr>
      </w:pPr>
      <w:r>
        <w:rPr>
          <w:rFonts w:ascii="Arial" w:cs="Arial" w:eastAsia="Arial" w:hAnsi="Arial"/>
          <w:sz w:val="17"/>
          <w:szCs w:val="17"/>
          <w:color w:val="auto"/>
        </w:rPr>
        <w:t>In September 2020, Navios Holdings completed the sale of the Navios Gem, a 2014-built Capesize vessel of 181,336 dwt, and of the Navios Victory, a 2014-built Panamax vessel of 77,095 dwt, to Navios Partners for a sale price of $51,000 in total including net liabilities of $4,378. The net loss due to sale amounted to $7,683 (including $1,747 remaining carrying balance of dry dock and special survey costs) and is included in the consolidated statements of comprehensive (loss)/income within the caption “Impairment loss/ loss on sale of vessels, net”.</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140"/>
          </w:cols>
          <w:pgMar w:left="320" w:top="459" w:right="439" w:bottom="1440" w:gutter="0" w:footer="0" w:header="0"/>
          <w:type w:val="continuous"/>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NAVIOS MARITIME HOLDINGS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(Expressed in thousands of U.S. dollars — except share data)</w:t>
      </w:r>
    </w:p>
    <w:p>
      <w:pPr>
        <w:spacing w:after="0" w:line="143"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In September 2020, Navios Holdings completed the sale to an unrelated third party of the Navios Amitie, a 2005-built Panamax vessel of 75,395 dwt, for a sale price of approximately $6,885. The impairment loss amounted to $4,478 and is included in the consolidated statements of comprehensive (loss)/income within the caption “Impairment loss/ loss on sale of vessels, net”.</w:t>
      </w:r>
    </w:p>
    <w:p>
      <w:pPr>
        <w:spacing w:after="0" w:line="184" w:lineRule="exact"/>
        <w:rPr>
          <w:sz w:val="20"/>
          <w:szCs w:val="20"/>
          <w:color w:val="auto"/>
        </w:rPr>
      </w:pPr>
    </w:p>
    <w:p>
      <w:pPr>
        <w:ind w:left="120" w:right="460" w:firstLine="440"/>
        <w:spacing w:after="0" w:line="263" w:lineRule="auto"/>
        <w:rPr>
          <w:sz w:val="20"/>
          <w:szCs w:val="20"/>
          <w:color w:val="auto"/>
        </w:rPr>
      </w:pPr>
      <w:r>
        <w:rPr>
          <w:rFonts w:ascii="Arial" w:cs="Arial" w:eastAsia="Arial" w:hAnsi="Arial"/>
          <w:sz w:val="18"/>
          <w:szCs w:val="18"/>
          <w:color w:val="auto"/>
        </w:rPr>
        <w:t>In August 2020, Navios Holdings completed the sale to an unrelated third party of the Navios Northern Star, a 2005-built Panamax vessel of 75,395 dwt, for a sale price of approximately $6,860. The impairment loss amounted to $4,489 and is included in the consolidated statements of comprehensive (loss)/income within the caption “Impairment loss/ loss on sale of vessels, net”.</w:t>
      </w:r>
    </w:p>
    <w:p>
      <w:pPr>
        <w:spacing w:after="0" w:line="184"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In May 2020, Navios Holdings completed the sale to an unrelated third party of the Navios Star, a 2002-built Panamax vessel of 76,662 dwt, for a net sale price of $6,450, paid in cash. The impairment loss amounted to $5,697 (including $258 remaining carrying balance of dry dock and special survey costs) and is included in the consolidated statements of comprehensive (loss)/income within the caption “Impairment loss/ loss on sale of vessels, net”.</w:t>
      </w:r>
    </w:p>
    <w:p>
      <w:pPr>
        <w:spacing w:after="0" w:line="18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In February 2020, Navios Holdings completed the sale to unrelated third party of the Navios Kypros, a 2003-built Ultra Handymax vessel of 55,222 dwt, for approximately $9,131 in total, including insurance proceeds covering unrepaired damages plus expenses (subject to applicable deductibles and other customary limitations). The loss due to sale amounted to $5,551 (including $404 remaining carrying balance of dry dock and special survey costs) and is included in the consolidated statements of comprehensive (loss)/income within the caption “Impairment loss/ loss on sale of vessels, net”.</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2019</w:t>
      </w:r>
    </w:p>
    <w:p>
      <w:pPr>
        <w:spacing w:after="0" w:line="225"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During the fourth quarter of the year ended December 31, 2019, Navios Holdings recorded an impairment loss of $84,584 for two of its dry bulk vessels.</w:t>
      </w:r>
    </w:p>
    <w:p>
      <w:pPr>
        <w:spacing w:after="0" w:line="170"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In January 2020, Navios Holdings completed the sale to an unrelated third party of the Navios Hios, a 2003-built Ultra Handymax vessel of 55,180 dwt, for a net sale price of $7,497, paid in cash. The impairment loss amounted to $7,429 (including $611 remaining carrying balance of dry dock and special survey costs) and is included in the consolidated statements of comprehensive (loss)/income within the caption “Impairment loss/loss on sale of vessels, net”.</w:t>
      </w:r>
    </w:p>
    <w:p>
      <w:pPr>
        <w:spacing w:after="0" w:line="18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In September 2019, Navios Holdings completed the sale to an unrelated third party of the Navios Primavera, a 2007-built Ultra Handymax vessel of 53,464 dwt, for a net sale price of $9,891, paid in cash. The loss due to sale amounted to $1,673 and is included in the consolidated statements of comprehensive (loss)/income within the caption “Impairment loss/loss on sale of vessels, net”.</w:t>
      </w:r>
    </w:p>
    <w:p>
      <w:pPr>
        <w:spacing w:after="0" w:line="184"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In August 2019, Navios Holdings completed the sale to an unrelated third party of the Navios Mercator, a 2002-built Ultra Handymax vessel of 53,553 dwt, for a net sale price of $6,664, paid in cash. The impairment loss amounted to $4,849 (including $490 remaining carrying balance of dry dock and special survey costs) and is included in the consolidated statements of comprehensive (loss)/income within the caption “Impairment loss/loss on sale of vessels, net”.</w:t>
      </w:r>
    </w:p>
    <w:p>
      <w:pPr>
        <w:spacing w:after="0" w:line="18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In July 2019, Navios Holdings completed the sale to an unrelated third party of the Navios Arc, a 2003-built Ultra Handymax vessel of 53,514 dwt, for a net sale price of $7,105, paid in cash. The impairment loss amounted to $5,149 (including $685 remaining carrying balance of dry dock and special survey costs) and is included in the consolidated statements of comprehensive (loss)/income within the caption “Impairment loss/loss on sale of vessels, net”.</w:t>
      </w:r>
    </w:p>
    <w:p>
      <w:pPr>
        <w:spacing w:after="0" w:line="18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In June 2019, Navios Holdings completed the sale to an unrelated third party of the Navios Vector, a 2002-built Ultra Handymax vessel of 50,296 dwt, for a net sale price of $6,860, paid in cash. The loss due to sale amounted to $10,039 (including $673 remaining carrying balance of dry dock and special survey costs) and is included in the consolidated statements of comprehensive (loss)/income within the caption “Impairment loss/loss on sale of vessels, net”.</w:t>
      </w:r>
    </w:p>
    <w:p>
      <w:pPr>
        <w:spacing w:after="0" w:line="187" w:lineRule="exact"/>
        <w:rPr>
          <w:sz w:val="20"/>
          <w:szCs w:val="20"/>
          <w:color w:val="auto"/>
        </w:rPr>
      </w:pPr>
    </w:p>
    <w:p>
      <w:pPr>
        <w:ind w:left="120" w:right="360" w:firstLine="440"/>
        <w:spacing w:after="0" w:line="286" w:lineRule="auto"/>
        <w:rPr>
          <w:sz w:val="20"/>
          <w:szCs w:val="20"/>
          <w:color w:val="auto"/>
        </w:rPr>
      </w:pPr>
      <w:r>
        <w:rPr>
          <w:rFonts w:ascii="Arial" w:cs="Arial" w:eastAsia="Arial" w:hAnsi="Arial"/>
          <w:sz w:val="17"/>
          <w:szCs w:val="17"/>
          <w:color w:val="auto"/>
        </w:rPr>
        <w:t>In May 2019, Navios Holdings completed the sale to an unrelated third party of the Navios Equator Prosper, a 2000-built Capesize vessel of 171,191 dwt, for a net sale price of $11,520, paid in cash. The gain due to sale amounted to $1,784 and is included in the consolidated statements of comprehensive (loss)/income within the caption “Impairment loss/loss on sale of vessels, net”.</w:t>
      </w:r>
    </w:p>
    <w:p>
      <w:pPr>
        <w:spacing w:after="0" w:line="16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March 2019, Navios Holdings completed the sale to an unrelated third party of the Navios Meridian, a 2002-built Ultra Handymax vessel of 50,316 dwt, for a net sale price of $6,790, paid in cash. The loss due to sale amounted to $5,531 (including $778 remaining carrying balance of dry dock and special survey costs) and is included in the consolidated statements of comprehensive (loss)/income within the caption “Impairment loss/loss on sale of vessels, net”.</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2018</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During the year ended December 31, 2018, Navios Holdings recorded an impairment loss of $179,186 for four of its dry bulk vessels.</w:t>
      </w:r>
    </w:p>
    <w:p>
      <w:pPr>
        <w:spacing w:after="0" w:line="23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In December 2018, Navios Holdings completed the sale to an unrelated third party, of the Navios Magellan, a 2000-built Panamax vessel of 74,333 dwt, for a total net sale price of $6,950 paid in cash. The loss due to the sale amounted to $5,402 (including $726 remaining carrying balance of dry dock and special survey costs) and is included in the consolidated statements of comprehensive (loss)/income within the caption “Impairment loss/ loss on sale of vessels, net”.</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120"/>
          </w:cols>
          <w:pgMar w:left="320" w:top="459" w:right="459" w:bottom="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NAVIOS MARITIME HOLDINGS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(Expressed in thousands of U.S. dollars — except share data)</w:t>
      </w:r>
    </w:p>
    <w:p>
      <w:pPr>
        <w:spacing w:after="0" w:line="143"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In August 2018, Navios Holdings completed the sale to its affiliate, Navios Partners, of the Navios Mars, a 2016-built, 181,259 dwt vessel, and of the Navios Sphera, a 2016-built, 84,872 dwt vessel, for a total sale price of $79,000. The loss due to the sale amounted to $2,759 and is included in the consolidated statements of comprehensive (loss)/income within the caption “Impairment loss/ loss on sale of vessels, net”.</w:t>
      </w:r>
    </w:p>
    <w:p>
      <w:pPr>
        <w:spacing w:after="0" w:line="165"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In July 2018, Navios Holdings completed the sale to an unrelated third party of the Navios Achilles, a 2001-built, 52,063 dwt vessel, for a total net sale price of $8,085 paid in cash. The impairment loss recognized due to the sale amounted to $6,595 (including $584 remaining carrying balance of dry dock and special survey costs).</w:t>
      </w:r>
    </w:p>
    <w:p>
      <w:pPr>
        <w:spacing w:after="0" w:line="184"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In March 2018, Navios Holdings completed the sale to an unrelated third party of the Navios Herakles, a 2001-built, 52,061 dwt vessel, for a total net sale price of $7,682 paid in cash. The impairment loss due to the sale amounted to $6,715 (including $481 remaining carrying balance of dry dock and special survey costs).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Vessel Acquisitions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2020</w:t>
      </w:r>
    </w:p>
    <w:p>
      <w:pPr>
        <w:spacing w:after="0" w:line="225" w:lineRule="exact"/>
        <w:rPr>
          <w:sz w:val="20"/>
          <w:szCs w:val="20"/>
          <w:color w:val="auto"/>
        </w:rPr>
      </w:pPr>
    </w:p>
    <w:p>
      <w:pPr>
        <w:ind w:left="120" w:right="300" w:firstLine="440"/>
        <w:spacing w:after="0" w:line="308" w:lineRule="auto"/>
        <w:rPr>
          <w:sz w:val="20"/>
          <w:szCs w:val="20"/>
          <w:color w:val="auto"/>
        </w:rPr>
      </w:pPr>
      <w:r>
        <w:rPr>
          <w:rFonts w:ascii="Arial" w:cs="Arial" w:eastAsia="Arial" w:hAnsi="Arial"/>
          <w:sz w:val="17"/>
          <w:szCs w:val="17"/>
          <w:color w:val="auto"/>
        </w:rPr>
        <w:t>In June 2020, following the liquidation of Navios Europe II, the Company acquired the Jupiter N and the Rainbow N, two 2011-built Panamax vessels of 93,062 dwt and 79,642 dwt, respectively, for an acquisition cost of $24,883 in total plus working capital adjustments.</w:t>
      </w:r>
    </w:p>
    <w:p>
      <w:pPr>
        <w:spacing w:after="0" w:line="146"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In March 2020, the Company acquired from an unrelated third party, a previously charter-in vessel, the Navios Corali, a 2015-built Capesize vessel of 181,249 dwt, for a total acquisition cost of $36,684, which was paid in cash.</w:t>
      </w:r>
    </w:p>
    <w:p>
      <w:pPr>
        <w:spacing w:after="0" w:line="170"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In January 2020, the Company acquired from an unrelated third party, a previously charter-in vessel, the Navios Canary, a 2015-built Capesize vessel of 180,528 dwt, for a total acquisition cost of $35,111, which was paid in cash.</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2019</w:t>
      </w:r>
    </w:p>
    <w:p>
      <w:pPr>
        <w:spacing w:after="0" w:line="225"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In August 2019, Navios Holdings acquired from an unrelated third party, a previously charter-in vessel, Navios Victory, a 2014-built Panamax vessel of 77,095 dwt, for a total acquisition cost of $14,735 which was paid in cash.</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2018</w:t>
      </w:r>
    </w:p>
    <w:p>
      <w:pPr>
        <w:spacing w:after="0" w:line="225"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In November 2018, Navios Holdings took delivery of the Navios Primavera, a 2007-built, 53,464 dwt, a previously charter-in vessel, for a total acquisition cost of $12,130, of which $10,980 was paid in cash.</w:t>
      </w:r>
    </w:p>
    <w:p>
      <w:pPr>
        <w:spacing w:after="0" w:line="170"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In February 2018, Navios Holdings acquired from an unrelated third party, a previously charter-in vessel, Navios Equator Prosper, a 2000-built, 171,191 dwt vessel, for a total acquisition cost of $10,255 which was paid in cash.</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Navios Logistics</w:t>
      </w:r>
    </w:p>
    <w:p>
      <w:pPr>
        <w:spacing w:after="0" w:line="117" w:lineRule="exact"/>
        <w:rPr>
          <w:sz w:val="20"/>
          <w:szCs w:val="20"/>
          <w:color w:val="auto"/>
        </w:rPr>
      </w:pPr>
    </w:p>
    <w:p>
      <w:pPr>
        <w:ind w:left="120" w:right="600" w:firstLine="440"/>
        <w:spacing w:after="0" w:line="342" w:lineRule="auto"/>
        <w:rPr>
          <w:sz w:val="20"/>
          <w:szCs w:val="20"/>
          <w:color w:val="auto"/>
        </w:rPr>
      </w:pPr>
      <w:r>
        <w:rPr>
          <w:rFonts w:ascii="Arial" w:cs="Arial" w:eastAsia="Arial" w:hAnsi="Arial"/>
          <w:sz w:val="16"/>
          <w:szCs w:val="16"/>
          <w:color w:val="auto"/>
        </w:rPr>
        <w:t>Since 2018, Navios Logistics acquired approximately 6.6 hectares of undeveloped land located in the Port Murtinho region, Brazil, and on March 24, 2021 acquired 2.3 additional hectares. Navios Logistics plans to develop this land for its port operations for a total cost of $1,456.</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Navios Containers</w:t>
      </w:r>
    </w:p>
    <w:p>
      <w:pPr>
        <w:spacing w:after="0" w:line="117" w:lineRule="exact"/>
        <w:rPr>
          <w:sz w:val="20"/>
          <w:szCs w:val="20"/>
          <w:color w:val="auto"/>
        </w:rPr>
      </w:pPr>
    </w:p>
    <w:p>
      <w:pPr>
        <w:ind w:left="120" w:right="1020" w:firstLine="440"/>
        <w:spacing w:after="0" w:line="277" w:lineRule="auto"/>
        <w:rPr>
          <w:sz w:val="20"/>
          <w:szCs w:val="20"/>
          <w:color w:val="auto"/>
        </w:rPr>
      </w:pPr>
      <w:r>
        <w:rPr>
          <w:rFonts w:ascii="Arial" w:cs="Arial" w:eastAsia="Arial" w:hAnsi="Arial"/>
          <w:sz w:val="18"/>
          <w:szCs w:val="18"/>
          <w:color w:val="auto"/>
        </w:rPr>
        <w:t>On April 23, 2019, Navios Containers purchased from an unrelated third party the Navios Constellation, a 2011-built of 10,000 TEU containership, for an acquisition cost of $53,097.</w:t>
      </w:r>
    </w:p>
    <w:p>
      <w:pPr>
        <w:spacing w:after="0" w:line="170"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On December 17, 2018, Navios Containers purchased from an unrelated third party the Bermuda, a 2010-built 4,360 TEU containership, for an acquisition cost of approximately $11,098 (including $398 capitalized expenses).</w:t>
      </w:r>
    </w:p>
    <w:p>
      <w:pPr>
        <w:spacing w:after="0" w:line="170"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On December 7, 2018, Navios Containers purchased from an unrelated third party the Bahamas, a 2010-built 4,360 TEU containership, for an acquisition cost of approximately $13,422 (including $522 capitalized expenses).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120"/>
          </w:cols>
          <w:pgMar w:left="320" w:top="459" w:right="45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NAVIOS MARITIME HOLDINGS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(Expressed in thousands of U.S. dollars — except share data)</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8: INTANGIBLE ASSETS OTHER THAN GOODWILL</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Net Book Value of Intangible Assets other than Goodwill as at December 31, 2020</w:t>
      </w:r>
    </w:p>
    <w:p>
      <w:pPr>
        <w:spacing w:after="0" w:line="235"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0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Acquisition</w:t>
            </w:r>
          </w:p>
        </w:tc>
        <w:tc>
          <w:tcPr>
            <w:tcW w:w="240" w:type="dxa"/>
            <w:vAlign w:val="bottom"/>
          </w:tcPr>
          <w:p>
            <w:pPr>
              <w:spacing w:after="0"/>
              <w:rPr>
                <w:sz w:val="14"/>
                <w:szCs w:val="14"/>
                <w:color w:val="auto"/>
              </w:rPr>
            </w:pPr>
          </w:p>
        </w:tc>
        <w:tc>
          <w:tcPr>
            <w:tcW w:w="112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4"/>
                <w:szCs w:val="14"/>
                <w:color w:val="auto"/>
              </w:rPr>
            </w:pPr>
          </w:p>
        </w:tc>
        <w:tc>
          <w:tcPr>
            <w:tcW w:w="1080" w:type="dxa"/>
            <w:vAlign w:val="bottom"/>
            <w:gridSpan w:val="5"/>
          </w:tcPr>
          <w:p>
            <w:pPr>
              <w:ind w:left="60"/>
              <w:spacing w:after="0"/>
              <w:rPr>
                <w:sz w:val="20"/>
                <w:szCs w:val="20"/>
                <w:color w:val="auto"/>
              </w:rPr>
            </w:pPr>
            <w:r>
              <w:rPr>
                <w:rFonts w:ascii="Arial" w:cs="Arial" w:eastAsia="Arial" w:hAnsi="Arial"/>
                <w:sz w:val="14"/>
                <w:szCs w:val="14"/>
                <w:b w:val="1"/>
                <w:bCs w:val="1"/>
                <w:color w:val="auto"/>
                <w:w w:val="97"/>
              </w:rPr>
              <w:t>Net Book Value</w:t>
            </w: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5"/>
            <w:vMerge w:val="continue"/>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5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4"/>
                <w:szCs w:val="14"/>
                <w:color w:val="auto"/>
              </w:rPr>
            </w:pPr>
          </w:p>
        </w:tc>
        <w:tc>
          <w:tcPr>
            <w:tcW w:w="1120" w:type="dxa"/>
            <w:vAlign w:val="bottom"/>
            <w:gridSpan w:val="5"/>
          </w:tcPr>
          <w:p>
            <w:pPr>
              <w:ind w:left="2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name</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90,000</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w w:val="80"/>
              </w:rPr>
              <w:t>(43,175)</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46,825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Port terminal operating rights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53,152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tcPr>
          <w:p>
            <w:pPr>
              <w:ind w:left="120"/>
              <w:spacing w:after="0"/>
              <w:rPr>
                <w:sz w:val="20"/>
                <w:szCs w:val="20"/>
                <w:color w:val="auto"/>
              </w:rPr>
            </w:pPr>
            <w:r>
              <w:rPr>
                <w:rFonts w:ascii="Arial" w:cs="Arial" w:eastAsia="Arial" w:hAnsi="Arial"/>
                <w:sz w:val="18"/>
                <w:szCs w:val="18"/>
                <w:color w:val="auto"/>
              </w:rPr>
              <w:t>(13,835)</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39,317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35,490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(23,069)</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b w:val="1"/>
                <w:bCs w:val="1"/>
                <w:color w:val="auto"/>
              </w:rPr>
              <w:t>Total Intangible assets</w:t>
            </w:r>
          </w:p>
        </w:tc>
        <w:tc>
          <w:tcPr>
            <w:tcW w:w="20" w:type="dxa"/>
            <w:vAlign w:val="bottom"/>
            <w:tcBorders>
              <w:bottom w:val="single" w:sz="8" w:color="auto"/>
            </w:tcBorders>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4"/>
              </w:rPr>
              <w:t>$ 178,642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w w:val="88"/>
              </w:rPr>
              <w:t>(80,079</w:t>
            </w:r>
          </w:p>
        </w:tc>
        <w:tc>
          <w:tcPr>
            <w:tcW w:w="260" w:type="dxa"/>
            <w:vAlign w:val="bottom"/>
          </w:tcPr>
          <w:p>
            <w:pPr>
              <w:jc w:val="right"/>
              <w:ind w:right="181"/>
              <w:spacing w:after="0"/>
              <w:rPr>
                <w:sz w:val="20"/>
                <w:szCs w:val="20"/>
                <w:color w:val="auto"/>
              </w:rPr>
            </w:pPr>
            <w:r>
              <w:rPr>
                <w:rFonts w:ascii="Arial" w:cs="Arial" w:eastAsia="Arial" w:hAnsi="Arial"/>
                <w:sz w:val="8"/>
                <w:szCs w:val="8"/>
                <w:b w:val="1"/>
                <w:bCs w:val="1"/>
                <w:color w:val="auto"/>
                <w:w w:val="73"/>
              </w:rPr>
              <w:t>)</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98,563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40" w:type="dxa"/>
            <w:vAlign w:val="bottom"/>
            <w:gridSpan w:val="2"/>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7980" w:type="dxa"/>
            <w:vAlign w:val="bottom"/>
            <w:gridSpan w:val="11"/>
          </w:tcPr>
          <w:p>
            <w:pPr>
              <w:ind w:left="1500"/>
              <w:spacing w:after="0"/>
              <w:rPr>
                <w:sz w:val="20"/>
                <w:szCs w:val="20"/>
                <w:color w:val="auto"/>
              </w:rPr>
            </w:pPr>
            <w:r>
              <w:rPr>
                <w:rFonts w:ascii="Arial" w:cs="Arial" w:eastAsia="Arial" w:hAnsi="Arial"/>
                <w:sz w:val="18"/>
                <w:szCs w:val="18"/>
                <w:b w:val="1"/>
                <w:bCs w:val="1"/>
                <w:color w:val="auto"/>
                <w:w w:val="92"/>
              </w:rPr>
              <w:t>Net Book Value of Intangible Assets other than Goodwill as at December 31, 2019</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5620" w:type="dxa"/>
            <w:vAlign w:val="bottom"/>
          </w:tcPr>
          <w:p>
            <w:pPr>
              <w:spacing w:after="0"/>
              <w:rPr>
                <w:sz w:val="24"/>
                <w:szCs w:val="24"/>
                <w:color w:val="auto"/>
              </w:rPr>
            </w:pPr>
          </w:p>
        </w:tc>
        <w:tc>
          <w:tcPr>
            <w:tcW w:w="10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Acquisition</w:t>
            </w:r>
          </w:p>
        </w:tc>
        <w:tc>
          <w:tcPr>
            <w:tcW w:w="1360" w:type="dxa"/>
            <w:vAlign w:val="bottom"/>
            <w:gridSpan w:val="6"/>
            <w:vMerge w:val="restart"/>
          </w:tcPr>
          <w:p>
            <w:pPr>
              <w:ind w:left="220"/>
              <w:spacing w:after="0"/>
              <w:rPr>
                <w:sz w:val="20"/>
                <w:szCs w:val="20"/>
                <w:color w:val="auto"/>
              </w:rPr>
            </w:pPr>
            <w:r>
              <w:rPr>
                <w:rFonts w:ascii="Arial" w:cs="Arial" w:eastAsia="Arial" w:hAnsi="Arial"/>
                <w:sz w:val="14"/>
                <w:szCs w:val="14"/>
                <w:b w:val="1"/>
                <w:bCs w:val="1"/>
                <w:color w:val="auto"/>
              </w:rPr>
              <w:t>Accumulated</w:t>
            </w:r>
          </w:p>
        </w:tc>
        <w:tc>
          <w:tcPr>
            <w:tcW w:w="1280" w:type="dxa"/>
            <w:vAlign w:val="bottom"/>
            <w:gridSpan w:val="6"/>
          </w:tcPr>
          <w:p>
            <w:pPr>
              <w:ind w:left="200"/>
              <w:spacing w:after="0"/>
              <w:rPr>
                <w:sz w:val="20"/>
                <w:szCs w:val="20"/>
                <w:color w:val="auto"/>
              </w:rPr>
            </w:pPr>
            <w:r>
              <w:rPr>
                <w:rFonts w:ascii="Arial" w:cs="Arial" w:eastAsia="Arial" w:hAnsi="Arial"/>
                <w:sz w:val="14"/>
                <w:szCs w:val="14"/>
                <w:b w:val="1"/>
                <w:bCs w:val="1"/>
                <w:color w:val="auto"/>
              </w:rPr>
              <w:t>Net Book Value</w:t>
            </w: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1360" w:type="dxa"/>
            <w:vAlign w:val="bottom"/>
            <w:gridSpan w:val="6"/>
            <w:vMerge w:val="continue"/>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5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Cost</w:t>
            </w:r>
          </w:p>
        </w:tc>
        <w:tc>
          <w:tcPr>
            <w:tcW w:w="1360" w:type="dxa"/>
            <w:vAlign w:val="bottom"/>
            <w:gridSpan w:val="6"/>
          </w:tcPr>
          <w:p>
            <w:pPr>
              <w:ind w:left="22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53"/>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name</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90,000</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(40,357)</w:t>
            </w:r>
          </w:p>
        </w:tc>
        <w:tc>
          <w:tcPr>
            <w:tcW w:w="300" w:type="dxa"/>
            <w:vAlign w:val="bottom"/>
            <w:tcBorders>
              <w:top w:val="single" w:sz="8" w:color="CCEEFF"/>
            </w:tcBorders>
            <w:gridSpan w:val="2"/>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49,643</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Port terminal operating rights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53,152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tcPr>
          <w:p>
            <w:pPr>
              <w:jc w:val="right"/>
              <w:ind w:right="221"/>
              <w:spacing w:after="0"/>
              <w:rPr>
                <w:sz w:val="20"/>
                <w:szCs w:val="20"/>
                <w:color w:val="auto"/>
              </w:rPr>
            </w:pPr>
            <w:r>
              <w:rPr>
                <w:rFonts w:ascii="Arial" w:cs="Arial" w:eastAsia="Arial" w:hAnsi="Arial"/>
                <w:sz w:val="18"/>
                <w:szCs w:val="18"/>
                <w:color w:val="auto"/>
                <w:w w:val="98"/>
              </w:rPr>
              <w:t>(12,837)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40,315</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35,490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21"/>
              <w:spacing w:after="0"/>
              <w:rPr>
                <w:sz w:val="20"/>
                <w:szCs w:val="20"/>
                <w:color w:val="auto"/>
              </w:rPr>
            </w:pPr>
            <w:r>
              <w:rPr>
                <w:rFonts w:ascii="Arial" w:cs="Arial" w:eastAsia="Arial" w:hAnsi="Arial"/>
                <w:sz w:val="18"/>
                <w:szCs w:val="18"/>
                <w:color w:val="auto"/>
                <w:w w:val="98"/>
              </w:rPr>
              <w:t>(21,294)</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14,196</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Favorable lease terms – Navios Containers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31,342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tcPr>
          <w:p>
            <w:pPr>
              <w:jc w:val="right"/>
              <w:ind w:right="221"/>
              <w:spacing w:after="0"/>
              <w:rPr>
                <w:sz w:val="20"/>
                <w:szCs w:val="20"/>
                <w:color w:val="auto"/>
              </w:rPr>
            </w:pPr>
            <w:r>
              <w:rPr>
                <w:rFonts w:ascii="Arial" w:cs="Arial" w:eastAsia="Arial" w:hAnsi="Arial"/>
                <w:sz w:val="18"/>
                <w:szCs w:val="18"/>
                <w:color w:val="auto"/>
                <w:w w:val="98"/>
              </w:rPr>
              <w:t>(16,855)</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14,487</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Navios Containers deconsolidation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(31,342)</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16,855</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b w:val="1"/>
                <w:bCs w:val="1"/>
                <w:color w:val="auto"/>
              </w:rPr>
              <w:t>Total Intangible assets</w:t>
            </w:r>
          </w:p>
        </w:tc>
        <w:tc>
          <w:tcPr>
            <w:tcW w:w="20" w:type="dxa"/>
            <w:vAlign w:val="bottom"/>
            <w:tcBorders>
              <w:bottom w:val="single" w:sz="8" w:color="auto"/>
            </w:tcBorders>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4"/>
              </w:rPr>
              <w:t>$ 178,642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(74,488</w:t>
            </w:r>
          </w:p>
        </w:tc>
        <w:tc>
          <w:tcPr>
            <w:tcW w:w="300" w:type="dxa"/>
            <w:vAlign w:val="bottom"/>
            <w:gridSpan w:val="2"/>
          </w:tcPr>
          <w:p>
            <w:pPr>
              <w:jc w:val="right"/>
              <w:ind w:right="221"/>
              <w:spacing w:after="0"/>
              <w:rPr>
                <w:sz w:val="20"/>
                <w:szCs w:val="20"/>
                <w:color w:val="auto"/>
              </w:rPr>
            </w:pPr>
            <w:r>
              <w:rPr>
                <w:rFonts w:ascii="Arial" w:cs="Arial" w:eastAsia="Arial" w:hAnsi="Arial"/>
                <w:sz w:val="8"/>
                <w:szCs w:val="8"/>
                <w:b w:val="1"/>
                <w:bCs w:val="1"/>
                <w:color w:val="auto"/>
                <w:w w:val="73"/>
              </w:rPr>
              <w:t>)</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104,154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Amortization expense and write offs for the years ended December 31, 2020, 2019 and 2018 were as follows:</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Amortization</w:t>
            </w:r>
          </w:p>
        </w:tc>
        <w:tc>
          <w:tcPr>
            <w:tcW w:w="60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600" w:type="dxa"/>
            <w:vAlign w:val="bottom"/>
          </w:tcPr>
          <w:p>
            <w:pPr>
              <w:spacing w:after="0"/>
              <w:rPr>
                <w:sz w:val="14"/>
                <w:szCs w:val="14"/>
                <w:color w:val="auto"/>
              </w:rPr>
            </w:pPr>
          </w:p>
        </w:tc>
        <w:tc>
          <w:tcPr>
            <w:tcW w:w="9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Amortization</w:t>
            </w:r>
          </w:p>
        </w:tc>
      </w:tr>
      <w:tr>
        <w:trPr>
          <w:trHeight w:val="148"/>
        </w:trPr>
        <w:tc>
          <w:tcPr>
            <w:tcW w:w="5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Expense and</w:t>
            </w:r>
          </w:p>
        </w:tc>
        <w:tc>
          <w:tcPr>
            <w:tcW w:w="60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Expense and</w:t>
            </w:r>
          </w:p>
        </w:tc>
        <w:tc>
          <w:tcPr>
            <w:tcW w:w="600" w:type="dxa"/>
            <w:vAlign w:val="bottom"/>
          </w:tcPr>
          <w:p>
            <w:pPr>
              <w:spacing w:after="0"/>
              <w:rPr>
                <w:sz w:val="12"/>
                <w:szCs w:val="12"/>
                <w:color w:val="auto"/>
              </w:rPr>
            </w:pPr>
          </w:p>
        </w:tc>
        <w:tc>
          <w:tcPr>
            <w:tcW w:w="9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Expense and</w:t>
            </w:r>
          </w:p>
        </w:tc>
      </w:tr>
      <w:tr>
        <w:trPr>
          <w:trHeight w:val="148"/>
        </w:trPr>
        <w:tc>
          <w:tcPr>
            <w:tcW w:w="5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98"/>
              </w:rPr>
              <w:t>Write Offs</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Write Offs</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Write Offs</w:t>
            </w:r>
          </w:p>
        </w:tc>
      </w:tr>
      <w:tr>
        <w:trPr>
          <w:trHeight w:val="149"/>
        </w:trPr>
        <w:tc>
          <w:tcPr>
            <w:tcW w:w="5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Year Ended</w:t>
            </w:r>
          </w:p>
        </w:tc>
        <w:tc>
          <w:tcPr>
            <w:tcW w:w="60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Year Ended</w:t>
            </w:r>
          </w:p>
        </w:tc>
        <w:tc>
          <w:tcPr>
            <w:tcW w:w="600" w:type="dxa"/>
            <w:vAlign w:val="bottom"/>
          </w:tcPr>
          <w:p>
            <w:pPr>
              <w:spacing w:after="0"/>
              <w:rPr>
                <w:sz w:val="12"/>
                <w:szCs w:val="12"/>
                <w:color w:val="auto"/>
              </w:rPr>
            </w:pPr>
          </w:p>
        </w:tc>
        <w:tc>
          <w:tcPr>
            <w:tcW w:w="9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Year Ended</w:t>
            </w:r>
          </w:p>
        </w:tc>
      </w:tr>
      <w:tr>
        <w:trPr>
          <w:trHeight w:val="148"/>
        </w:trPr>
        <w:tc>
          <w:tcPr>
            <w:tcW w:w="5500" w:type="dxa"/>
            <w:vAlign w:val="bottom"/>
          </w:tcPr>
          <w:p>
            <w:pPr>
              <w:spacing w:after="0"/>
              <w:rPr>
                <w:sz w:val="12"/>
                <w:szCs w:val="12"/>
                <w:color w:val="auto"/>
              </w:rPr>
            </w:pPr>
          </w:p>
        </w:tc>
        <w:tc>
          <w:tcPr>
            <w:tcW w:w="8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420" w:type="dxa"/>
            <w:vAlign w:val="bottom"/>
            <w:gridSpan w:val="3"/>
          </w:tcPr>
          <w:p>
            <w:pPr>
              <w:jc w:val="center"/>
              <w:ind w:left="508"/>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500" w:type="dxa"/>
            <w:vAlign w:val="bottom"/>
            <w:gridSpan w:val="4"/>
          </w:tcPr>
          <w:p>
            <w:pPr>
              <w:jc w:val="center"/>
              <w:ind w:left="468"/>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55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6"/>
              </w:rPr>
              <w:t>2020</w:t>
            </w:r>
          </w:p>
        </w:tc>
        <w:tc>
          <w:tcPr>
            <w:tcW w:w="6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2019</w:t>
            </w:r>
          </w:p>
        </w:tc>
        <w:tc>
          <w:tcPr>
            <w:tcW w:w="6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60" w:type="dxa"/>
            <w:vAlign w:val="bottom"/>
            <w:tcBorders>
              <w:bottom w:val="single" w:sz="8" w:color="CCEEFF"/>
            </w:tcBorders>
          </w:tcPr>
          <w:p>
            <w:pPr>
              <w:spacing w:after="0"/>
              <w:rPr>
                <w:sz w:val="14"/>
                <w:szCs w:val="14"/>
                <w:color w:val="auto"/>
              </w:rPr>
            </w:pP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Trade name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2,818</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2,811</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2,811</w:t>
            </w:r>
          </w:p>
        </w:tc>
        <w:tc>
          <w:tcPr>
            <w:tcW w:w="6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Port terminal operating rights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998</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999</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950</w:t>
            </w:r>
          </w:p>
        </w:tc>
        <w:tc>
          <w:tcPr>
            <w:tcW w:w="6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1,775</w:t>
            </w:r>
          </w:p>
        </w:tc>
        <w:tc>
          <w:tcPr>
            <w:tcW w:w="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1,774</w:t>
            </w:r>
          </w:p>
        </w:tc>
        <w:tc>
          <w:tcPr>
            <w:tcW w:w="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1,774</w:t>
            </w:r>
          </w:p>
        </w:tc>
        <w:tc>
          <w:tcPr>
            <w:tcW w:w="60" w:type="dxa"/>
            <w:vAlign w:val="bottom"/>
            <w:shd w:val="clear" w:color="auto" w:fill="CCEEFF"/>
          </w:tcPr>
          <w:p>
            <w:pPr>
              <w:spacing w:after="0"/>
              <w:rPr>
                <w:sz w:val="18"/>
                <w:szCs w:val="18"/>
                <w:color w:val="auto"/>
              </w:rPr>
            </w:pPr>
          </w:p>
        </w:tc>
      </w:tr>
      <w:tr>
        <w:trPr>
          <w:trHeight w:val="223"/>
        </w:trPr>
        <w:tc>
          <w:tcPr>
            <w:tcW w:w="55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5,591</w:t>
            </w:r>
          </w:p>
        </w:tc>
        <w:tc>
          <w:tcPr>
            <w:tcW w:w="6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5,584</w:t>
            </w:r>
          </w:p>
        </w:tc>
        <w:tc>
          <w:tcPr>
            <w:tcW w:w="6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5,535</w:t>
            </w:r>
          </w:p>
        </w:tc>
        <w:tc>
          <w:tcPr>
            <w:tcW w:w="60" w:type="dxa"/>
            <w:vAlign w:val="bottom"/>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remaining aggregate amortization of acquired intangibles as of December 31, 2020 was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2820" w:type="dxa"/>
            <w:vAlign w:val="bottom"/>
            <w:vMerge w:val="restart"/>
          </w:tcPr>
          <w:p>
            <w:pPr>
              <w:spacing w:after="0"/>
              <w:rPr>
                <w:sz w:val="14"/>
                <w:szCs w:val="14"/>
                <w:color w:val="auto"/>
              </w:rPr>
            </w:pPr>
          </w:p>
        </w:tc>
        <w:tc>
          <w:tcPr>
            <w:tcW w:w="1440" w:type="dxa"/>
            <w:vAlign w:val="bottom"/>
          </w:tcPr>
          <w:p>
            <w:pPr>
              <w:spacing w:after="0"/>
              <w:rPr>
                <w:sz w:val="14"/>
                <w:szCs w:val="14"/>
                <w:color w:val="auto"/>
              </w:rPr>
            </w:pPr>
          </w:p>
        </w:tc>
        <w:tc>
          <w:tcPr>
            <w:tcW w:w="940" w:type="dxa"/>
            <w:vAlign w:val="bottom"/>
            <w:gridSpan w:val="4"/>
          </w:tcPr>
          <w:p>
            <w:pPr>
              <w:spacing w:after="0"/>
              <w:rPr>
                <w:sz w:val="20"/>
                <w:szCs w:val="20"/>
                <w:color w:val="auto"/>
              </w:rPr>
            </w:pPr>
            <w:r>
              <w:rPr>
                <w:rFonts w:ascii="Arial" w:cs="Arial" w:eastAsia="Arial" w:hAnsi="Arial"/>
                <w:sz w:val="14"/>
                <w:szCs w:val="14"/>
                <w:b w:val="1"/>
                <w:bCs w:val="1"/>
                <w:color w:val="auto"/>
              </w:rPr>
              <w:t>Within one</w:t>
            </w:r>
          </w:p>
        </w:tc>
        <w:tc>
          <w:tcPr>
            <w:tcW w:w="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Year Two</w:t>
            </w:r>
          </w:p>
        </w:tc>
        <w:tc>
          <w:tcPr>
            <w:tcW w:w="120" w:type="dxa"/>
            <w:vAlign w:val="bottom"/>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Year Three</w:t>
            </w:r>
          </w:p>
        </w:tc>
        <w:tc>
          <w:tcPr>
            <w:tcW w:w="120" w:type="dxa"/>
            <w:vAlign w:val="bottom"/>
          </w:tcPr>
          <w:p>
            <w:pPr>
              <w:spacing w:after="0"/>
              <w:rPr>
                <w:sz w:val="14"/>
                <w:szCs w:val="14"/>
                <w:color w:val="auto"/>
              </w:rPr>
            </w:pPr>
          </w:p>
        </w:tc>
        <w:tc>
          <w:tcPr>
            <w:tcW w:w="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Year Four</w:t>
            </w:r>
          </w:p>
        </w:tc>
        <w:tc>
          <w:tcPr>
            <w:tcW w:w="140" w:type="dxa"/>
            <w:vAlign w:val="bottom"/>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Year Five</w:t>
            </w: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3"/>
              </w:rPr>
              <w:t>Thereafter</w:t>
            </w:r>
          </w:p>
        </w:tc>
        <w:tc>
          <w:tcPr>
            <w:tcW w:w="6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720" w:type="dxa"/>
            <w:vAlign w:val="bottom"/>
            <w:tcBorders>
              <w:bottom w:val="single" w:sz="8" w:color="auto"/>
            </w:tcBorders>
            <w:vMerge w:val="continue"/>
          </w:tcPr>
          <w:p>
            <w:pPr>
              <w:spacing w:after="0"/>
              <w:rPr>
                <w:sz w:val="15"/>
                <w:szCs w:val="15"/>
                <w:color w:val="auto"/>
              </w:rPr>
            </w:pPr>
          </w:p>
        </w:tc>
        <w:tc>
          <w:tcPr>
            <w:tcW w:w="2820" w:type="dxa"/>
            <w:vAlign w:val="bottom"/>
            <w:vMerge w:val="continue"/>
          </w:tcPr>
          <w:p>
            <w:pPr>
              <w:spacing w:after="0"/>
              <w:rPr>
                <w:sz w:val="15"/>
                <w:szCs w:val="15"/>
                <w:color w:val="auto"/>
              </w:rPr>
            </w:pPr>
          </w:p>
        </w:tc>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3"/>
          </w:tcPr>
          <w:p>
            <w:pPr>
              <w:ind w:left="60"/>
              <w:spacing w:after="0" w:line="158" w:lineRule="exact"/>
              <w:rPr>
                <w:sz w:val="20"/>
                <w:szCs w:val="20"/>
                <w:color w:val="auto"/>
              </w:rPr>
            </w:pPr>
            <w:r>
              <w:rPr>
                <w:rFonts w:ascii="Arial" w:cs="Arial" w:eastAsia="Arial" w:hAnsi="Arial"/>
                <w:sz w:val="14"/>
                <w:szCs w:val="14"/>
                <w:b w:val="1"/>
                <w:bCs w:val="1"/>
                <w:color w:val="auto"/>
              </w:rPr>
              <w:t>year</w:t>
            </w:r>
          </w:p>
        </w:tc>
        <w:tc>
          <w:tcPr>
            <w:tcW w:w="72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5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Trade name</w:t>
            </w:r>
          </w:p>
        </w:tc>
        <w:tc>
          <w:tcPr>
            <w:tcW w:w="14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2,811</w:t>
            </w:r>
          </w:p>
        </w:tc>
        <w:tc>
          <w:tcPr>
            <w:tcW w:w="260" w:type="dxa"/>
            <w:vAlign w:val="bottom"/>
            <w:tcBorders>
              <w:top w:val="single" w:sz="8" w:color="CCEEFF"/>
            </w:tcBorders>
            <w:gridSpan w:val="2"/>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2,811</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ind w:left="120"/>
              <w:spacing w:after="0" w:line="203" w:lineRule="exact"/>
              <w:rPr>
                <w:sz w:val="20"/>
                <w:szCs w:val="20"/>
                <w:color w:val="auto"/>
              </w:rPr>
            </w:pPr>
            <w:r>
              <w:rPr>
                <w:rFonts w:ascii="Arial" w:cs="Arial" w:eastAsia="Arial" w:hAnsi="Arial"/>
                <w:sz w:val="18"/>
                <w:szCs w:val="18"/>
                <w:color w:val="auto"/>
                <w:w w:val="79"/>
              </w:rPr>
              <w:t>2,811</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2,818</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79"/>
              </w:rPr>
              <w:t>2,811</w:t>
            </w:r>
          </w:p>
        </w:tc>
        <w:tc>
          <w:tcPr>
            <w:tcW w:w="2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$ 32,763</w:t>
            </w:r>
          </w:p>
        </w:tc>
        <w:tc>
          <w:tcPr>
            <w:tcW w:w="2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$46,825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Port terminal operating rights</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tcPr>
          <w:p>
            <w:pPr>
              <w:jc w:val="right"/>
              <w:ind w:right="260"/>
              <w:spacing w:after="0"/>
              <w:rPr>
                <w:sz w:val="20"/>
                <w:szCs w:val="20"/>
                <w:color w:val="auto"/>
              </w:rPr>
            </w:pPr>
            <w:r>
              <w:rPr>
                <w:rFonts w:ascii="Arial" w:cs="Arial" w:eastAsia="Arial" w:hAnsi="Arial"/>
                <w:sz w:val="18"/>
                <w:szCs w:val="18"/>
                <w:color w:val="auto"/>
              </w:rPr>
              <w:t>995</w:t>
            </w:r>
          </w:p>
        </w:tc>
        <w:tc>
          <w:tcPr>
            <w:tcW w:w="14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995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995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995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995</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34,342</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39,317</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1,775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1,775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1,775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1,775</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3,546</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12,421</w:t>
            </w:r>
          </w:p>
        </w:tc>
        <w:tc>
          <w:tcPr>
            <w:tcW w:w="0" w:type="dxa"/>
            <w:vAlign w:val="bottom"/>
          </w:tcPr>
          <w:p>
            <w:pPr>
              <w:spacing w:after="0"/>
              <w:rPr>
                <w:sz w:val="1"/>
                <w:szCs w:val="1"/>
                <w:color w:val="auto"/>
              </w:rPr>
            </w:pPr>
          </w:p>
        </w:tc>
      </w:tr>
      <w:tr>
        <w:trPr>
          <w:trHeight w:val="223"/>
        </w:trPr>
        <w:tc>
          <w:tcPr>
            <w:tcW w:w="3540" w:type="dxa"/>
            <w:vAlign w:val="bottom"/>
            <w:gridSpan w:val="2"/>
          </w:tcPr>
          <w:p>
            <w:pPr>
              <w:spacing w:after="0"/>
              <w:rPr>
                <w:sz w:val="20"/>
                <w:szCs w:val="20"/>
                <w:color w:val="auto"/>
              </w:rPr>
            </w:pPr>
            <w:r>
              <w:rPr>
                <w:rFonts w:ascii="Arial" w:cs="Arial" w:eastAsia="Arial" w:hAnsi="Arial"/>
                <w:sz w:val="18"/>
                <w:szCs w:val="18"/>
                <w:b w:val="1"/>
                <w:bCs w:val="1"/>
                <w:color w:val="auto"/>
              </w:rPr>
              <w:t>Total amortization</w:t>
            </w:r>
          </w:p>
        </w:tc>
        <w:tc>
          <w:tcPr>
            <w:tcW w:w="14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5,581</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5,581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b w:val="1"/>
                <w:bCs w:val="1"/>
                <w:color w:val="auto"/>
                <w:w w:val="84"/>
              </w:rPr>
              <w:t>5,581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5,588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4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w w:val="84"/>
              </w:rPr>
              <w:t>5,581</w:t>
            </w:r>
          </w:p>
        </w:tc>
        <w:tc>
          <w:tcPr>
            <w:tcW w:w="2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$ 70,651</w:t>
            </w:r>
          </w:p>
        </w:tc>
        <w:tc>
          <w:tcPr>
            <w:tcW w:w="2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98,563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3"/>
          </w:tcPr>
          <w:p>
            <w:pPr>
              <w:ind w:left="220"/>
              <w:spacing w:after="0"/>
              <w:rPr>
                <w:sz w:val="20"/>
                <w:szCs w:val="20"/>
                <w:color w:val="auto"/>
              </w:rPr>
            </w:pPr>
            <w:r>
              <w:rPr>
                <w:rFonts w:ascii="Arial" w:cs="Arial" w:eastAsia="Arial" w:hAnsi="Arial"/>
                <w:sz w:val="18"/>
                <w:szCs w:val="18"/>
                <w:color w:val="auto"/>
              </w:rPr>
              <w:t>F-40</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NAVIOS MARITIME HOLDINGS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(Expressed in thousands of U.S. dollars — except share data)</w:t>
      </w:r>
    </w:p>
    <w:p>
      <w:pPr>
        <w:spacing w:after="0" w:line="139" w:lineRule="exact"/>
        <w:rPr>
          <w:sz w:val="20"/>
          <w:szCs w:val="20"/>
          <w:color w:val="auto"/>
        </w:rPr>
      </w:pPr>
    </w:p>
    <w:p>
      <w:pPr>
        <w:ind w:left="120" w:right="1280"/>
        <w:spacing w:after="0" w:line="377" w:lineRule="auto"/>
        <w:rPr>
          <w:sz w:val="20"/>
          <w:szCs w:val="20"/>
          <w:color w:val="auto"/>
        </w:rPr>
      </w:pPr>
      <w:r>
        <w:rPr>
          <w:rFonts w:ascii="Arial" w:cs="Arial" w:eastAsia="Arial" w:hAnsi="Arial"/>
          <w:sz w:val="18"/>
          <w:szCs w:val="18"/>
          <w:b w:val="1"/>
          <w:bCs w:val="1"/>
          <w:color w:val="auto"/>
        </w:rPr>
        <w:t>NOTE 9: INVESTMENTS IN AFFILIATE COMPANIES AND INVESTMENTS IN AVAILABLE–FOR–SALE SECURITIES Navios Partners</w:t>
      </w:r>
    </w:p>
    <w:p>
      <w:pPr>
        <w:spacing w:after="0" w:line="2"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On August 7, 2007, Navios Holdings formed Navios Partners under the laws of Marshall Islands. Navios GP L.L.C. (the “General Partner”), a wholly owned subsidiary of Navios Holdings, was also formed on that date to act as the general partner of Navios Partners and received a 2.0% general partner interest.</w:t>
      </w:r>
    </w:p>
    <w:p>
      <w:pPr>
        <w:spacing w:after="0" w:line="184" w:lineRule="exact"/>
        <w:rPr>
          <w:sz w:val="20"/>
          <w:szCs w:val="20"/>
          <w:color w:val="auto"/>
        </w:rPr>
      </w:pPr>
    </w:p>
    <w:p>
      <w:pPr>
        <w:ind w:left="120" w:right="560" w:firstLine="440"/>
        <w:spacing w:after="0" w:line="263" w:lineRule="auto"/>
        <w:rPr>
          <w:sz w:val="20"/>
          <w:szCs w:val="20"/>
          <w:color w:val="auto"/>
        </w:rPr>
      </w:pPr>
      <w:r>
        <w:rPr>
          <w:rFonts w:ascii="Arial" w:cs="Arial" w:eastAsia="Arial" w:hAnsi="Arial"/>
          <w:sz w:val="18"/>
          <w:szCs w:val="18"/>
          <w:color w:val="auto"/>
        </w:rPr>
        <w:t>During the first quarter of 2018, Navios Partners also issued 1,370,044 of common units to Navios Partners’ directors and/or officers. Concurrently, Navios Holdings acquired 27,960 common units in Navios Partners in order to maintain its 2.0% general partner interest for a cash consideration of $64.</w:t>
      </w:r>
    </w:p>
    <w:p>
      <w:pPr>
        <w:spacing w:after="0" w:line="184"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On February 21, 2018, Navios Partners closed an offering of 18,422,000 common units which includes the sale of $5,000 of common units to Navios Holdings. In addition, Navios Holdings paid $714 to retain its 2.0% general partnership interest.</w:t>
      </w:r>
    </w:p>
    <w:p>
      <w:pPr>
        <w:spacing w:after="0" w:line="170" w:lineRule="exact"/>
        <w:rPr>
          <w:sz w:val="20"/>
          <w:szCs w:val="20"/>
          <w:color w:val="auto"/>
        </w:rPr>
      </w:pPr>
    </w:p>
    <w:p>
      <w:pPr>
        <w:ind w:left="120" w:right="20" w:firstLine="440"/>
        <w:spacing w:after="0" w:line="342" w:lineRule="auto"/>
        <w:rPr>
          <w:sz w:val="20"/>
          <w:szCs w:val="20"/>
          <w:color w:val="auto"/>
        </w:rPr>
      </w:pPr>
      <w:r>
        <w:rPr>
          <w:rFonts w:ascii="Arial" w:cs="Arial" w:eastAsia="Arial" w:hAnsi="Arial"/>
          <w:sz w:val="16"/>
          <w:szCs w:val="16"/>
          <w:color w:val="auto"/>
        </w:rPr>
        <w:t>In December 2018, Navios Partners also issued 1,464,494 of restricted common units to Navios Partners’ directors and/or officers. Concurrently, Navios Holdings acquired 29,888 common units in Navios Partners in order to maintain its 2.0% general partner interest for a cash consideration of $27.</w:t>
      </w:r>
    </w:p>
    <w:p>
      <w:pPr>
        <w:spacing w:after="0" w:line="124" w:lineRule="exact"/>
        <w:rPr>
          <w:sz w:val="20"/>
          <w:szCs w:val="20"/>
          <w:color w:val="auto"/>
        </w:rPr>
      </w:pPr>
    </w:p>
    <w:p>
      <w:pPr>
        <w:ind w:left="120" w:right="180" w:firstLine="440"/>
        <w:spacing w:after="0" w:line="342" w:lineRule="auto"/>
        <w:rPr>
          <w:sz w:val="20"/>
          <w:szCs w:val="20"/>
          <w:color w:val="auto"/>
        </w:rPr>
      </w:pPr>
      <w:r>
        <w:rPr>
          <w:rFonts w:ascii="Arial" w:cs="Arial" w:eastAsia="Arial" w:hAnsi="Arial"/>
          <w:sz w:val="16"/>
          <w:szCs w:val="16"/>
          <w:color w:val="auto"/>
        </w:rPr>
        <w:t>In January 2019, the Board of Directors of Navios Partners authorized a common unit repurchase program for up to $50,000 of Navios Partners’ common units over a two-year period. As of December 31, 2020, Navios Partners had repurchased and cancelled 4,694,279 common units.</w:t>
      </w:r>
    </w:p>
    <w:p>
      <w:pPr>
        <w:spacing w:after="0" w:line="124" w:lineRule="exact"/>
        <w:rPr>
          <w:sz w:val="20"/>
          <w:szCs w:val="20"/>
          <w:color w:val="auto"/>
        </w:rPr>
      </w:pPr>
    </w:p>
    <w:p>
      <w:pPr>
        <w:ind w:left="120" w:right="140" w:firstLine="440"/>
        <w:spacing w:after="0" w:line="342" w:lineRule="auto"/>
        <w:rPr>
          <w:sz w:val="20"/>
          <w:szCs w:val="20"/>
          <w:color w:val="auto"/>
        </w:rPr>
      </w:pPr>
      <w:r>
        <w:rPr>
          <w:rFonts w:ascii="Arial" w:cs="Arial" w:eastAsia="Arial" w:hAnsi="Arial"/>
          <w:sz w:val="16"/>
          <w:szCs w:val="16"/>
          <w:color w:val="auto"/>
        </w:rPr>
        <w:t>In February 2019, Navios Partners issued 380,952 of restricted common units to Navios Partners’ directors and/or officers. Concurrently, Navios Holdings acquired 7,775 common units in Navios Partners in order to maintain its 2.0% general partner interest for a cash consideration of $8.</w:t>
      </w:r>
    </w:p>
    <w:p>
      <w:pPr>
        <w:spacing w:after="0" w:line="124" w:lineRule="exact"/>
        <w:rPr>
          <w:sz w:val="20"/>
          <w:szCs w:val="20"/>
          <w:color w:val="auto"/>
        </w:rPr>
      </w:pPr>
    </w:p>
    <w:p>
      <w:pPr>
        <w:ind w:left="120" w:right="340" w:firstLine="440"/>
        <w:spacing w:after="0" w:line="286" w:lineRule="auto"/>
        <w:rPr>
          <w:sz w:val="20"/>
          <w:szCs w:val="20"/>
          <w:color w:val="auto"/>
        </w:rPr>
      </w:pPr>
      <w:r>
        <w:rPr>
          <w:rFonts w:ascii="Arial" w:cs="Arial" w:eastAsia="Arial" w:hAnsi="Arial"/>
          <w:sz w:val="17"/>
          <w:szCs w:val="17"/>
          <w:color w:val="auto"/>
        </w:rPr>
        <w:t>On April 25, 2019, Navios Partners announced a 1-for-15 reverse stock split of its issued and outstanding shares of common units and general partners units. The reverse stock split was effective on May 21, 2019. All issued and outstanding shares of common units and general partner units contained to the notes to the consolidated financial statements until May 21, 2019, are presented before reverse stock split.</w:t>
      </w:r>
    </w:p>
    <w:p>
      <w:pPr>
        <w:spacing w:after="0" w:line="16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As of December 31, 2020 and following the sale of Navios Partners general partnership interest effected on August 30, 2019, referred to in Note 3, Navios Holdings held a total of 2,070,216 (post reverse stock split) common units representing a 17.9% ownership interest in Navios Partners. Navios Holdings evaluated its investment in the common stock of Navios Partners under ASC 323 and concluded that it had the ability to exercise significant influence over the operating and financial policies of Navios Partners and, therefore, its investment in Navios Partners is accounted for under the equity method. Incentive distribution rights are held by Navios GP L.L.C.</w:t>
      </w:r>
    </w:p>
    <w:p>
      <w:pPr>
        <w:spacing w:after="0" w:line="188"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As of December 31, 2020 and 2019, the unamortized difference between the carrying amount of the investment in Navios Partners and the amount of the Company’s underlying equity in net assets of Navios Partners was $77,904 and $101,492, respectively. As a result of the OTTI loss recorded as at December 31, 2018, the Company has recomputed this difference which is amortized through “Equity in net losses of affiliate companies” over the remaining life of Navios Partners’ tangible and intangible assets.</w:t>
      </w:r>
    </w:p>
    <w:p>
      <w:pPr>
        <w:spacing w:after="0" w:line="187" w:lineRule="exact"/>
        <w:rPr>
          <w:sz w:val="20"/>
          <w:szCs w:val="20"/>
          <w:color w:val="auto"/>
        </w:rPr>
      </w:pPr>
    </w:p>
    <w:p>
      <w:pPr>
        <w:jc w:val="both"/>
        <w:ind w:left="120" w:right="60" w:firstLine="440"/>
        <w:spacing w:after="0" w:line="286" w:lineRule="auto"/>
        <w:rPr>
          <w:sz w:val="20"/>
          <w:szCs w:val="20"/>
          <w:color w:val="auto"/>
        </w:rPr>
      </w:pPr>
      <w:r>
        <w:rPr>
          <w:rFonts w:ascii="Arial" w:cs="Arial" w:eastAsia="Arial" w:hAnsi="Arial"/>
          <w:sz w:val="17"/>
          <w:szCs w:val="17"/>
          <w:color w:val="auto"/>
        </w:rPr>
        <w:t>As of December 31, 2020 and 2019, the carrying amount of the investment in Navios Partners was $39,133 and $35,116, respectively. During the years ended December 31, 2020, 2019 and 2018, the Company recognized an OTTI loss of $0, $0 and $55,524, respectively relating to its investment in Navios Partners and the amounts are included within the caption “Equity in net losses of affiliate companies”.</w:t>
      </w:r>
    </w:p>
    <w:p>
      <w:pPr>
        <w:spacing w:after="0" w:line="165" w:lineRule="exact"/>
        <w:rPr>
          <w:sz w:val="20"/>
          <w:szCs w:val="20"/>
          <w:color w:val="auto"/>
        </w:rPr>
      </w:pPr>
    </w:p>
    <w:p>
      <w:pPr>
        <w:ind w:left="120" w:right="300" w:firstLine="440"/>
        <w:spacing w:after="0" w:line="308" w:lineRule="auto"/>
        <w:rPr>
          <w:sz w:val="20"/>
          <w:szCs w:val="20"/>
          <w:color w:val="auto"/>
        </w:rPr>
      </w:pPr>
      <w:r>
        <w:rPr>
          <w:rFonts w:ascii="Arial" w:cs="Arial" w:eastAsia="Arial" w:hAnsi="Arial"/>
          <w:sz w:val="17"/>
          <w:szCs w:val="17"/>
          <w:color w:val="auto"/>
        </w:rPr>
        <w:t>Total equity method income and amortization of deferred gain of $5,466, $13,526 and $16,171, excluding OTTI loss, were included within the caption “Equity in net losses of affiliate companies” for the years ended December 31, 2020, 2019 and 2018, respectively.</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Dividends received during the years ended December 31, 2020, 2019 and 2018 were $1,449, $2,692, and $2,068, respectively.</w:t>
      </w:r>
    </w:p>
    <w:p>
      <w:pPr>
        <w:spacing w:after="0" w:line="225"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As of December 31, 2020, the market value of the investment in Navios Partners was $23,186. Based on Company’s evaluation of the duration and magnitude of the fair value decline, Navios Partners’ financial condition and near-term prospects, and the Company’s intent and ability to hold its investment in Navios Partners until recovery, the Company concluded that the decline in fair value of its investment in Navios Partners below its carrying value is temporary and, therefore, no impairment was recorded.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Acropolis</w:t>
      </w:r>
    </w:p>
    <w:p>
      <w:pPr>
        <w:spacing w:after="0" w:line="12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On December 6, 2018, Navios Holdings completed the sale of its investment in Acropolis, a brokerage firm for freight and shipping charters, for a cash consideration of $1,000 resulting in a gain of $866 which is included within the caption “Other income”. The amount of $500 of the cash consideration was received in December 2018 and the remaining amount of $500 was received in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120"/>
          </w:cols>
          <w:pgMar w:left="320" w:top="459" w:right="45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NAVIOS MARITIME HOLDINGS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(Expressed in thousands of U.S. dollars — except share data)</w:t>
      </w:r>
    </w:p>
    <w:p>
      <w:pPr>
        <w:spacing w:after="0" w:line="143"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December 2019. Navios Holdings, until the sale of its investment, had a 50% interest in Acropolis. Although Navios Holdings owned 50% of Acropolis’ stock, Navios Holdings agreed with the other shareholder that the earnings and amounts declared by way of dividends would be allocated 35% to the Company with the balance to the other shareholder. Dividends received for each of the years ended December 31, 2020, 2019 and 2018 were $0, $0 and $170, respectively.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Navios Acquisition</w:t>
      </w:r>
    </w:p>
    <w:p>
      <w:pPr>
        <w:spacing w:after="0" w:line="121"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In February 2018, the Board of Directors of Navios Acquisition authorized a stock repurchase program for up to $25,000 of Navios Acquisition’s common stock, for two years. Stock repurchases will be made from time to time for cash in open market transactions at prevailing market prices or in privately negotiated transactions. As of December 31, 2020, Navios Acquisition had repurchased 735,251 shares of common stock.</w:t>
      </w:r>
    </w:p>
    <w:p>
      <w:pPr>
        <w:spacing w:after="0" w:line="149"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On December 13, 2018, Navios Acquisition completed the merger contemplated by the previously announced Agreement and Plan of Merger (the “Merger Agreement”), dated as of October 7, 2018, by and among Navios Acquisition, its direct wholly-owned subsidiary NMA Sub LLC (“Merger Sub”), Navios Maritime Midstream Partners L.P. (“Navios Midstream”) and Navios Midstream Partners GP LLC. Pursuant to the Merger Agreement, Merger Sub merged with and into Navios Midstream, with Navios Midstream surviving as a wholly-owned subsidiary of Navios Acquisition.</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2020, Navios Holdings had a 29.5% economic interest in Navios Acquisition.</w:t>
      </w:r>
    </w:p>
    <w:p>
      <w:pPr>
        <w:spacing w:after="0" w:line="225"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As of December 31, 2020 and 2019, the pre-OTTI loss unamortized difference between the carrying amount of the investment in Navios Acquisition and the amount of the Company’s underlying equity in net assets of Navios Acquisition was $68,793 and $79,477, respectively. As a result of the OTTI loss recorded as at December 31, 2020, the Company will recompute this difference to be amortized in future period through “Equity in net losses of affiliate companies” over the remaining life of Navios Acquisition’s tangible and intangible assets. As a result of the OTTI loss recorded as at June 30, 2019, the Company had recomputed this difference which is amortized through “Equity in net losses of affiliate companies” over the remaining life of Navios Acquisition tangible and intangible assets.</w:t>
      </w:r>
    </w:p>
    <w:p>
      <w:pPr>
        <w:spacing w:after="0" w:line="192"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As of December 31, 2020 and 2019, the carrying amount of the investment in Navios Acquisition was $15,033 and $19,894, respectively. During the year ended December 31, 2020, 2019 and 2018, the Company recognized an OTTI loss of $13,368, $13,543 and $0, respectively, relating to its investment in Navios Acquisition and the amount was included within the caption “Equity in net losses of affiliate companies”.</w:t>
      </w:r>
    </w:p>
    <w:p>
      <w:pPr>
        <w:spacing w:after="0" w:line="165"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Total equity method income/(loss) of $13,129, $(11,098) and $(43,378), excluding OTTI loss, were included within the caption “Equity in net losses of affiliate companies” for the years ended December 31, 2020, 2019, and 2018, respectively.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Dividends received for each of the years ended December 31, 2020, 2019 and 2018 were $5,838, $4,379 and $5,838, respectively.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2020, the market value of the investment in Navios Acquisition was $15,033.</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Navios Europe I</w:t>
      </w:r>
    </w:p>
    <w:p>
      <w:pPr>
        <w:spacing w:after="0" w:line="121"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On December 18, 2013, Navios Europe I acquired ten vessels for aggregate consideration consisting of (i) cash (which was funded with the proceeds of senior loan facilities (the “Senior Loans I”) and loans aggregating to $10,000 from Navios Holdings, Navios Acquisition and Navios Partners (in each case, in proportion to their economic interests in Navios Europe I) (collectively, the “Navios Term Loans I”) and (ii) the assumption of a junior participating loan facility (the “Junior Loan I”). In addition to the Navios Term Loans I, Navios Holdings, Navios Acquisition and Navios Partners would also make available to Navios Europe I revolving loans up to $24,100 to fund working capital requirements (collectively, the “Navios Revolving Loans I”). In December 2018, the amount of the Navios Revolving Loans I increased by $30,000.</w:t>
      </w:r>
    </w:p>
    <w:p>
      <w:pPr>
        <w:spacing w:after="0" w:line="178"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On an ongoing basis, Navios Europe I was required to distribute cash flows (after payment of operating expenses and amounts due pursuant to the terms of the Senior Loans I) according to a defined waterfall calculation.</w:t>
      </w:r>
    </w:p>
    <w:p>
      <w:pPr>
        <w:spacing w:after="0" w:line="170" w:lineRule="exact"/>
        <w:rPr>
          <w:sz w:val="20"/>
          <w:szCs w:val="20"/>
          <w:color w:val="auto"/>
        </w:rPr>
      </w:pPr>
    </w:p>
    <w:p>
      <w:pPr>
        <w:ind w:left="120" w:right="200" w:firstLine="440"/>
        <w:spacing w:after="0" w:line="308" w:lineRule="auto"/>
        <w:rPr>
          <w:sz w:val="20"/>
          <w:szCs w:val="20"/>
          <w:color w:val="auto"/>
        </w:rPr>
      </w:pPr>
      <w:r>
        <w:rPr>
          <w:rFonts w:ascii="Arial" w:cs="Arial" w:eastAsia="Arial" w:hAnsi="Arial"/>
          <w:sz w:val="17"/>
          <w:szCs w:val="17"/>
          <w:color w:val="auto"/>
        </w:rPr>
        <w:t>Navios Holdings had evaluated its investment in Navios Europe I under ASC 810 and had concluded that Navios Europe I was a VIE and that it was not the party most closely associated with Navios Europe I and, accordingly, was not the primary beneficiary of Navios Europe I.</w:t>
      </w:r>
    </w:p>
    <w:p>
      <w:pPr>
        <w:spacing w:after="0" w:line="146"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Navios Holdings had further evaluated its investment in the common stock of Navios Europe I under ASC 323 and had concluded that it had the ability to exercise significant influence over the operating and financial policies of Navios Europe I and, therefore, its investment in Navios Europe I had been accounted for under the equity method.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120"/>
          </w:cols>
          <w:pgMar w:left="320" w:top="459" w:right="45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NAVIOS MARITIME HOLDINGS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(Expressed in thousands of U.S. dollars — except share data)</w:t>
      </w:r>
    </w:p>
    <w:p>
      <w:pPr>
        <w:spacing w:after="0" w:line="143"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The initial amount provided for in Navios Europe I of $4,750, at the inception included the Company’s share of the basis difference between the fair value and the underlying book value of the assets of Navios Europe I, which amounted to $6,763. This difference had been amortized through “Equity in net losses of affiliate companies” over the remaining life of Navios Europe I.</w:t>
      </w:r>
    </w:p>
    <w:p>
      <w:pPr>
        <w:spacing w:after="0" w:line="18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As of December 31, 2019, the Company received the outstanding receivable amount from Navios Europe I of $13,420 relating to Navios Europe I following the liquidation of the structure (Note 16).</w:t>
      </w:r>
    </w:p>
    <w:p>
      <w:pPr>
        <w:spacing w:after="0" w:line="170"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No equity method income was included within the caption “Equity in net losses of affiliate companies” for the years ended December 31, 2020, 2019 and 2018.</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Navios Europe II</w:t>
      </w:r>
    </w:p>
    <w:p>
      <w:pPr>
        <w:spacing w:after="0" w:line="121"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On February 18, 2015, Navios Holdings, Navios Acquisition and Navios Partners established Navios Europe II. From June 8, 2015 through December 31, 2015, Navios Europe II acquired 14 vessels for aggregate consideration consisting of: (i) cash (which was funded with the proceeds of a senior loan facility (the “Senior Loans II”) and loans aggregating to $14,000 from Navios Holdings, Navios Acquisition and Navios Partners (in each case, in proportion to their economic interests in Navios Europe II) (collectively, the “Navios Term Loans II”) and (ii) the assumption of a junior participating loan facility (the “Junior Loan II”). In addition to the Navios Term Loans II, Navios Holdings, Navios Acquisition and Navios Partners would also make available to Navios Europe II revolving loans up to $43,500 to fund working capital requirements (collectively, the “Navios Revolving Loans II”). In March 2017, the amount of the Navios Revolving Loans II increased by $14,000. On April 21, 2020, Navios Europe II and the lenders agreed to fully release the liabilities under the Junior Loan II for $5,000. On December 31, 2019, Navios Holdings had a $44,300 receivable from Navios Europe II. The structure was liquidated in June 2020.</w:t>
      </w:r>
    </w:p>
    <w:p>
      <w:pPr>
        <w:spacing w:after="0" w:line="181"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On an ongoing basis, Navios Europe II was required to distribute cash flows (after payment of operating expenses and amounts due pursuant to the terms of the Senior Loans II) according to a defined waterfall calculation.</w:t>
      </w:r>
    </w:p>
    <w:p>
      <w:pPr>
        <w:spacing w:after="0" w:line="170" w:lineRule="exact"/>
        <w:rPr>
          <w:sz w:val="20"/>
          <w:szCs w:val="20"/>
          <w:color w:val="auto"/>
        </w:rPr>
      </w:pPr>
    </w:p>
    <w:p>
      <w:pPr>
        <w:ind w:left="120" w:right="40" w:firstLine="440"/>
        <w:spacing w:after="0" w:line="308" w:lineRule="auto"/>
        <w:rPr>
          <w:sz w:val="20"/>
          <w:szCs w:val="20"/>
          <w:color w:val="auto"/>
        </w:rPr>
      </w:pPr>
      <w:r>
        <w:rPr>
          <w:rFonts w:ascii="Arial" w:cs="Arial" w:eastAsia="Arial" w:hAnsi="Arial"/>
          <w:sz w:val="17"/>
          <w:szCs w:val="17"/>
          <w:color w:val="auto"/>
        </w:rPr>
        <w:t>Navios Holdings had evaluated its investment in Navios Europe II under ASC 810 and had concluded that Navios Europe II was a VIE and that it was not the party most closely associated with Navios Europe II and, accordingly, was not the primary beneficiary of Navios Europe II.</w:t>
      </w:r>
    </w:p>
    <w:p>
      <w:pPr>
        <w:spacing w:after="0" w:line="146"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Navios Holdings had further evaluated its investment in the common stock of Navios Europe II under ASC 323 and had concluded that it had the ability to exercise significant influence over the operating and financial policies of Navios Europe II and, therefore, its investment in Navios Europe II had been accounted for under the equity method.</w:t>
      </w:r>
    </w:p>
    <w:p>
      <w:pPr>
        <w:spacing w:after="0" w:line="184"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initial amount provided for in Navios Europe II of $6,650, at the inception included the Company’s share of the basis difference between the fair value and the underlying book value of the assets of Navios Europe II, which amounted to $9,419. This difference had been amortized through “Equity in net losses of affiliate companies” over the remaining life of Navios Europe II. As of December 31, 2020 and December 31, 2019, the unamortized basis difference of Navios Europe II was $0 and $5,128, respectively.</w:t>
      </w:r>
    </w:p>
    <w:p>
      <w:pPr>
        <w:spacing w:after="0" w:line="18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As of March 31, 2020, the Company considered the decline in fair value of its investment in Navios Europe II as OTTI and therefore recognized a loss of $6,650 in the accompanying consolidated statement of comprehensive (loss)/income.</w:t>
      </w:r>
    </w:p>
    <w:p>
      <w:pPr>
        <w:spacing w:after="0" w:line="170"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As of December 31, 2020, the Company received in cash all balances relating to Navios Europe II following the liquidation of the structure and recognized a loss of $6,050 included in the accompanying consolidated statements of comprehensive (loss)/income for the year ended December 31, 2020, within the caption “Impairment of loan receivable from affiliate company” (Note 16).</w:t>
      </w:r>
    </w:p>
    <w:p>
      <w:pPr>
        <w:spacing w:after="0" w:line="184"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Total equity method income of $0, $1,775 and $2,032 was included within the caption “Equity in net losses of affiliate companies” for the years ended December 31, 2020, 2019 and 2018, respectively.</w:t>
      </w:r>
    </w:p>
    <w:p>
      <w:pPr>
        <w:spacing w:after="0" w:line="170"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As of December 31, 2020 and 2019, the carrying amount of the investment in Navios Europe II and the balance of Navios Terms Loans II was $0 and $6,650, respectively.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Navios Containers (Consolidated from November 30, 2018 to August 30, 2019)</w:t>
      </w:r>
    </w:p>
    <w:p>
      <w:pPr>
        <w:spacing w:after="0" w:line="12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On June 8, 2017, Navios Maritime Containers Inc. closed a private placement of 10,057,645 shares of its common stock at a subscription price of $5.00 per share resulting in gross proceeds of $50,288. Navios Holdings invested $5,000, and Navios Partners invested $30,000 in Navios Maritime Containers Inc. Each of Navios Holdings and Navios Partners also received warrants for the purchase of an additional 1.7% and 6.8%, respectively, of the equity of Navios Maritime Containers Inc.</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080"/>
          </w:cols>
          <w:pgMar w:left="320" w:top="459" w:right="49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NAVIOS MARITIME HOLDINGS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(Expressed in thousands of U.S. dollars — except share data)</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March 13, 2018, Navios Maritime Containers Inc. closed an additional private placement in which Navios Holdings invested $500.</w:t>
      </w:r>
    </w:p>
    <w:p>
      <w:pPr>
        <w:spacing w:after="0" w:line="225"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On November 30, 2018, Navios Maritime Containers Inc. was converted into a limited partnership. All of the warrants described above issued to Navios Partners and Navios Holdings expired. On December 3, 2018, Navios Partners distributed approximately 2.5% of the outstanding equity of Navios Containers to the unitholders of Navios Partners in connection with the listing of Navios Containers on the Nasdaq Global Select Market.</w:t>
      </w:r>
    </w:p>
    <w:p>
      <w:pPr>
        <w:spacing w:after="0" w:line="149"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Navios Holdings until November 30, 2018 had evaluated its investment in the common stock of Navios Containers under ASC 323 and concluded that it had the ability to exercise significant influence over the operating and financial policies of Navios Maritime Containers Inc. and, therefore, its investment in Navios Maritime Containers Inc. was accounted for under the equity method.</w:t>
      </w:r>
    </w:p>
    <w:p>
      <w:pPr>
        <w:spacing w:after="0" w:line="184"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As of December 31, 2020, and following the above mentioned placements and the conversion of Navios Maritime Containers Inc. into a limited partnership, Navios Holdings owned 3.9% of the equity of Navios Containers.</w:t>
      </w:r>
    </w:p>
    <w:p>
      <w:pPr>
        <w:spacing w:after="0" w:line="170" w:lineRule="exact"/>
        <w:rPr>
          <w:sz w:val="20"/>
          <w:szCs w:val="20"/>
          <w:color w:val="auto"/>
        </w:rPr>
      </w:pPr>
    </w:p>
    <w:p>
      <w:pPr>
        <w:jc w:val="both"/>
        <w:ind w:left="120" w:right="140" w:firstLine="440"/>
        <w:spacing w:after="0" w:line="311" w:lineRule="auto"/>
        <w:rPr>
          <w:sz w:val="20"/>
          <w:szCs w:val="20"/>
          <w:color w:val="auto"/>
        </w:rPr>
      </w:pPr>
      <w:r>
        <w:rPr>
          <w:rFonts w:ascii="Arial" w:cs="Arial" w:eastAsia="Arial" w:hAnsi="Arial"/>
          <w:sz w:val="16"/>
          <w:szCs w:val="16"/>
          <w:color w:val="auto"/>
        </w:rPr>
        <w:t>Following the sale of Navios Containers general partnership interest effected on August 30, 2019, referred in Note 3, Navios Holdings evaluated its investment in the common stock of Navios Containers under ASC 323 and concluded that it had the ability to exercise significant influence over the operating and financial policies of Navios Containers and, therefore, its investment in Navios Containers is accounted for under the equity method.</w:t>
      </w:r>
    </w:p>
    <w:p>
      <w:pPr>
        <w:spacing w:after="0" w:line="149"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Total equity method income of $130, $155 and $417 were included within the caption “Equity in net losses of affiliate companies” for the year ended December 31, 2020, for the period from August 30, 2019 (date of loss of control) to December 31, 2019 and for the period from January 1, 2018 to November 30, 2018 (date of obtaining control), respectively.</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As of December 31, 2020 and 2019, the carrying amount of the investment in Navios Containers was $2,812 and $2,682, respectively.</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2020, the market value of the investment in Navios Containers was $5,179.</w:t>
      </w:r>
    </w:p>
    <w:p>
      <w:pPr>
        <w:spacing w:after="0" w:line="221" w:lineRule="exact"/>
        <w:rPr>
          <w:sz w:val="20"/>
          <w:szCs w:val="20"/>
          <w:color w:val="auto"/>
        </w:rPr>
      </w:pPr>
    </w:p>
    <w:p>
      <w:pPr>
        <w:ind w:left="120" w:right="100" w:firstLine="440"/>
        <w:spacing w:after="0" w:line="274" w:lineRule="auto"/>
        <w:rPr>
          <w:sz w:val="20"/>
          <w:szCs w:val="20"/>
          <w:color w:val="auto"/>
        </w:rPr>
      </w:pPr>
      <w:r>
        <w:rPr>
          <w:rFonts w:ascii="Arial" w:cs="Arial" w:eastAsia="Arial" w:hAnsi="Arial"/>
          <w:sz w:val="17"/>
          <w:szCs w:val="17"/>
          <w:b w:val="1"/>
          <w:bCs w:val="1"/>
          <w:color w:val="auto"/>
        </w:rPr>
        <w:t xml:space="preserve">Merger Agreement Navios Partners: </w:t>
      </w:r>
      <w:r>
        <w:rPr>
          <w:rFonts w:ascii="Arial" w:cs="Arial" w:eastAsia="Arial" w:hAnsi="Arial"/>
          <w:sz w:val="17"/>
          <w:szCs w:val="17"/>
          <w:color w:val="auto"/>
        </w:rPr>
        <w:t>On January 4, 2021, Navios Containers and Navios Partners announced that they entered into a definitive</w:t>
      </w:r>
      <w:r>
        <w:rPr>
          <w:rFonts w:ascii="Arial" w:cs="Arial" w:eastAsia="Arial" w:hAnsi="Arial"/>
          <w:sz w:val="17"/>
          <w:szCs w:val="17"/>
          <w:b w:val="1"/>
          <w:bCs w:val="1"/>
          <w:color w:val="auto"/>
        </w:rPr>
        <w:t xml:space="preserve"> </w:t>
      </w:r>
      <w:r>
        <w:rPr>
          <w:rFonts w:ascii="Arial" w:cs="Arial" w:eastAsia="Arial" w:hAnsi="Arial"/>
          <w:sz w:val="17"/>
          <w:szCs w:val="17"/>
          <w:color w:val="auto"/>
        </w:rPr>
        <w:t>merger agreement (the “Navios Partners’ Merger”). Under the terms of the Navios Partners’ Merger, Navios Partners acquired all of the publicly held common units of Navios Containers through the issuance of 8,133,452 newly issued common units of Navios Partners in exchange for the publicly held common units of Navios Containers at an exchange ratio of 0.39 units of Navios Partners for each Navios Containers common unit. The Navios Partners’ Merger was completed on March 31, 2021 and Navios Holdings had 12.6% ownership interest in Navios Partners. As of the close of the market on March 31, 2021, Navios Containers’ common units were no longer listed for trading on NASDAQ.</w:t>
      </w:r>
    </w:p>
    <w:p>
      <w:pPr>
        <w:spacing w:after="0" w:line="177"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Following the results of the significance tests performed by the Company, it was concluded that two affiliate companies met the significance threshold requiring summarized financial information of all affiliate companies being presented.</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Summarized financial information of the affiliate companies is presented below:</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3"/>
              </w:rPr>
              <w:t>December 31, 2020</w:t>
            </w: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4"/>
                <w:szCs w:val="14"/>
                <w:b w:val="1"/>
                <w:bCs w:val="1"/>
                <w:color w:val="auto"/>
              </w:rPr>
              <w:t>December 31, 2019</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60" w:type="dxa"/>
            <w:vAlign w:val="bottom"/>
            <w:vMerge w:val="restart"/>
          </w:tcPr>
          <w:p>
            <w:pPr>
              <w:spacing w:after="0"/>
              <w:rPr>
                <w:sz w:val="20"/>
                <w:szCs w:val="20"/>
                <w:color w:val="auto"/>
              </w:rPr>
            </w:pPr>
            <w:r>
              <w:rPr>
                <w:rFonts w:ascii="Arial" w:cs="Arial" w:eastAsia="Arial" w:hAnsi="Arial"/>
                <w:sz w:val="14"/>
                <w:szCs w:val="14"/>
                <w:b w:val="1"/>
                <w:bCs w:val="1"/>
                <w:color w:val="auto"/>
                <w:w w:val="87"/>
              </w:rPr>
              <w:t>Balance Sheet</w:t>
            </w:r>
          </w:p>
        </w:tc>
        <w:tc>
          <w:tcPr>
            <w:tcW w:w="242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3"/>
              </w:rPr>
              <w:t>Navios</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right"/>
              <w:ind w:right="280"/>
              <w:spacing w:after="0" w:line="119" w:lineRule="exact"/>
              <w:rPr>
                <w:sz w:val="20"/>
                <w:szCs w:val="20"/>
                <w:color w:val="auto"/>
              </w:rPr>
            </w:pPr>
            <w:r>
              <w:rPr>
                <w:rFonts w:ascii="Arial" w:cs="Arial" w:eastAsia="Arial" w:hAnsi="Arial"/>
                <w:sz w:val="13"/>
                <w:szCs w:val="13"/>
                <w:b w:val="1"/>
                <w:bCs w:val="1"/>
                <w:color w:val="auto"/>
              </w:rPr>
              <w:t>Navios</w:t>
            </w:r>
          </w:p>
        </w:tc>
        <w:tc>
          <w:tcPr>
            <w:tcW w:w="160" w:type="dxa"/>
            <w:vAlign w:val="bottom"/>
          </w:tcPr>
          <w:p>
            <w:pPr>
              <w:spacing w:after="0"/>
              <w:rPr>
                <w:sz w:val="10"/>
                <w:szCs w:val="10"/>
                <w:color w:val="auto"/>
              </w:rPr>
            </w:pPr>
          </w:p>
        </w:tc>
        <w:tc>
          <w:tcPr>
            <w:tcW w:w="620" w:type="dxa"/>
            <w:vAlign w:val="bottom"/>
            <w:gridSpan w:val="2"/>
          </w:tcPr>
          <w:p>
            <w:pPr>
              <w:jc w:val="right"/>
              <w:ind w:right="10"/>
              <w:spacing w:after="0" w:line="119" w:lineRule="exact"/>
              <w:rPr>
                <w:sz w:val="20"/>
                <w:szCs w:val="20"/>
                <w:color w:val="auto"/>
              </w:rPr>
            </w:pPr>
            <w:r>
              <w:rPr>
                <w:rFonts w:ascii="Arial" w:cs="Arial" w:eastAsia="Arial" w:hAnsi="Arial"/>
                <w:sz w:val="13"/>
                <w:szCs w:val="13"/>
                <w:b w:val="1"/>
                <w:bCs w:val="1"/>
                <w:color w:val="auto"/>
              </w:rPr>
              <w:t>Navios</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ind w:left="40"/>
              <w:spacing w:after="0" w:line="119" w:lineRule="exact"/>
              <w:rPr>
                <w:sz w:val="20"/>
                <w:szCs w:val="20"/>
                <w:color w:val="auto"/>
              </w:rPr>
            </w:pPr>
            <w:r>
              <w:rPr>
                <w:rFonts w:ascii="Arial" w:cs="Arial" w:eastAsia="Arial" w:hAnsi="Arial"/>
                <w:sz w:val="13"/>
                <w:szCs w:val="13"/>
                <w:b w:val="1"/>
                <w:bCs w:val="1"/>
                <w:color w:val="auto"/>
              </w:rPr>
              <w:t>Navios</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rPr>
              <w:t>Navios</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8"/>
              </w:rPr>
              <w:t>Navios</w:t>
            </w:r>
          </w:p>
        </w:tc>
        <w:tc>
          <w:tcPr>
            <w:tcW w:w="100" w:type="dxa"/>
            <w:vAlign w:val="bottom"/>
          </w:tcPr>
          <w:p>
            <w:pPr>
              <w:spacing w:after="0"/>
              <w:rPr>
                <w:sz w:val="10"/>
                <w:szCs w:val="10"/>
                <w:color w:val="auto"/>
              </w:rPr>
            </w:pPr>
          </w:p>
        </w:tc>
        <w:tc>
          <w:tcPr>
            <w:tcW w:w="700" w:type="dxa"/>
            <w:vAlign w:val="bottom"/>
            <w:gridSpan w:val="2"/>
          </w:tcPr>
          <w:p>
            <w:pPr>
              <w:jc w:val="right"/>
              <w:ind w:right="240"/>
              <w:spacing w:after="0" w:line="119" w:lineRule="exact"/>
              <w:rPr>
                <w:sz w:val="20"/>
                <w:szCs w:val="20"/>
                <w:color w:val="auto"/>
              </w:rPr>
            </w:pPr>
            <w:r>
              <w:rPr>
                <w:rFonts w:ascii="Arial" w:cs="Arial" w:eastAsia="Arial" w:hAnsi="Arial"/>
                <w:sz w:val="13"/>
                <w:szCs w:val="13"/>
                <w:b w:val="1"/>
                <w:bCs w:val="1"/>
                <w:color w:val="auto"/>
              </w:rPr>
              <w:t>Navios</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ind w:right="53"/>
              <w:spacing w:after="0" w:line="119" w:lineRule="exact"/>
              <w:rPr>
                <w:sz w:val="20"/>
                <w:szCs w:val="20"/>
                <w:color w:val="auto"/>
              </w:rPr>
            </w:pPr>
            <w:r>
              <w:rPr>
                <w:rFonts w:ascii="Arial" w:cs="Arial" w:eastAsia="Arial" w:hAnsi="Arial"/>
                <w:sz w:val="13"/>
                <w:szCs w:val="13"/>
                <w:b w:val="1"/>
                <w:bCs w:val="1"/>
                <w:color w:val="auto"/>
              </w:rPr>
              <w:t>Navios</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860" w:type="dxa"/>
            <w:vAlign w:val="bottom"/>
            <w:tcBorders>
              <w:bottom w:val="single" w:sz="8" w:color="auto"/>
            </w:tcBorders>
            <w:vMerge w:val="continue"/>
          </w:tcPr>
          <w:p>
            <w:pPr>
              <w:spacing w:after="0"/>
              <w:rPr>
                <w:sz w:val="15"/>
                <w:szCs w:val="15"/>
                <w:color w:val="auto"/>
              </w:rPr>
            </w:pPr>
          </w:p>
        </w:tc>
        <w:tc>
          <w:tcPr>
            <w:tcW w:w="24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1"/>
              </w:rPr>
              <w:t>Partners</w:t>
            </w:r>
          </w:p>
        </w:tc>
        <w:tc>
          <w:tcPr>
            <w:tcW w:w="120" w:type="dxa"/>
            <w:vAlign w:val="bottom"/>
          </w:tcPr>
          <w:p>
            <w:pPr>
              <w:spacing w:after="0"/>
              <w:rPr>
                <w:sz w:val="15"/>
                <w:szCs w:val="15"/>
                <w:color w:val="auto"/>
              </w:rPr>
            </w:pPr>
          </w:p>
        </w:tc>
        <w:tc>
          <w:tcPr>
            <w:tcW w:w="900" w:type="dxa"/>
            <w:vAlign w:val="bottom"/>
            <w:gridSpan w:val="3"/>
          </w:tcPr>
          <w:p>
            <w:pPr>
              <w:jc w:val="right"/>
              <w:ind w:right="140"/>
              <w:spacing w:after="0" w:line="158" w:lineRule="exact"/>
              <w:rPr>
                <w:sz w:val="20"/>
                <w:szCs w:val="20"/>
                <w:color w:val="auto"/>
              </w:rPr>
            </w:pPr>
            <w:r>
              <w:rPr>
                <w:rFonts w:ascii="Arial" w:cs="Arial" w:eastAsia="Arial" w:hAnsi="Arial"/>
                <w:sz w:val="14"/>
                <w:szCs w:val="14"/>
                <w:b w:val="1"/>
                <w:bCs w:val="1"/>
                <w:color w:val="auto"/>
                <w:w w:val="97"/>
              </w:rPr>
              <w:t>Acquisition</w:t>
            </w:r>
          </w:p>
        </w:tc>
        <w:tc>
          <w:tcPr>
            <w:tcW w:w="160" w:type="dxa"/>
            <w:vAlign w:val="bottom"/>
          </w:tcPr>
          <w:p>
            <w:pPr>
              <w:spacing w:after="0"/>
              <w:rPr>
                <w:sz w:val="15"/>
                <w:szCs w:val="15"/>
                <w:color w:val="auto"/>
              </w:rPr>
            </w:pPr>
          </w:p>
        </w:tc>
        <w:tc>
          <w:tcPr>
            <w:tcW w:w="62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Europe II</w:t>
            </w:r>
          </w:p>
        </w:tc>
        <w:tc>
          <w:tcPr>
            <w:tcW w:w="240" w:type="dxa"/>
            <w:vAlign w:val="bottom"/>
          </w:tcPr>
          <w:p>
            <w:pPr>
              <w:spacing w:after="0"/>
              <w:rPr>
                <w:sz w:val="15"/>
                <w:szCs w:val="15"/>
                <w:color w:val="auto"/>
              </w:rPr>
            </w:pPr>
          </w:p>
        </w:tc>
        <w:tc>
          <w:tcPr>
            <w:tcW w:w="92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Containers</w:t>
            </w:r>
          </w:p>
        </w:tc>
        <w:tc>
          <w:tcPr>
            <w:tcW w:w="100" w:type="dxa"/>
            <w:vAlign w:val="bottom"/>
          </w:tcPr>
          <w:p>
            <w:pPr>
              <w:spacing w:after="0"/>
              <w:rPr>
                <w:sz w:val="15"/>
                <w:szCs w:val="15"/>
                <w:color w:val="auto"/>
              </w:rPr>
            </w:pPr>
          </w:p>
        </w:tc>
        <w:tc>
          <w:tcPr>
            <w:tcW w:w="860" w:type="dxa"/>
            <w:vAlign w:val="bottom"/>
            <w:gridSpan w:val="2"/>
          </w:tcPr>
          <w:p>
            <w:pPr>
              <w:jc w:val="right"/>
              <w:ind w:right="280"/>
              <w:spacing w:after="0" w:line="158" w:lineRule="exact"/>
              <w:rPr>
                <w:sz w:val="20"/>
                <w:szCs w:val="20"/>
                <w:color w:val="auto"/>
              </w:rPr>
            </w:pPr>
            <w:r>
              <w:rPr>
                <w:rFonts w:ascii="Arial" w:cs="Arial" w:eastAsia="Arial" w:hAnsi="Arial"/>
                <w:sz w:val="14"/>
                <w:szCs w:val="14"/>
                <w:b w:val="1"/>
                <w:bCs w:val="1"/>
                <w:color w:val="auto"/>
                <w:w w:val="98"/>
              </w:rPr>
              <w:t>Partners</w:t>
            </w:r>
          </w:p>
        </w:tc>
        <w:tc>
          <w:tcPr>
            <w:tcW w:w="120" w:type="dxa"/>
            <w:vAlign w:val="bottom"/>
          </w:tcPr>
          <w:p>
            <w:pPr>
              <w:spacing w:after="0"/>
              <w:rPr>
                <w:sz w:val="15"/>
                <w:szCs w:val="15"/>
                <w:color w:val="auto"/>
              </w:rPr>
            </w:pPr>
          </w:p>
        </w:tc>
        <w:tc>
          <w:tcPr>
            <w:tcW w:w="1060" w:type="dxa"/>
            <w:vAlign w:val="bottom"/>
            <w:gridSpan w:val="3"/>
          </w:tcPr>
          <w:p>
            <w:pPr>
              <w:jc w:val="center"/>
              <w:ind w:right="240"/>
              <w:spacing w:after="0" w:line="158" w:lineRule="exact"/>
              <w:rPr>
                <w:sz w:val="20"/>
                <w:szCs w:val="20"/>
                <w:color w:val="auto"/>
              </w:rPr>
            </w:pPr>
            <w:r>
              <w:rPr>
                <w:rFonts w:ascii="Arial" w:cs="Arial" w:eastAsia="Arial" w:hAnsi="Arial"/>
                <w:sz w:val="14"/>
                <w:szCs w:val="14"/>
                <w:b w:val="1"/>
                <w:bCs w:val="1"/>
                <w:color w:val="auto"/>
                <w:w w:val="91"/>
              </w:rPr>
              <w:t>Acquisition</w:t>
            </w:r>
          </w:p>
        </w:tc>
        <w:tc>
          <w:tcPr>
            <w:tcW w:w="800" w:type="dxa"/>
            <w:vAlign w:val="bottom"/>
            <w:gridSpan w:val="3"/>
          </w:tcPr>
          <w:p>
            <w:pPr>
              <w:jc w:val="right"/>
              <w:ind w:right="160"/>
              <w:spacing w:after="0" w:line="158" w:lineRule="exact"/>
              <w:rPr>
                <w:sz w:val="20"/>
                <w:szCs w:val="20"/>
                <w:color w:val="auto"/>
              </w:rPr>
            </w:pPr>
            <w:r>
              <w:rPr>
                <w:rFonts w:ascii="Arial" w:cs="Arial" w:eastAsia="Arial" w:hAnsi="Arial"/>
                <w:sz w:val="14"/>
                <w:szCs w:val="14"/>
                <w:b w:val="1"/>
                <w:bCs w:val="1"/>
                <w:color w:val="auto"/>
              </w:rPr>
              <w:t>Europe II</w:t>
            </w:r>
          </w:p>
        </w:tc>
        <w:tc>
          <w:tcPr>
            <w:tcW w:w="120" w:type="dxa"/>
            <w:vAlign w:val="bottom"/>
          </w:tcPr>
          <w:p>
            <w:pPr>
              <w:spacing w:after="0"/>
              <w:rPr>
                <w:sz w:val="15"/>
                <w:szCs w:val="15"/>
                <w:color w:val="auto"/>
              </w:rPr>
            </w:pPr>
          </w:p>
        </w:tc>
        <w:tc>
          <w:tcPr>
            <w:tcW w:w="76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w w:val="98"/>
              </w:rPr>
              <w:t>Containers</w:t>
            </w:r>
          </w:p>
        </w:tc>
        <w:tc>
          <w:tcPr>
            <w:tcW w:w="0" w:type="dxa"/>
            <w:vAlign w:val="bottom"/>
          </w:tcPr>
          <w:p>
            <w:pPr>
              <w:spacing w:after="0"/>
              <w:rPr>
                <w:sz w:val="1"/>
                <w:szCs w:val="1"/>
                <w:color w:val="auto"/>
              </w:rPr>
            </w:pPr>
          </w:p>
        </w:tc>
      </w:tr>
      <w:tr>
        <w:trPr>
          <w:trHeight w:val="175"/>
        </w:trPr>
        <w:tc>
          <w:tcPr>
            <w:tcW w:w="328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Cash and cash equivalents, including</w:t>
            </w:r>
          </w:p>
        </w:tc>
        <w:tc>
          <w:tcPr>
            <w:tcW w:w="1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30,728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41,357</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7,573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30,402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44,051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27,431</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18,109</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60,780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140,605</w:t>
            </w:r>
          </w:p>
        </w:tc>
        <w:tc>
          <w:tcPr>
            <w:tcW w:w="4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16,684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75,990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114,008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32,249</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29,450</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1,146,489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1,428,392</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414,106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1,177,527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1,441,947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179,688</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430,852</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253,252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805,860</w:t>
            </w:r>
          </w:p>
        </w:tc>
        <w:tc>
          <w:tcPr>
            <w:tcW w:w="4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39,862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79,784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241,939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57,078</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71,397</w:t>
            </w:r>
          </w:p>
        </w:tc>
        <w:tc>
          <w:tcPr>
            <w:tcW w:w="0" w:type="dxa"/>
            <w:vAlign w:val="bottom"/>
          </w:tcPr>
          <w:p>
            <w:pPr>
              <w:spacing w:after="0"/>
              <w:rPr>
                <w:sz w:val="1"/>
                <w:szCs w:val="1"/>
                <w:color w:val="auto"/>
              </w:rPr>
            </w:pPr>
          </w:p>
        </w:tc>
      </w:tr>
      <w:tr>
        <w:trPr>
          <w:trHeight w:val="202"/>
        </w:trPr>
        <w:tc>
          <w:tcPr>
            <w:tcW w:w="3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9"/>
              </w:rPr>
              <w:t>Long- term debt including current portion,</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486,857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1,076,587</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232,159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489,028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1,173,117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89,025</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245,658</w:t>
            </w:r>
          </w:p>
        </w:tc>
        <w:tc>
          <w:tcPr>
            <w:tcW w:w="0" w:type="dxa"/>
            <w:vAlign w:val="bottom"/>
          </w:tcPr>
          <w:p>
            <w:pPr>
              <w:spacing w:after="0"/>
              <w:rPr>
                <w:sz w:val="1"/>
                <w:szCs w:val="1"/>
                <w:color w:val="auto"/>
              </w:rPr>
            </w:pPr>
          </w:p>
        </w:tc>
      </w:tr>
      <w:tr>
        <w:trPr>
          <w:trHeight w:val="230"/>
        </w:trPr>
        <w:tc>
          <w:tcPr>
            <w:tcW w:w="328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299,187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433,280</w:t>
            </w:r>
          </w:p>
        </w:tc>
        <w:tc>
          <w:tcPr>
            <w:tcW w:w="4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199,383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445,714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1,000,164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163,123</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198,925</w:t>
            </w:r>
          </w:p>
        </w:tc>
        <w:tc>
          <w:tcPr>
            <w:tcW w:w="0" w:type="dxa"/>
            <w:vAlign w:val="bottom"/>
          </w:tcPr>
          <w:p>
            <w:pPr>
              <w:spacing w:after="0"/>
              <w:rPr>
                <w:sz w:val="1"/>
                <w:szCs w:val="1"/>
                <w:color w:val="auto"/>
              </w:rPr>
            </w:pPr>
          </w:p>
        </w:tc>
      </w:tr>
      <w:tr>
        <w:trPr>
          <w:trHeight w:val="350"/>
        </w:trPr>
        <w:tc>
          <w:tcPr>
            <w:tcW w:w="8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F-44</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NAVIOS MARITIME HOLDINGS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(Expressed in thousands of U.S. dollars — except share data)</w:t>
      </w:r>
    </w:p>
    <w:p>
      <w:pPr>
        <w:spacing w:after="0" w:line="135"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63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360" w:type="dxa"/>
            <w:vAlign w:val="bottom"/>
            <w:vMerge w:val="restart"/>
          </w:tcPr>
          <w:p>
            <w:pPr>
              <w:spacing w:after="0"/>
              <w:rPr>
                <w:sz w:val="20"/>
                <w:szCs w:val="20"/>
                <w:color w:val="auto"/>
              </w:rPr>
            </w:pPr>
            <w:r>
              <w:rPr>
                <w:rFonts w:ascii="Arial" w:cs="Arial" w:eastAsia="Arial" w:hAnsi="Arial"/>
                <w:sz w:val="14"/>
                <w:szCs w:val="14"/>
                <w:b w:val="1"/>
                <w:bCs w:val="1"/>
                <w:color w:val="auto"/>
              </w:rPr>
              <w:t>Income Statement</w:t>
            </w:r>
          </w:p>
        </w:tc>
        <w:tc>
          <w:tcPr>
            <w:tcW w:w="100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8"/>
              </w:rPr>
              <w:t>Navios</w:t>
            </w:r>
          </w:p>
        </w:tc>
        <w:tc>
          <w:tcPr>
            <w:tcW w:w="100" w:type="dxa"/>
            <w:vAlign w:val="bottom"/>
          </w:tcPr>
          <w:p>
            <w:pPr>
              <w:spacing w:after="0"/>
              <w:rPr>
                <w:sz w:val="10"/>
                <w:szCs w:val="10"/>
                <w:color w:val="auto"/>
              </w:rPr>
            </w:pPr>
          </w:p>
        </w:tc>
        <w:tc>
          <w:tcPr>
            <w:tcW w:w="96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Navios</w:t>
            </w:r>
          </w:p>
        </w:tc>
        <w:tc>
          <w:tcPr>
            <w:tcW w:w="96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8"/>
              </w:rPr>
              <w:t>Navios</w:t>
            </w:r>
          </w:p>
        </w:tc>
        <w:tc>
          <w:tcPr>
            <w:tcW w:w="100" w:type="dxa"/>
            <w:vAlign w:val="bottom"/>
          </w:tcPr>
          <w:p>
            <w:pPr>
              <w:spacing w:after="0"/>
              <w:rPr>
                <w:sz w:val="10"/>
                <w:szCs w:val="10"/>
                <w:color w:val="auto"/>
              </w:rPr>
            </w:pPr>
          </w:p>
        </w:tc>
        <w:tc>
          <w:tcPr>
            <w:tcW w:w="600" w:type="dxa"/>
            <w:vAlign w:val="bottom"/>
          </w:tcPr>
          <w:p>
            <w:pPr>
              <w:jc w:val="right"/>
              <w:ind w:right="58"/>
              <w:spacing w:after="0" w:line="119" w:lineRule="exact"/>
              <w:rPr>
                <w:sz w:val="20"/>
                <w:szCs w:val="20"/>
                <w:color w:val="auto"/>
              </w:rPr>
            </w:pPr>
            <w:r>
              <w:rPr>
                <w:rFonts w:ascii="Arial" w:cs="Arial" w:eastAsia="Arial" w:hAnsi="Arial"/>
                <w:sz w:val="13"/>
                <w:szCs w:val="13"/>
                <w:b w:val="1"/>
                <w:bCs w:val="1"/>
                <w:color w:val="auto"/>
              </w:rPr>
              <w:t>Navios</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360" w:type="dxa"/>
            <w:vAlign w:val="bottom"/>
            <w:vMerge w:val="continue"/>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Partners</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Acquisition</w:t>
            </w: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Europe II</w:t>
            </w: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w w:val="98"/>
              </w:rPr>
              <w:t>Containers</w:t>
            </w:r>
          </w:p>
        </w:tc>
        <w:tc>
          <w:tcPr>
            <w:tcW w:w="0" w:type="dxa"/>
            <w:vAlign w:val="bottom"/>
          </w:tcPr>
          <w:p>
            <w:pPr>
              <w:spacing w:after="0"/>
              <w:rPr>
                <w:sz w:val="1"/>
                <w:szCs w:val="1"/>
                <w:color w:val="auto"/>
              </w:rPr>
            </w:pPr>
          </w:p>
        </w:tc>
      </w:tr>
      <w:tr>
        <w:trPr>
          <w:trHeight w:val="209"/>
        </w:trPr>
        <w:tc>
          <w:tcPr>
            <w:tcW w:w="6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$226,771</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361,438</w:t>
            </w:r>
          </w:p>
        </w:tc>
        <w:tc>
          <w:tcPr>
            <w:tcW w:w="3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1"/>
              </w:rPr>
              <w:t>$ 17,059</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127,188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Net (loss)/income</w:t>
            </w:r>
          </w:p>
        </w:tc>
        <w:tc>
          <w:tcPr>
            <w:tcW w:w="1000" w:type="dxa"/>
            <w:vAlign w:val="bottom"/>
            <w:gridSpan w:val="2"/>
          </w:tcPr>
          <w:p>
            <w:pPr>
              <w:spacing w:after="0"/>
              <w:rPr>
                <w:sz w:val="20"/>
                <w:szCs w:val="20"/>
                <w:color w:val="auto"/>
              </w:rPr>
            </w:pPr>
            <w:r>
              <w:rPr>
                <w:rFonts w:ascii="Arial" w:cs="Arial" w:eastAsia="Arial" w:hAnsi="Arial"/>
                <w:sz w:val="18"/>
                <w:szCs w:val="18"/>
                <w:color w:val="auto"/>
              </w:rPr>
              <w:t>$ (68,541)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27,465</w:t>
            </w:r>
          </w:p>
        </w:tc>
        <w:tc>
          <w:tcPr>
            <w:tcW w:w="960" w:type="dxa"/>
            <w:vAlign w:val="bottom"/>
            <w:gridSpan w:val="2"/>
          </w:tcPr>
          <w:p>
            <w:pPr>
              <w:spacing w:after="0"/>
              <w:rPr>
                <w:sz w:val="20"/>
                <w:szCs w:val="20"/>
                <w:color w:val="auto"/>
              </w:rPr>
            </w:pPr>
            <w:r>
              <w:rPr>
                <w:rFonts w:ascii="Arial" w:cs="Arial" w:eastAsia="Arial" w:hAnsi="Arial"/>
                <w:sz w:val="18"/>
                <w:szCs w:val="18"/>
                <w:color w:val="auto"/>
              </w:rPr>
              <w:t>$(26,661)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3,348</w:t>
            </w:r>
          </w:p>
        </w:tc>
        <w:tc>
          <w:tcPr>
            <w:tcW w:w="0" w:type="dxa"/>
            <w:vAlign w:val="bottom"/>
          </w:tcPr>
          <w:p>
            <w:pPr>
              <w:spacing w:after="0"/>
              <w:rPr>
                <w:sz w:val="1"/>
                <w:szCs w:val="1"/>
                <w:color w:val="auto"/>
              </w:rPr>
            </w:pPr>
          </w:p>
        </w:tc>
      </w:tr>
    </w:tbl>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1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6"/>
          </w:tcPr>
          <w:p>
            <w:pPr>
              <w:ind w:left="640"/>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6"/>
          </w:tcPr>
          <w:p>
            <w:pPr>
              <w:jc w:val="right"/>
              <w:ind w:right="360"/>
              <w:spacing w:after="0"/>
              <w:rPr>
                <w:sz w:val="20"/>
                <w:szCs w:val="20"/>
                <w:color w:val="auto"/>
              </w:rPr>
            </w:pPr>
            <w:r>
              <w:rPr>
                <w:rFonts w:ascii="Arial" w:cs="Arial" w:eastAsia="Arial" w:hAnsi="Arial"/>
                <w:sz w:val="14"/>
                <w:szCs w:val="14"/>
                <w:b w:val="1"/>
                <w:bCs w:val="1"/>
                <w:color w:val="auto"/>
              </w:rPr>
              <w:t>December 31, 2018</w:t>
            </w:r>
          </w:p>
        </w:tc>
        <w:tc>
          <w:tcPr>
            <w:tcW w:w="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120" w:type="dxa"/>
            <w:vAlign w:val="bottom"/>
            <w:vMerge w:val="restart"/>
          </w:tcPr>
          <w:p>
            <w:pPr>
              <w:spacing w:after="0"/>
              <w:rPr>
                <w:sz w:val="20"/>
                <w:szCs w:val="20"/>
                <w:color w:val="auto"/>
              </w:rPr>
            </w:pPr>
            <w:r>
              <w:rPr>
                <w:rFonts w:ascii="Arial" w:cs="Arial" w:eastAsia="Arial" w:hAnsi="Arial"/>
                <w:sz w:val="14"/>
                <w:szCs w:val="14"/>
                <w:b w:val="1"/>
                <w:bCs w:val="1"/>
                <w:color w:val="auto"/>
                <w:w w:val="91"/>
              </w:rPr>
              <w:t>Income Statement</w:t>
            </w:r>
          </w:p>
        </w:tc>
        <w:tc>
          <w:tcPr>
            <w:tcW w:w="2060" w:type="dxa"/>
            <w:vAlign w:val="bottom"/>
            <w:vMerge w:val="restart"/>
          </w:tcPr>
          <w:p>
            <w:pPr>
              <w:spacing w:after="0"/>
              <w:rPr>
                <w:sz w:val="10"/>
                <w:szCs w:val="10"/>
                <w:color w:val="auto"/>
              </w:rPr>
            </w:pPr>
          </w:p>
        </w:tc>
        <w:tc>
          <w:tcPr>
            <w:tcW w:w="90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w w:val="98"/>
              </w:rPr>
              <w:t>Navios</w:t>
            </w:r>
          </w:p>
        </w:tc>
        <w:tc>
          <w:tcPr>
            <w:tcW w:w="92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8"/>
              </w:rPr>
              <w:t>Navios</w:t>
            </w:r>
          </w:p>
        </w:tc>
        <w:tc>
          <w:tcPr>
            <w:tcW w:w="86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3"/>
              </w:rPr>
              <w:t>Navios</w:t>
            </w:r>
          </w:p>
        </w:tc>
        <w:tc>
          <w:tcPr>
            <w:tcW w:w="86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w w:val="98"/>
              </w:rPr>
              <w:t>Navios</w:t>
            </w:r>
          </w:p>
        </w:tc>
        <w:tc>
          <w:tcPr>
            <w:tcW w:w="100" w:type="dxa"/>
            <w:vAlign w:val="bottom"/>
          </w:tcPr>
          <w:p>
            <w:pPr>
              <w:spacing w:after="0"/>
              <w:rPr>
                <w:sz w:val="10"/>
                <w:szCs w:val="10"/>
                <w:color w:val="auto"/>
              </w:rPr>
            </w:pPr>
          </w:p>
        </w:tc>
        <w:tc>
          <w:tcPr>
            <w:tcW w:w="580" w:type="dxa"/>
            <w:vAlign w:val="bottom"/>
          </w:tcPr>
          <w:p>
            <w:pPr>
              <w:jc w:val="right"/>
              <w:ind w:right="36"/>
              <w:spacing w:after="0" w:line="119" w:lineRule="exact"/>
              <w:rPr>
                <w:sz w:val="20"/>
                <w:szCs w:val="20"/>
                <w:color w:val="auto"/>
              </w:rPr>
            </w:pPr>
            <w:r>
              <w:rPr>
                <w:rFonts w:ascii="Arial" w:cs="Arial" w:eastAsia="Arial" w:hAnsi="Arial"/>
                <w:sz w:val="13"/>
                <w:szCs w:val="13"/>
                <w:b w:val="1"/>
                <w:bCs w:val="1"/>
                <w:color w:val="auto"/>
              </w:rPr>
              <w:t>Navios</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w w:val="98"/>
              </w:rPr>
              <w:t>Navios</w:t>
            </w:r>
          </w:p>
        </w:tc>
        <w:tc>
          <w:tcPr>
            <w:tcW w:w="80" w:type="dxa"/>
            <w:vAlign w:val="bottom"/>
          </w:tcPr>
          <w:p>
            <w:pPr>
              <w:spacing w:after="0"/>
              <w:rPr>
                <w:sz w:val="10"/>
                <w:szCs w:val="10"/>
                <w:color w:val="auto"/>
              </w:rPr>
            </w:pPr>
          </w:p>
        </w:tc>
        <w:tc>
          <w:tcPr>
            <w:tcW w:w="84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w w:val="93"/>
              </w:rPr>
              <w:t>Navios</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w w:val="98"/>
              </w:rPr>
              <w:t>Navios</w:t>
            </w:r>
          </w:p>
        </w:tc>
        <w:tc>
          <w:tcPr>
            <w:tcW w:w="60" w:type="dxa"/>
            <w:vAlign w:val="bottom"/>
          </w:tcPr>
          <w:p>
            <w:pPr>
              <w:spacing w:after="0"/>
              <w:rPr>
                <w:sz w:val="10"/>
                <w:szCs w:val="10"/>
                <w:color w:val="auto"/>
              </w:rPr>
            </w:pPr>
          </w:p>
        </w:tc>
        <w:tc>
          <w:tcPr>
            <w:tcW w:w="6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Navios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120" w:type="dxa"/>
            <w:vAlign w:val="bottom"/>
            <w:tcBorders>
              <w:bottom w:val="single" w:sz="8" w:color="auto"/>
            </w:tcBorders>
            <w:vMerge w:val="continue"/>
          </w:tcPr>
          <w:p>
            <w:pPr>
              <w:spacing w:after="0"/>
              <w:rPr>
                <w:sz w:val="15"/>
                <w:szCs w:val="15"/>
                <w:color w:val="auto"/>
              </w:rPr>
            </w:pPr>
          </w:p>
        </w:tc>
        <w:tc>
          <w:tcPr>
            <w:tcW w:w="2060" w:type="dxa"/>
            <w:vAlign w:val="bottom"/>
            <w:vMerge w:val="continue"/>
          </w:tcPr>
          <w:p>
            <w:pPr>
              <w:spacing w:after="0"/>
              <w:rPr>
                <w:sz w:val="15"/>
                <w:szCs w:val="15"/>
                <w:color w:val="auto"/>
              </w:rPr>
            </w:pPr>
          </w:p>
        </w:tc>
        <w:tc>
          <w:tcPr>
            <w:tcW w:w="90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4"/>
              </w:rPr>
              <w:t>Partners</w:t>
            </w:r>
          </w:p>
        </w:tc>
        <w:tc>
          <w:tcPr>
            <w:tcW w:w="92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1"/>
              </w:rPr>
              <w:t>Acquisition</w:t>
            </w:r>
          </w:p>
        </w:tc>
        <w:tc>
          <w:tcPr>
            <w:tcW w:w="86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9"/>
              </w:rPr>
              <w:t>Europe I</w:t>
            </w:r>
          </w:p>
        </w:tc>
        <w:tc>
          <w:tcPr>
            <w:tcW w:w="86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rPr>
              <w:t>Europe II</w:t>
            </w:r>
          </w:p>
        </w:tc>
        <w:tc>
          <w:tcPr>
            <w:tcW w:w="76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Containers</w:t>
            </w:r>
          </w:p>
        </w:tc>
        <w:tc>
          <w:tcPr>
            <w:tcW w:w="80" w:type="dxa"/>
            <w:vAlign w:val="bottom"/>
          </w:tcPr>
          <w:p>
            <w:pPr>
              <w:spacing w:after="0"/>
              <w:rPr>
                <w:sz w:val="15"/>
                <w:szCs w:val="15"/>
                <w:color w:val="auto"/>
              </w:rPr>
            </w:pPr>
          </w:p>
        </w:tc>
        <w:tc>
          <w:tcPr>
            <w:tcW w:w="82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4"/>
              </w:rPr>
              <w:t>Partners</w:t>
            </w:r>
          </w:p>
        </w:tc>
        <w:tc>
          <w:tcPr>
            <w:tcW w:w="80" w:type="dxa"/>
            <w:vAlign w:val="bottom"/>
          </w:tcPr>
          <w:p>
            <w:pPr>
              <w:spacing w:after="0"/>
              <w:rPr>
                <w:sz w:val="15"/>
                <w:szCs w:val="15"/>
                <w:color w:val="auto"/>
              </w:rPr>
            </w:pPr>
          </w:p>
        </w:tc>
        <w:tc>
          <w:tcPr>
            <w:tcW w:w="84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4"/>
              </w:rPr>
              <w:t>Acquisition</w:t>
            </w:r>
          </w:p>
        </w:tc>
        <w:tc>
          <w:tcPr>
            <w:tcW w:w="80" w:type="dxa"/>
            <w:vAlign w:val="bottom"/>
          </w:tcPr>
          <w:p>
            <w:pPr>
              <w:spacing w:after="0"/>
              <w:rPr>
                <w:sz w:val="15"/>
                <w:szCs w:val="15"/>
                <w:color w:val="auto"/>
              </w:rPr>
            </w:pPr>
          </w:p>
        </w:tc>
        <w:tc>
          <w:tcPr>
            <w:tcW w:w="800" w:type="dxa"/>
            <w:vAlign w:val="bottom"/>
            <w:gridSpan w:val="3"/>
          </w:tcPr>
          <w:p>
            <w:pPr>
              <w:jc w:val="right"/>
              <w:ind w:right="200"/>
              <w:spacing w:after="0" w:line="158" w:lineRule="exact"/>
              <w:rPr>
                <w:sz w:val="20"/>
                <w:szCs w:val="20"/>
                <w:color w:val="auto"/>
              </w:rPr>
            </w:pPr>
            <w:r>
              <w:rPr>
                <w:rFonts w:ascii="Arial" w:cs="Arial" w:eastAsia="Arial" w:hAnsi="Arial"/>
                <w:sz w:val="14"/>
                <w:szCs w:val="14"/>
                <w:b w:val="1"/>
                <w:bCs w:val="1"/>
                <w:color w:val="auto"/>
              </w:rPr>
              <w:t>Europe I</w:t>
            </w:r>
          </w:p>
        </w:tc>
        <w:tc>
          <w:tcPr>
            <w:tcW w:w="60" w:type="dxa"/>
            <w:vAlign w:val="bottom"/>
          </w:tcPr>
          <w:p>
            <w:pPr>
              <w:spacing w:after="0"/>
              <w:rPr>
                <w:sz w:val="15"/>
                <w:szCs w:val="15"/>
                <w:color w:val="auto"/>
              </w:rPr>
            </w:pPr>
          </w:p>
        </w:tc>
        <w:tc>
          <w:tcPr>
            <w:tcW w:w="78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rPr>
              <w:t>Europe II</w:t>
            </w:r>
          </w:p>
        </w:tc>
        <w:tc>
          <w:tcPr>
            <w:tcW w:w="0" w:type="dxa"/>
            <w:vAlign w:val="bottom"/>
          </w:tcPr>
          <w:p>
            <w:pPr>
              <w:spacing w:after="0"/>
              <w:rPr>
                <w:sz w:val="1"/>
                <w:szCs w:val="1"/>
                <w:color w:val="auto"/>
              </w:rPr>
            </w:pPr>
          </w:p>
        </w:tc>
      </w:tr>
      <w:tr>
        <w:trPr>
          <w:trHeight w:val="203"/>
        </w:trPr>
        <w:tc>
          <w:tcPr>
            <w:tcW w:w="31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Revenue</w:t>
            </w:r>
          </w:p>
        </w:tc>
        <w:tc>
          <w:tcPr>
            <w:tcW w:w="7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0"/>
              </w:rPr>
              <w:t>$219,379</w:t>
            </w:r>
          </w:p>
        </w:tc>
        <w:tc>
          <w:tcPr>
            <w:tcW w:w="2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84"/>
              </w:rPr>
              <w:t>$ 280,117</w:t>
            </w:r>
          </w:p>
        </w:tc>
        <w:tc>
          <w:tcPr>
            <w:tcW w:w="2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1"/>
              </w:rPr>
              <w:t>$ 36,822</w:t>
            </w:r>
          </w:p>
        </w:tc>
        <w:tc>
          <w:tcPr>
            <w:tcW w:w="2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1"/>
              </w:rPr>
              <w:t>$ 46,718</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141,532</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0"/>
              </w:rPr>
              <w:t>$231,361</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87"/>
              </w:rPr>
              <w:t>$ 187,946</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34,885</w:t>
            </w: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1"/>
              </w:rPr>
              <w:t>$ 49,870</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180" w:type="dxa"/>
            <w:vAlign w:val="bottom"/>
            <w:gridSpan w:val="2"/>
          </w:tcPr>
          <w:p>
            <w:pPr>
              <w:spacing w:after="0" w:line="201" w:lineRule="exact"/>
              <w:rPr>
                <w:sz w:val="20"/>
                <w:szCs w:val="20"/>
                <w:color w:val="auto"/>
              </w:rPr>
            </w:pPr>
            <w:r>
              <w:rPr>
                <w:rFonts w:ascii="Arial" w:cs="Arial" w:eastAsia="Arial" w:hAnsi="Arial"/>
                <w:sz w:val="18"/>
                <w:szCs w:val="18"/>
                <w:color w:val="auto"/>
              </w:rPr>
              <w:t>Net (loss)/ income before non-cash</w:t>
            </w: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ind w:left="180"/>
              <w:spacing w:after="0"/>
              <w:rPr>
                <w:sz w:val="20"/>
                <w:szCs w:val="20"/>
                <w:color w:val="auto"/>
              </w:rPr>
            </w:pPr>
            <w:r>
              <w:rPr>
                <w:rFonts w:ascii="Arial" w:cs="Arial" w:eastAsia="Arial" w:hAnsi="Arial"/>
                <w:sz w:val="18"/>
                <w:szCs w:val="18"/>
                <w:color w:val="auto"/>
              </w:rPr>
              <w:t>change in fair value of Junior Loan I</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80" w:type="dxa"/>
            <w:vAlign w:val="bottom"/>
            <w:gridSpan w:val="2"/>
          </w:tcPr>
          <w:p>
            <w:pPr>
              <w:ind w:left="180"/>
              <w:spacing w:after="0"/>
              <w:rPr>
                <w:sz w:val="20"/>
                <w:szCs w:val="20"/>
                <w:color w:val="auto"/>
              </w:rPr>
            </w:pPr>
            <w:r>
              <w:rPr>
                <w:rFonts w:ascii="Arial" w:cs="Arial" w:eastAsia="Arial" w:hAnsi="Arial"/>
                <w:sz w:val="18"/>
                <w:szCs w:val="18"/>
                <w:color w:val="auto"/>
              </w:rPr>
              <w:t>and Junior Loan II</w:t>
            </w:r>
          </w:p>
        </w:tc>
        <w:tc>
          <w:tcPr>
            <w:tcW w:w="900" w:type="dxa"/>
            <w:vAlign w:val="bottom"/>
            <w:gridSpan w:val="2"/>
          </w:tcPr>
          <w:p>
            <w:pPr>
              <w:spacing w:after="0"/>
              <w:rPr>
                <w:sz w:val="20"/>
                <w:szCs w:val="20"/>
                <w:color w:val="auto"/>
              </w:rPr>
            </w:pPr>
            <w:r>
              <w:rPr>
                <w:rFonts w:ascii="Arial" w:cs="Arial" w:eastAsia="Arial" w:hAnsi="Arial"/>
                <w:sz w:val="18"/>
                <w:szCs w:val="18"/>
                <w:color w:val="auto"/>
              </w:rPr>
              <w:t>$ (62,134)</w:t>
            </w:r>
          </w:p>
        </w:tc>
        <w:tc>
          <w:tcPr>
            <w:tcW w:w="920" w:type="dxa"/>
            <w:vAlign w:val="bottom"/>
            <w:gridSpan w:val="2"/>
          </w:tcPr>
          <w:p>
            <w:pPr>
              <w:spacing w:after="0"/>
              <w:rPr>
                <w:sz w:val="20"/>
                <w:szCs w:val="20"/>
                <w:color w:val="auto"/>
              </w:rPr>
            </w:pPr>
            <w:r>
              <w:rPr>
                <w:rFonts w:ascii="Arial" w:cs="Arial" w:eastAsia="Arial" w:hAnsi="Arial"/>
                <w:sz w:val="18"/>
                <w:szCs w:val="18"/>
                <w:color w:val="auto"/>
              </w:rPr>
              <w:t>$ (65,707)</w:t>
            </w:r>
          </w:p>
        </w:tc>
        <w:tc>
          <w:tcPr>
            <w:tcW w:w="860" w:type="dxa"/>
            <w:vAlign w:val="bottom"/>
            <w:gridSpan w:val="2"/>
          </w:tcPr>
          <w:p>
            <w:pPr>
              <w:spacing w:after="0"/>
              <w:rPr>
                <w:sz w:val="20"/>
                <w:szCs w:val="20"/>
                <w:color w:val="auto"/>
              </w:rPr>
            </w:pPr>
            <w:r>
              <w:rPr>
                <w:rFonts w:ascii="Arial" w:cs="Arial" w:eastAsia="Arial" w:hAnsi="Arial"/>
                <w:sz w:val="18"/>
                <w:szCs w:val="18"/>
                <w:color w:val="auto"/>
              </w:rPr>
              <w:t>$(18,575)</w:t>
            </w:r>
          </w:p>
        </w:tc>
        <w:tc>
          <w:tcPr>
            <w:tcW w:w="860" w:type="dxa"/>
            <w:vAlign w:val="bottom"/>
            <w:gridSpan w:val="2"/>
          </w:tcPr>
          <w:p>
            <w:pPr>
              <w:spacing w:after="0"/>
              <w:rPr>
                <w:sz w:val="20"/>
                <w:szCs w:val="20"/>
                <w:color w:val="auto"/>
              </w:rPr>
            </w:pPr>
            <w:r>
              <w:rPr>
                <w:rFonts w:ascii="Arial" w:cs="Arial" w:eastAsia="Arial" w:hAnsi="Arial"/>
                <w:sz w:val="18"/>
                <w:szCs w:val="18"/>
                <w:color w:val="auto"/>
              </w:rPr>
              <w:t>$(30,203)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7,507</w:t>
            </w:r>
          </w:p>
        </w:tc>
        <w:tc>
          <w:tcPr>
            <w:tcW w:w="900" w:type="dxa"/>
            <w:vAlign w:val="bottom"/>
            <w:gridSpan w:val="3"/>
          </w:tcPr>
          <w:p>
            <w:pPr>
              <w:ind w:left="80"/>
              <w:spacing w:after="0"/>
              <w:rPr>
                <w:sz w:val="20"/>
                <w:szCs w:val="20"/>
                <w:color w:val="auto"/>
              </w:rPr>
            </w:pPr>
            <w:r>
              <w:rPr>
                <w:rFonts w:ascii="Arial" w:cs="Arial" w:eastAsia="Arial" w:hAnsi="Arial"/>
                <w:sz w:val="18"/>
                <w:szCs w:val="18"/>
                <w:color w:val="auto"/>
                <w:w w:val="97"/>
              </w:rPr>
              <w:t>$ (13,081)</w:t>
            </w:r>
          </w:p>
        </w:tc>
        <w:tc>
          <w:tcPr>
            <w:tcW w:w="920" w:type="dxa"/>
            <w:vAlign w:val="bottom"/>
            <w:gridSpan w:val="3"/>
          </w:tcPr>
          <w:p>
            <w:pPr>
              <w:ind w:left="80"/>
              <w:spacing w:after="0"/>
              <w:rPr>
                <w:sz w:val="20"/>
                <w:szCs w:val="20"/>
                <w:color w:val="auto"/>
              </w:rPr>
            </w:pPr>
            <w:r>
              <w:rPr>
                <w:rFonts w:ascii="Arial" w:cs="Arial" w:eastAsia="Arial" w:hAnsi="Arial"/>
                <w:sz w:val="18"/>
                <w:szCs w:val="18"/>
                <w:color w:val="auto"/>
                <w:w w:val="99"/>
              </w:rPr>
              <w:t>$ (82,233)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(22,881)</w:t>
            </w:r>
          </w:p>
        </w:tc>
        <w:tc>
          <w:tcPr>
            <w:tcW w:w="840" w:type="dxa"/>
            <w:vAlign w:val="bottom"/>
            <w:gridSpan w:val="3"/>
          </w:tcPr>
          <w:p>
            <w:pPr>
              <w:ind w:left="60"/>
              <w:spacing w:after="0"/>
              <w:rPr>
                <w:sz w:val="20"/>
                <w:szCs w:val="20"/>
                <w:color w:val="auto"/>
              </w:rPr>
            </w:pPr>
            <w:r>
              <w:rPr>
                <w:rFonts w:ascii="Arial" w:cs="Arial" w:eastAsia="Arial" w:hAnsi="Arial"/>
                <w:sz w:val="18"/>
                <w:szCs w:val="18"/>
                <w:color w:val="auto"/>
                <w:w w:val="98"/>
              </w:rPr>
              <w:t>$(12,899)</w:t>
            </w: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(loss)/income</w:t>
            </w:r>
          </w:p>
        </w:tc>
        <w:tc>
          <w:tcPr>
            <w:tcW w:w="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(62,134)</w:t>
            </w:r>
          </w:p>
        </w:tc>
        <w:tc>
          <w:tcPr>
            <w:tcW w:w="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(65,707)</w:t>
            </w: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$(18,575)</w:t>
            </w: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$(30,203)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7,507</w:t>
            </w:r>
          </w:p>
        </w:tc>
        <w:tc>
          <w:tcPr>
            <w:tcW w:w="9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7"/>
              </w:rPr>
              <w:t>$ (13,081)</w:t>
            </w:r>
          </w:p>
        </w:tc>
        <w:tc>
          <w:tcPr>
            <w:tcW w:w="92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9"/>
              </w:rPr>
              <w:t>$ (82,233)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(3,197)</w:t>
            </w:r>
          </w:p>
        </w:tc>
        <w:tc>
          <w:tcPr>
            <w:tcW w:w="8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w w:val="98"/>
              </w:rPr>
              <w:t>$(12,169)</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Available-for-sale securities (“AFS Securities”)</w:t>
      </w:r>
    </w:p>
    <w:p>
      <w:pPr>
        <w:spacing w:after="0" w:line="121"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During the year ended December 31, 2017, the Company received shares of Pan Ocean Co. Ltd (“STX”) as partial compensation for the claims filed under the Korean court for all unpaid amounts in respect of the employment of the Company’s vessels. The shares were recorded at fair value upon their issuance and subsequent changes in market value are recognized within accumulated other comprehensive income/(loss) or since January 1, 2018, when the Company adopted ASU 2016-01, “Financial Instruments – Overall (Subtopic 825-10) – Recognition and Measurement of Financial Assets and Financial Liabilities”, within consolidated statement of comprehensive (loss)/income.</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shares received from STX were accounted for under the guidance for AFS Securities. The Company has no other types of AFS Securities.</w:t>
      </w:r>
    </w:p>
    <w:p>
      <w:pPr>
        <w:spacing w:after="0" w:line="248"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As of December 31, 2020 and 2019, the carrying amount of the AFS Securities related to STX was $222 and $189, respectively and was included within the caption “Other long-term assets” in the consolidated balance sheets. During the year ended December 31, 2020, the unrealized holding gain related to these AFS Securities included within the caption “Other income” was $33. During the year ended December 31, 2019 and 2018, the unrealized holding loss related to these AFS Securities included within the caption “Other expense” was $3 and $46, respectively.</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10: ACCRUED EXPENSES AND OTHER LIABILITIES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Accrued expenses and other liabilities as of December 31, 2020 and 2019 consisted of the following:</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3120" w:type="dxa"/>
            <w:vAlign w:val="bottom"/>
            <w:tcBorders>
              <w:bottom w:val="single" w:sz="8" w:color="CCEEFF"/>
            </w:tcBorders>
          </w:tcPr>
          <w:p>
            <w:pPr>
              <w:spacing w:after="0"/>
              <w:rPr>
                <w:sz w:val="14"/>
                <w:szCs w:val="14"/>
                <w:color w:val="auto"/>
              </w:rPr>
            </w:pPr>
          </w:p>
        </w:tc>
        <w:tc>
          <w:tcPr>
            <w:tcW w:w="29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4"/>
                <w:szCs w:val="14"/>
                <w:color w:val="auto"/>
              </w:rPr>
            </w:pPr>
          </w:p>
        </w:tc>
      </w:tr>
      <w:tr>
        <w:trPr>
          <w:trHeight w:val="210"/>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Payroll</w:t>
            </w:r>
          </w:p>
        </w:tc>
        <w:tc>
          <w:tcPr>
            <w:tcW w:w="2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6,671</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6,701</w:t>
            </w:r>
          </w:p>
        </w:tc>
        <w:tc>
          <w:tcPr>
            <w:tcW w:w="40" w:type="dxa"/>
            <w:vAlign w:val="bottom"/>
            <w:shd w:val="clear" w:color="auto" w:fill="CCEEFF"/>
          </w:tcPr>
          <w:p>
            <w:pPr>
              <w:spacing w:after="0"/>
              <w:rPr>
                <w:sz w:val="18"/>
                <w:szCs w:val="18"/>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Accrued interest</w:t>
            </w:r>
          </w:p>
        </w:tc>
        <w:tc>
          <w:tcPr>
            <w:tcW w:w="2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55,650</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35,926</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Accrued voyage expenses</w:t>
            </w:r>
          </w:p>
        </w:tc>
        <w:tc>
          <w:tcPr>
            <w:tcW w:w="2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1,344</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Audit fees and related services</w:t>
            </w:r>
          </w:p>
        </w:tc>
        <w:tc>
          <w:tcPr>
            <w:tcW w:w="2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225</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234</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Accrued taxes</w:t>
            </w:r>
          </w:p>
        </w:tc>
        <w:tc>
          <w:tcPr>
            <w:tcW w:w="2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7,911</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8,002</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Professional fees</w:t>
            </w:r>
          </w:p>
        </w:tc>
        <w:tc>
          <w:tcPr>
            <w:tcW w:w="2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470</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317</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Other accrued expenses</w:t>
            </w:r>
          </w:p>
        </w:tc>
        <w:tc>
          <w:tcPr>
            <w:tcW w:w="2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264</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23"/>
        </w:trPr>
        <w:tc>
          <w:tcPr>
            <w:tcW w:w="3120" w:type="dxa"/>
            <w:vAlign w:val="bottom"/>
          </w:tcPr>
          <w:p>
            <w:pPr>
              <w:spacing w:after="0"/>
              <w:rPr>
                <w:sz w:val="20"/>
                <w:szCs w:val="20"/>
                <w:color w:val="auto"/>
              </w:rPr>
            </w:pPr>
            <w:r>
              <w:rPr>
                <w:rFonts w:ascii="Arial" w:cs="Arial" w:eastAsia="Arial" w:hAnsi="Arial"/>
                <w:sz w:val="18"/>
                <w:szCs w:val="18"/>
                <w:b w:val="1"/>
                <w:bCs w:val="1"/>
                <w:color w:val="auto"/>
              </w:rPr>
              <w:t>Total accrued expenses</w:t>
            </w:r>
          </w:p>
        </w:tc>
        <w:tc>
          <w:tcPr>
            <w:tcW w:w="29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72,535</w:t>
            </w:r>
          </w:p>
        </w:tc>
        <w:tc>
          <w:tcPr>
            <w:tcW w:w="5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51,180</w:t>
            </w:r>
          </w:p>
        </w:tc>
        <w:tc>
          <w:tcPr>
            <w:tcW w:w="40" w:type="dxa"/>
            <w:vAlign w:val="bottom"/>
          </w:tcPr>
          <w:p>
            <w:pPr>
              <w:spacing w:after="0"/>
              <w:rPr>
                <w:sz w:val="19"/>
                <w:szCs w:val="19"/>
                <w:color w:val="auto"/>
              </w:rPr>
            </w:pPr>
          </w:p>
        </w:tc>
      </w:tr>
      <w:tr>
        <w:trPr>
          <w:trHeight w:val="20"/>
        </w:trPr>
        <w:tc>
          <w:tcPr>
            <w:tcW w:w="31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9"/>
        </w:trPr>
        <w:tc>
          <w:tcPr>
            <w:tcW w:w="3120" w:type="dxa"/>
            <w:vAlign w:val="bottom"/>
          </w:tcPr>
          <w:p>
            <w:pPr>
              <w:spacing w:after="0"/>
              <w:rPr>
                <w:sz w:val="24"/>
                <w:szCs w:val="24"/>
                <w:color w:val="auto"/>
              </w:rPr>
            </w:pPr>
          </w:p>
        </w:tc>
        <w:tc>
          <w:tcPr>
            <w:tcW w:w="3120" w:type="dxa"/>
            <w:vAlign w:val="bottom"/>
            <w:gridSpan w:val="2"/>
          </w:tcPr>
          <w:p>
            <w:pPr>
              <w:ind w:left="900"/>
              <w:spacing w:after="0"/>
              <w:rPr>
                <w:sz w:val="20"/>
                <w:szCs w:val="20"/>
                <w:color w:val="auto"/>
              </w:rPr>
            </w:pPr>
            <w:r>
              <w:rPr>
                <w:rFonts w:ascii="Arial" w:cs="Arial" w:eastAsia="Arial" w:hAnsi="Arial"/>
                <w:sz w:val="18"/>
                <w:szCs w:val="18"/>
                <w:color w:val="auto"/>
              </w:rPr>
              <w:t>F-45</w:t>
            </w: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NAVIOS MARITIME HOLDINGS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(Expressed in thousands of U.S. dollars — except share data)</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11: BORROWINGS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Borrowings as of December 31, 2020 and 2019 consisted of the following:</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0"/>
              </w:rPr>
              <w:t>December 31,</w:t>
            </w:r>
          </w:p>
        </w:tc>
        <w:tc>
          <w:tcPr>
            <w:tcW w:w="60" w:type="dxa"/>
            <w:vAlign w:val="bottom"/>
          </w:tcPr>
          <w:p>
            <w:pPr>
              <w:spacing w:after="0"/>
              <w:rPr>
                <w:sz w:val="14"/>
                <w:szCs w:val="14"/>
                <w:color w:val="auto"/>
              </w:rPr>
            </w:pPr>
          </w:p>
        </w:tc>
        <w:tc>
          <w:tcPr>
            <w:tcW w:w="880" w:type="dxa"/>
            <w:vAlign w:val="bottom"/>
            <w:gridSpan w:val="4"/>
          </w:tcPr>
          <w:p>
            <w:pPr>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61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Navios Holdings borrowings</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r>
      <w:tr>
        <w:trPr>
          <w:trHeight w:val="209"/>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Loan Facility HCOB ($15,300)</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9,945</w:t>
            </w: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11,475</w:t>
            </w:r>
          </w:p>
        </w:tc>
        <w:tc>
          <w:tcPr>
            <w:tcW w:w="40" w:type="dxa"/>
            <w:vAlign w:val="bottom"/>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Loan Facility Credit Agricole ($23,000)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5"/>
          </w:tcPr>
          <w:p>
            <w:pPr>
              <w:jc w:val="right"/>
              <w:ind w:right="320"/>
              <w:spacing w:after="0"/>
              <w:rPr>
                <w:sz w:val="20"/>
                <w:szCs w:val="20"/>
                <w:color w:val="auto"/>
              </w:rPr>
            </w:pPr>
            <w:r>
              <w:rPr>
                <w:rFonts w:ascii="Arial" w:cs="Arial" w:eastAsia="Arial" w:hAnsi="Arial"/>
                <w:sz w:val="18"/>
                <w:szCs w:val="18"/>
                <w:color w:val="auto"/>
              </w:rPr>
              <w:t>11,100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12,600</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Loan Facility Credit Agricole ($23,000)</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320"/>
              <w:spacing w:after="0"/>
              <w:rPr>
                <w:sz w:val="20"/>
                <w:szCs w:val="20"/>
                <w:color w:val="auto"/>
              </w:rPr>
            </w:pPr>
            <w:r>
              <w:rPr>
                <w:rFonts w:ascii="Arial" w:cs="Arial" w:eastAsia="Arial" w:hAnsi="Arial"/>
                <w:sz w:val="18"/>
                <w:szCs w:val="18"/>
                <w:color w:val="auto"/>
              </w:rPr>
              <w:t>11,400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12,900</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Loan Facility DVB Bank SE ($72,000)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5"/>
          </w:tcPr>
          <w:p>
            <w:pPr>
              <w:jc w:val="right"/>
              <w:ind w:right="320"/>
              <w:spacing w:after="0"/>
              <w:rPr>
                <w:sz w:val="20"/>
                <w:szCs w:val="20"/>
                <w:color w:val="auto"/>
              </w:rPr>
            </w:pPr>
            <w:r>
              <w:rPr>
                <w:rFonts w:ascii="Arial" w:cs="Arial" w:eastAsia="Arial" w:hAnsi="Arial"/>
                <w:sz w:val="18"/>
                <w:szCs w:val="18"/>
                <w:color w:val="auto"/>
              </w:rPr>
              <w:t>4,504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41,073</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Loan Facility DVB Bank SE ($40,000)</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5,556</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Loan Facility Alpha Bank ($31,000)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5"/>
          </w:tcPr>
          <w:p>
            <w:pPr>
              <w:jc w:val="right"/>
              <w:ind w:right="320"/>
              <w:spacing w:after="0"/>
              <w:rPr>
                <w:sz w:val="20"/>
                <w:szCs w:val="20"/>
                <w:color w:val="auto"/>
              </w:rPr>
            </w:pPr>
            <w:r>
              <w:rPr>
                <w:rFonts w:ascii="Arial" w:cs="Arial" w:eastAsia="Arial" w:hAnsi="Arial"/>
                <w:sz w:val="18"/>
                <w:szCs w:val="18"/>
                <w:color w:val="auto"/>
              </w:rPr>
              <w:t>20,200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22,000</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Loan Facility Alpha Bank ($16,125)</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320"/>
              <w:spacing w:after="0"/>
              <w:rPr>
                <w:sz w:val="20"/>
                <w:szCs w:val="20"/>
                <w:color w:val="auto"/>
              </w:rPr>
            </w:pPr>
            <w:r>
              <w:rPr>
                <w:rFonts w:ascii="Arial" w:cs="Arial" w:eastAsia="Arial" w:hAnsi="Arial"/>
                <w:sz w:val="18"/>
                <w:szCs w:val="18"/>
                <w:color w:val="auto"/>
              </w:rPr>
              <w:t>12,925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14,025</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Sale and Leaseback Agreements</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5"/>
          </w:tcPr>
          <w:p>
            <w:pPr>
              <w:jc w:val="right"/>
              <w:ind w:right="320"/>
              <w:spacing w:after="0"/>
              <w:rPr>
                <w:sz w:val="20"/>
                <w:szCs w:val="20"/>
                <w:color w:val="auto"/>
              </w:rPr>
            </w:pPr>
            <w:r>
              <w:rPr>
                <w:rFonts w:ascii="Arial" w:cs="Arial" w:eastAsia="Arial" w:hAnsi="Arial"/>
                <w:sz w:val="18"/>
                <w:szCs w:val="18"/>
                <w:color w:val="auto"/>
              </w:rPr>
              <w:t>62,934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2022 Senior Secured Notes</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320"/>
              <w:spacing w:after="0"/>
              <w:rPr>
                <w:sz w:val="20"/>
                <w:szCs w:val="20"/>
                <w:color w:val="auto"/>
              </w:rPr>
            </w:pPr>
            <w:r>
              <w:rPr>
                <w:rFonts w:ascii="Arial" w:cs="Arial" w:eastAsia="Arial" w:hAnsi="Arial"/>
                <w:sz w:val="18"/>
                <w:szCs w:val="18"/>
                <w:color w:val="auto"/>
              </w:rPr>
              <w:t>305,000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305,000</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2022 Notes</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5"/>
          </w:tcPr>
          <w:p>
            <w:pPr>
              <w:jc w:val="right"/>
              <w:ind w:right="320"/>
              <w:spacing w:after="0"/>
              <w:rPr>
                <w:sz w:val="20"/>
                <w:szCs w:val="20"/>
                <w:color w:val="auto"/>
              </w:rPr>
            </w:pPr>
            <w:r>
              <w:rPr>
                <w:rFonts w:ascii="Arial" w:cs="Arial" w:eastAsia="Arial" w:hAnsi="Arial"/>
                <w:sz w:val="18"/>
                <w:szCs w:val="18"/>
                <w:color w:val="auto"/>
              </w:rPr>
              <w:t>476,822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497,604</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2024 Notes</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320"/>
              <w:spacing w:after="0"/>
              <w:rPr>
                <w:sz w:val="20"/>
                <w:szCs w:val="20"/>
                <w:color w:val="auto"/>
              </w:rPr>
            </w:pPr>
            <w:r>
              <w:rPr>
                <w:rFonts w:ascii="Arial" w:cs="Arial" w:eastAsia="Arial" w:hAnsi="Arial"/>
                <w:sz w:val="18"/>
                <w:szCs w:val="18"/>
                <w:color w:val="auto"/>
              </w:rPr>
              <w:t>8,626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8,626</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NSM Loan (including accrued interest of $526 and $2,163, respectively)</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5"/>
          </w:tcPr>
          <w:p>
            <w:pPr>
              <w:jc w:val="right"/>
              <w:ind w:right="320"/>
              <w:spacing w:after="0"/>
              <w:rPr>
                <w:sz w:val="20"/>
                <w:szCs w:val="20"/>
                <w:color w:val="auto"/>
              </w:rPr>
            </w:pPr>
            <w:r>
              <w:rPr>
                <w:rFonts w:ascii="Arial" w:cs="Arial" w:eastAsia="Arial" w:hAnsi="Arial"/>
                <w:sz w:val="18"/>
                <w:szCs w:val="18"/>
                <w:color w:val="auto"/>
              </w:rPr>
              <w:t>78,901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130,538</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w w:val="95"/>
              </w:rPr>
              <w:t>$50.0 million NSM Loan (including accrued interest of $326 and $0, respectively)</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320"/>
              <w:spacing w:after="0"/>
              <w:rPr>
                <w:sz w:val="20"/>
                <w:szCs w:val="20"/>
                <w:color w:val="auto"/>
              </w:rPr>
            </w:pPr>
            <w:r>
              <w:rPr>
                <w:rFonts w:ascii="Arial" w:cs="Arial" w:eastAsia="Arial" w:hAnsi="Arial"/>
                <w:sz w:val="18"/>
                <w:szCs w:val="18"/>
                <w:color w:val="auto"/>
              </w:rPr>
              <w:t>50,326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6180" w:type="dxa"/>
            <w:vAlign w:val="bottom"/>
          </w:tcPr>
          <w:p>
            <w:pPr>
              <w:spacing w:after="0"/>
              <w:rPr>
                <w:sz w:val="20"/>
                <w:szCs w:val="20"/>
                <w:color w:val="auto"/>
              </w:rPr>
            </w:pPr>
            <w:r>
              <w:rPr>
                <w:rFonts w:ascii="Arial" w:cs="Arial" w:eastAsia="Arial" w:hAnsi="Arial"/>
                <w:sz w:val="18"/>
                <w:szCs w:val="18"/>
                <w:b w:val="1"/>
                <w:bCs w:val="1"/>
                <w:color w:val="auto"/>
              </w:rPr>
              <w:t>Total Navios Holdings borrowings</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86"/>
              </w:rPr>
              <w:t>$ 1,052,683</w:t>
            </w: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6"/>
              </w:rPr>
              <w:t>$ 1,061,397</w:t>
            </w:r>
          </w:p>
        </w:tc>
        <w:tc>
          <w:tcPr>
            <w:tcW w:w="40" w:type="dxa"/>
            <w:vAlign w:val="bottom"/>
          </w:tcPr>
          <w:p>
            <w:pPr>
              <w:spacing w:after="0"/>
              <w:rPr>
                <w:sz w:val="19"/>
                <w:szCs w:val="19"/>
                <w:color w:val="auto"/>
              </w:rPr>
            </w:pPr>
          </w:p>
        </w:tc>
      </w:tr>
      <w:tr>
        <w:trPr>
          <w:trHeight w:val="20"/>
        </w:trPr>
        <w:tc>
          <w:tcPr>
            <w:tcW w:w="6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63"/>
        </w:trPr>
        <w:tc>
          <w:tcPr>
            <w:tcW w:w="6180" w:type="dxa"/>
            <w:vAlign w:val="bottom"/>
          </w:tcPr>
          <w:p>
            <w:pPr>
              <w:spacing w:after="0"/>
              <w:rPr>
                <w:sz w:val="24"/>
                <w:szCs w:val="24"/>
                <w:color w:val="auto"/>
              </w:rPr>
            </w:pPr>
          </w:p>
        </w:tc>
        <w:tc>
          <w:tcPr>
            <w:tcW w:w="1240" w:type="dxa"/>
            <w:vAlign w:val="bottom"/>
            <w:gridSpan w:val="8"/>
          </w:tcPr>
          <w:p>
            <w:pPr>
              <w:spacing w:after="0"/>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24"/>
                <w:szCs w:val="24"/>
                <w:color w:val="auto"/>
              </w:rPr>
            </w:pPr>
          </w:p>
        </w:tc>
        <w:tc>
          <w:tcPr>
            <w:tcW w:w="880" w:type="dxa"/>
            <w:vAlign w:val="bottom"/>
            <w:gridSpan w:val="4"/>
          </w:tcPr>
          <w:p>
            <w:pPr>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61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Navios Logistics borrowings</w:t>
            </w: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r>
      <w:tr>
        <w:trPr>
          <w:trHeight w:val="209"/>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2022 Logistics Senior Notes</w:t>
            </w:r>
          </w:p>
        </w:tc>
        <w:tc>
          <w:tcPr>
            <w:tcW w:w="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gridSpan w:val="2"/>
            <w:shd w:val="clear" w:color="auto" w:fill="CCEEFF"/>
          </w:tcPr>
          <w:p>
            <w:pPr>
              <w:spacing w:after="0"/>
              <w:rPr>
                <w:sz w:val="18"/>
                <w:szCs w:val="18"/>
                <w:color w:val="auto"/>
              </w:rPr>
            </w:pPr>
          </w:p>
        </w:tc>
        <w:tc>
          <w:tcPr>
            <w:tcW w:w="34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375,000</w:t>
            </w:r>
          </w:p>
        </w:tc>
        <w:tc>
          <w:tcPr>
            <w:tcW w:w="40" w:type="dxa"/>
            <w:vAlign w:val="bottom"/>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2025 Logistics Senior Notes</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500,000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Navios Logistics Notes Payable</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17,842</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22,469</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Navios Logistics BBVA Loan Facility</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5"/>
          </w:tcPr>
          <w:p>
            <w:pPr>
              <w:jc w:val="right"/>
              <w:ind w:right="5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14,275</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Navios Logistics New BBVA Loan Facility</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22,000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Navios Logistics Alpha Bank Loan</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9,100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10,500</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Navios Logistics Term Loan B Facility</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98,000</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Seller’s Credit Agreement for the construction of six liquid barges</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11,047</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loans</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115</w:t>
            </w:r>
          </w:p>
        </w:tc>
      </w:tr>
      <w:tr>
        <w:trPr>
          <w:trHeight w:val="223"/>
        </w:trPr>
        <w:tc>
          <w:tcPr>
            <w:tcW w:w="6180" w:type="dxa"/>
            <w:vAlign w:val="bottom"/>
          </w:tcPr>
          <w:p>
            <w:pPr>
              <w:spacing w:after="0"/>
              <w:rPr>
                <w:sz w:val="20"/>
                <w:szCs w:val="20"/>
                <w:color w:val="auto"/>
              </w:rPr>
            </w:pPr>
            <w:r>
              <w:rPr>
                <w:rFonts w:ascii="Arial" w:cs="Arial" w:eastAsia="Arial" w:hAnsi="Arial"/>
                <w:sz w:val="18"/>
                <w:szCs w:val="18"/>
                <w:b w:val="1"/>
                <w:bCs w:val="1"/>
                <w:color w:val="auto"/>
              </w:rPr>
              <w:t>Total Navios Logistics borrowings</w:t>
            </w:r>
          </w:p>
        </w:tc>
        <w:tc>
          <w:tcPr>
            <w:tcW w:w="18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560,035</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520,359</w:t>
            </w:r>
          </w:p>
        </w:tc>
        <w:tc>
          <w:tcPr>
            <w:tcW w:w="40" w:type="dxa"/>
            <w:vAlign w:val="bottom"/>
          </w:tcPr>
          <w:p>
            <w:pPr>
              <w:spacing w:after="0"/>
              <w:rPr>
                <w:sz w:val="19"/>
                <w:szCs w:val="19"/>
                <w:color w:val="auto"/>
              </w:rPr>
            </w:pPr>
          </w:p>
        </w:tc>
      </w:tr>
      <w:tr>
        <w:trPr>
          <w:trHeight w:val="20"/>
        </w:trPr>
        <w:tc>
          <w:tcPr>
            <w:tcW w:w="6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63"/>
        </w:trPr>
        <w:tc>
          <w:tcPr>
            <w:tcW w:w="6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gridSpan w:val="7"/>
          </w:tcPr>
          <w:p>
            <w:pPr>
              <w:jc w:val="right"/>
              <w:ind w:right="340"/>
              <w:spacing w:after="0"/>
              <w:rPr>
                <w:sz w:val="20"/>
                <w:szCs w:val="20"/>
                <w:color w:val="auto"/>
              </w:rPr>
            </w:pPr>
            <w:r>
              <w:rPr>
                <w:rFonts w:ascii="Arial" w:cs="Arial" w:eastAsia="Arial" w:hAnsi="Arial"/>
                <w:sz w:val="14"/>
                <w:szCs w:val="14"/>
                <w:b w:val="1"/>
                <w:bCs w:val="1"/>
                <w:color w:val="auto"/>
                <w:w w:val="90"/>
              </w:rPr>
              <w:t>December 31,</w:t>
            </w:r>
          </w:p>
        </w:tc>
        <w:tc>
          <w:tcPr>
            <w:tcW w:w="940" w:type="dxa"/>
            <w:vAlign w:val="bottom"/>
            <w:gridSpan w:val="5"/>
          </w:tcPr>
          <w:p>
            <w:pPr>
              <w:jc w:val="right"/>
              <w:ind w:right="100"/>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61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Total</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Total borrowings</w:t>
            </w:r>
          </w:p>
        </w:tc>
        <w:tc>
          <w:tcPr>
            <w:tcW w:w="6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86"/>
              </w:rPr>
              <w:t>$ 1,612,718</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$ 1,581,756</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Less: current portion, net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5"/>
          </w:tcPr>
          <w:p>
            <w:pPr>
              <w:jc w:val="right"/>
              <w:ind w:right="280"/>
              <w:spacing w:after="0"/>
              <w:rPr>
                <w:sz w:val="20"/>
                <w:szCs w:val="20"/>
                <w:color w:val="auto"/>
              </w:rPr>
            </w:pPr>
            <w:r>
              <w:rPr>
                <w:rFonts w:ascii="Arial" w:cs="Arial" w:eastAsia="Arial" w:hAnsi="Arial"/>
                <w:sz w:val="18"/>
                <w:szCs w:val="18"/>
                <w:color w:val="auto"/>
                <w:w w:val="98"/>
              </w:rPr>
              <w:t>(374,191)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(50,110)</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Less: deferred finance costs and discount, net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(28,289)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(18,509)</w:t>
            </w:r>
          </w:p>
        </w:tc>
      </w:tr>
      <w:tr>
        <w:trPr>
          <w:trHeight w:val="223"/>
        </w:trPr>
        <w:tc>
          <w:tcPr>
            <w:tcW w:w="6180" w:type="dxa"/>
            <w:vAlign w:val="bottom"/>
          </w:tcPr>
          <w:p>
            <w:pPr>
              <w:spacing w:after="0"/>
              <w:rPr>
                <w:sz w:val="20"/>
                <w:szCs w:val="20"/>
                <w:color w:val="auto"/>
              </w:rPr>
            </w:pPr>
            <w:r>
              <w:rPr>
                <w:rFonts w:ascii="Arial" w:cs="Arial" w:eastAsia="Arial" w:hAnsi="Arial"/>
                <w:sz w:val="18"/>
                <w:szCs w:val="18"/>
                <w:b w:val="1"/>
                <w:bCs w:val="1"/>
                <w:color w:val="auto"/>
              </w:rPr>
              <w:t>Total long-term borrowings</w:t>
            </w:r>
          </w:p>
        </w:tc>
        <w:tc>
          <w:tcPr>
            <w:tcW w:w="60" w:type="dxa"/>
            <w:vAlign w:val="bottom"/>
          </w:tcPr>
          <w:p>
            <w:pPr>
              <w:spacing w:after="0"/>
              <w:rPr>
                <w:sz w:val="19"/>
                <w:szCs w:val="19"/>
                <w:color w:val="auto"/>
              </w:rPr>
            </w:pPr>
          </w:p>
        </w:tc>
        <w:tc>
          <w:tcPr>
            <w:tcW w:w="84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86"/>
              </w:rPr>
              <w:t>$ 1,210,238</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6"/>
              </w:rPr>
              <w:t>$ 1,513,137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6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Navios Holdings Debt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2022 Senior Secured Notes</w:t>
      </w:r>
    </w:p>
    <w:p>
      <w:pPr>
        <w:spacing w:after="0" w:line="11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On November 21, 2017, the Company and its wholly owned subsidiary, Navios Maritime Finance II (US) Inc. (together with the Company, the “Co-Issuers”) issued $305,000 of the 2022 Senior Secured Notes, at a price of 97%.</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2022 Senior Secured Notes are secured by a first priority lien on certain capital stock owned by certain of the subsidiary guarantors of Navios Holdings in each of Navios GP L.L.C., Navios Maritime Acquisition Corporation, Navios South American Logistics Inc. and Navios Partners (following the merger of Navios Containers with Navios Partners), as well as by the vessel Navios Azimuth. The 2022 Senior Secured Notes are unregistered and guaranteed by all of the Company’s direct and indirect subsidiaries, except for certain subsidiaries designated as unrestricted subsidiaries, including Navios Logistics.</w:t>
      </w:r>
    </w:p>
    <w:p>
      <w:pPr>
        <w:spacing w:after="0" w:line="188" w:lineRule="exact"/>
        <w:rPr>
          <w:sz w:val="20"/>
          <w:szCs w:val="20"/>
          <w:color w:val="auto"/>
        </w:rPr>
      </w:pPr>
    </w:p>
    <w:p>
      <w:pPr>
        <w:ind w:left="120" w:right="280" w:firstLine="440"/>
        <w:spacing w:after="0" w:line="279" w:lineRule="auto"/>
        <w:rPr>
          <w:sz w:val="20"/>
          <w:szCs w:val="20"/>
          <w:color w:val="auto"/>
        </w:rPr>
      </w:pPr>
      <w:r>
        <w:rPr>
          <w:rFonts w:ascii="Arial" w:cs="Arial" w:eastAsia="Arial" w:hAnsi="Arial"/>
          <w:sz w:val="17"/>
          <w:szCs w:val="17"/>
          <w:color w:val="auto"/>
        </w:rPr>
        <w:t>The subsidiary guarantees are “full and unconditional”, except that the indenture provides for an individual subsidiary’s guarantee to be automatically released in certain customary circumstances, such as when a subsidiary is sold or all of the assets of the subsidiary are sold, the capital stock is sold, when the subsidiary is designated as an “unrestricted subsidiary” for purposes of the indenture, upon liquidation or dissolution of the subsidiary or upon legal or covenant defeasance or satisfaction and discharge of the 2022 Senior Secured Notes.</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080"/>
          </w:cols>
          <w:pgMar w:left="320" w:top="459" w:right="49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NAVIOS MARITIME HOLDINGS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(Expressed in thousands of U.S. dollars — except share data)</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Co-Issuers have the option to redeem the 2022 Senior Secured Notes in whole or in part, at any time at par.</w:t>
      </w:r>
    </w:p>
    <w:p>
      <w:pPr>
        <w:spacing w:after="0" w:line="225"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Upon occurrence of certain change of control events, the holders of the 2022 Senior Secured Notes may require the Co-Issuers to repurchase some or all of the 2022 Senior Secured Notes at 101% of their face amount. The 2022 Senior Secured Notes contain covenants which, among other things, limit the incurrence of additional indebtedness, issuance of certain preferred stock, the payment of dividends, redemption or repurchase of capital stock or making restricted payments and investments, creation of certain liens, transfer or sale of assets, entering in transactions with affiliate companies, merging or consolidating or selling all or substantially all of the Co-Issuers’ properties and assets and creation or designation of restricted subsidiaries. The indenture governing the 2022 Senior Secured Notes includes customary events of default. The Co-Issuers were in compliance with the covenants as of December 31, 2020.</w:t>
      </w:r>
    </w:p>
    <w:p>
      <w:pPr>
        <w:spacing w:after="0" w:line="195"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Under the terms of the 2022 Senior Secured Notes, Navios Holdings had an obligation to make a springing maturity offer in September 2021 to repurchase those notes at par unless certain conditions relating to the refinancing of our 2022 Notes are met.</w:t>
      </w:r>
    </w:p>
    <w:p>
      <w:pPr>
        <w:spacing w:after="0" w:line="170"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On October 1, 2020, Navios Holdings entered into (1) the Sixth Supplemental Indenture to amend the terms of the indenture and related pledge agreements governing the 2022 Senior Secured Notes following its receipt of consents from bondholders representing a majority in aggregate principal amount (the “Consenting Noteholders”) of the 2022 Senior Secured Notes and (2) a consent agreement with the Consenting Noteholders (“Consent Agreement”) whereby the Consenting Noteholders agreed, subject to the satisfaction of certain conditions in the Consent Agreement, to provide their consents, as part of a consent solicitation to be made by the Company on or before the earlier of (i) 60 days following the consummation of a Qualified IPO (as defined in the Sixth Supplemental Indenture) of Navios Logistics or (ii) September 5, 2021, to the amendments contained in the form of supplemental indenture (“Form of Supermajority Supplemental Indenture”) which amendments require consent from 66 2/3% of the outstanding 2022 Senior Secured Notes affected.</w:t>
      </w:r>
    </w:p>
    <w:p>
      <w:pPr>
        <w:spacing w:after="0" w:line="192"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The Sixth Supplemental Indenture, among other things, (i) clarifies that all past dividends paid in respect of equity pledged as collateral for the 2022 Senior Secured Notes and any future dividends paid in respect of equity pledged as collateral (other than equity of Navios Logistics) can be used by the Company for general corporate purposes, absent a Default or Event of Default, (ii) provides that future dividends paid in respect of equity of Navios Logistics pledged as collateral for the 2022 Senior Secured Notes may be used only to redeem or repurchase 2022 Senior Secured Notes (including, absent a Default or an Event of Default, at a discount to par), (iii) eliminates the Company’s obligation to make a springing maturity offer for the 2022 Senior Secured Notes; and (iv) states, for the avoidance of doubt, that the Company may agree to the cancellation of amounts it owes to Navios Logistics under that certain loan agreement dated as of April 25, 2019 (as amended) in lieu of the receipt of pro rata cash dividends from Navios Logistics. The Sixth Supplemental Indenture became effective upon its execution by the Company and the Trustee, but the amendments and waivers contained therein will become operative only upon the occurrence of a Qualified IPO of Navios Logistics.</w:t>
      </w:r>
    </w:p>
    <w:p>
      <w:pPr>
        <w:spacing w:after="0" w:line="166"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The Form of Supermajority Supplemental Indenture would further amend the Indenture to permit the Company to use the net proceeds it receives from any sale of Navios Logistics equity in connection with or following a Qualified IPO of Navios Logistics to repurchase 2022 Senior Secured Notes at a discount to par in certain circumstances.</w:t>
      </w:r>
    </w:p>
    <w:p>
      <w:pPr>
        <w:spacing w:after="0" w:line="184"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There can be no assurance that the Company will receive the additional consents necessary to cause the amendments contemplated by the Form of Supermajority Supplemental Indenture to become effective.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2022 Notes</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On November 29, 2013, the Co-Issuers completed the sale of $650,000 of the 2022 Notes. During 2018, the Company repurchased $35,661 in par value of the 2022 Notes for a cash consideration of $28,796 resulting in a gain on bond extinguishment of $6,464, net of deferred financing costs written-off. During 2019, Navios Logistics repurchased $35,500 in par value of the 2022 Notes in open market transactions for a cash consideration of $17,642. During 2019, the Company repurchased $81,235 in par value of the 2022 Notes for a cash consideration of $50,683. These transactions resulted in a gain on bond extinguishment of $47,430, net of deferred financing costs written-off. (Refer to Note 16, “Secured credit facility with Navios Logistics”). During 2020, the Company repurchased $20,782 in par value of the 2022 Notes for a cash consideration of $9,443 resulting in a gain on bond extinguishment of $11,204, net of deferred financing costs written-off.</w:t>
      </w:r>
    </w:p>
    <w:p>
      <w:pPr>
        <w:spacing w:after="0" w:line="17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The 2022 Notes are senior obligations of the Co-Issuers and were originally secured by first priority ship mortgages on 23 dry bulk vessels owned by certain subsidiary guarantors and certain other associated property and contract rights. In June 2017, Navios Ionian and Navios Horizon were released from the 2022 Notes and replaced by the Navios Galileo. In March 2018, Navios Herakles was released from the 2022 Notes and replaced by the Navios Equator Prosper. In July 2018, Navios Achilles was released from the 2022 Notes and replaced by the Navios Primavera. In December 2018 and in March 2019, Navios Magellan and Navios Meridian, respectively, were released from the 2022 Notes and the total proceeds of $14,000 were restricted in an escrow account and considered as a cash collateral. In May 2019 and June 2019, Navios Equator Prosper, Navios Vector and the cash collaterals held in escrow</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100"/>
          </w:cols>
          <w:pgMar w:left="320" w:top="459" w:right="47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NAVIOS MARITIME HOLDINGS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(Expressed in thousands of U.S. dollars — except share data)</w:t>
      </w:r>
    </w:p>
    <w:p>
      <w:pPr>
        <w:spacing w:after="0" w:line="143"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accounts were released from the 2022 Notes and replaced by the N Bonanza and N Amalthia and the total proceeds of $7,410 were restricted in an escrow account and considered as cash collateral. In July 2019 and August 2019, Navios Arc and Navios Mercator, respectively, were released from the 2022 Notes. In August 2019, the cash collateral held in escrow accounts were released from the 2022 Notes and replaced by Navios Victory. In September 2019, Navios Primavera was released from the 2022 Notes and the total proceeds of $10,129 were restricted in escrow accounts and considered as cash collateral. In November 2019, Navios Victory and the cash collateral held in escrow accounts were released and replaced by Navios Northern Star, Navios Taurus and Navios Serenity. During the first half of 2020, Navios Hios, Navios Kypros and Navios Star were released from the 2022 Notes and were replaced by Navios Amitie, Jupiter N and $358 of cash collateral retained as trust monies in an escrow account. In August 2020 and September 2020, Navios Northern Star and Navios Amitie were released from the 2022 Notes, respectively, and were replaced by $15,251 of cash collateral retained as trust monies in an escrow account. In January 2021, Navios Asteriks and part of the cash collateral of $14,250 held in escrow accounts were released and replaced by Navios Bonheur. In April 2021, Navios Serenity and the remaining cash collateral held in escrow accounts were released and replaced by Navios Asteriks. Currently, the 2022 Notes are secured by 17 drybulk vessels. The 2022 Notes are unregistered and fully and unconditionally guaranteed, jointly and severally by all of the Company’s direct and indirect subsidiaries, other than Navios Maritime Finance (US) Inc., Navios Logistics and its subsidiaries and Navios GP L.L.C.</w:t>
      </w:r>
    </w:p>
    <w:p>
      <w:pPr>
        <w:spacing w:after="0" w:line="186"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guarantees of the Company’s subsidiaries that own mortgaged vessels are senior secured guarantees and the guarantees of the Company’s subsidiaries that do not own mortgaged vessels are senior unsecured guarantees. In addition, the Co-Issuers have the option to redeem the 2022 Notes in whole or in part at par.</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Upon occurrence of certain change of control events, the holders of the 2022 Notes may require the Co-Issuers to repurchase some or all of the</w:t>
      </w:r>
    </w:p>
    <w:p>
      <w:pPr>
        <w:spacing w:after="0" w:line="46" w:lineRule="exact"/>
        <w:rPr>
          <w:sz w:val="20"/>
          <w:szCs w:val="20"/>
          <w:color w:val="auto"/>
        </w:rPr>
      </w:pPr>
    </w:p>
    <w:p>
      <w:pPr>
        <w:ind w:left="120" w:right="20"/>
        <w:spacing w:after="0" w:line="292" w:lineRule="auto"/>
        <w:rPr>
          <w:sz w:val="20"/>
          <w:szCs w:val="20"/>
          <w:color w:val="auto"/>
        </w:rPr>
      </w:pPr>
      <w:r>
        <w:rPr>
          <w:rFonts w:ascii="Arial" w:cs="Arial" w:eastAsia="Arial" w:hAnsi="Arial"/>
          <w:sz w:val="16"/>
          <w:szCs w:val="16"/>
          <w:color w:val="auto"/>
        </w:rPr>
        <w:t>2022 Notes at 101% of their face amount. The 2022 Notes contain covenants, which among other things, limit the incurrence of additional indebtedness, issuance of certain preferred stock, the payment of dividends, redemption or repurchase of capital stock or making restricted payments and investments, creation of certain liens, transfer or sale of assets, entering into certain transactions with affiliate companies, merging or consolidating or selling all or substantially all of the Co-Issuers’ properties and assets and creation or designation of restricted subsidiaries. The indenture governing the 2022 Notes includes customary events of default. The Co-Issuers were in compliance with the covenants as of December 31, 2020.</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2024 </w:t>
      </w:r>
      <w:r>
        <w:rPr>
          <w:rFonts w:ascii="Arial" w:cs="Arial" w:eastAsia="Arial" w:hAnsi="Arial"/>
          <w:sz w:val="18"/>
          <w:szCs w:val="18"/>
          <w:i w:val="1"/>
          <w:iCs w:val="1"/>
          <w:color w:val="auto"/>
        </w:rPr>
        <w:t>Notes</w:t>
      </w:r>
    </w:p>
    <w:p>
      <w:pPr>
        <w:spacing w:after="0" w:line="117"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On March 21, 2019, Navios Holdings issued $4,747 of 9.75% Senior Notes due 2024 (the “2024 Notes”) as an exchange for a total of 10,930 Series H shares which were validly tendered as of that date (Refer to Note 17).</w:t>
      </w:r>
    </w:p>
    <w:p>
      <w:pPr>
        <w:spacing w:after="0" w:line="170"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On April 21, 2019, Navios Holdings issued $3,879 of the 2024 Notes as an exchange for a total of 8,841 Series G shares which were validly tendered as of that date. (Refer to Note 17).</w:t>
      </w:r>
    </w:p>
    <w:p>
      <w:pPr>
        <w:spacing w:after="0" w:line="170"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The 2024 Notes are Navios Holdings’ senior unsecured general obligations and rank senior in right of payment to any of Navios Holding’s existing and future debt that expressly provides that it is subordinated to the 2024 Notes, pari passu in right of payment with all of Navios Holding’s existing and future senior obligations, structurally subordinated in right of payment to the obligations of Navios Holding’s subsidiaries, and effectively subordinated in right of payment to any existing and future obligations of Navios Holdings that are secured by property or assets that do not secure the 2024 Notes, including the 2022 Senior Secured Notes and the 2022 Notes, to the extent of the value of any such property and assets securing such other obligations. The 2024 Notes are not guaranteed by any of Navios Holdings’ subsidiaries.</w:t>
      </w:r>
    </w:p>
    <w:p>
      <w:pPr>
        <w:spacing w:after="0" w:line="178"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The indenture governing the 2024 Notes does not contain restrictive covenants but does include customary events of default. Navios Holdings has the option to redeem the 2024 Notes, in whole or in part, at any time, at a redemption price equal to 100% of the principal amount of the 2024 Notes to be redeemed, plus accrued interest.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Secured Credit Facilities</w:t>
      </w:r>
    </w:p>
    <w:p>
      <w:pPr>
        <w:spacing w:after="0" w:line="121"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i w:val="1"/>
          <w:iCs w:val="1"/>
          <w:color w:val="auto"/>
        </w:rPr>
        <w:t xml:space="preserve">Credit Agricole (formerly Emporiki) Facilities: </w:t>
      </w:r>
      <w:r>
        <w:rPr>
          <w:rFonts w:ascii="Arial" w:cs="Arial" w:eastAsia="Arial" w:hAnsi="Arial"/>
          <w:sz w:val="18"/>
          <w:szCs w:val="18"/>
          <w:color w:val="auto"/>
        </w:rPr>
        <w:t>In December 2012, the Emporiki Bank of Greece’s facilities were transferred to Credit Agricole</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and Investment Bank.</w:t>
      </w:r>
    </w:p>
    <w:p>
      <w:pPr>
        <w:spacing w:after="0" w:line="170"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In September 2010, Navios Holdings entered into a facility agreement with Emporiki Bank of Greece for an amount of up to $40,000 in order to partially finance the construction of one newbuilding Capesize vessel. In December 2017, the Company agreed to extend the last payment date to August 2021. The loan bore interest at a rate of LIBOR plus 275 basis points. The loan facility required compliance with certain financial covenants. As of December 31, 2018 the facility was refinanced and repaid in full and there was no outstanding amount.</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120"/>
          </w:cols>
          <w:pgMar w:left="320" w:top="459" w:right="45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NAVIOS MARITIME HOLDINGS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(Expressed in thousands of U.S. dollars — except share data)</w:t>
      </w:r>
    </w:p>
    <w:p>
      <w:pPr>
        <w:spacing w:after="0" w:line="143"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August 2011, Navios Holdings entered into a facility agreement with Emporiki Bank of Greece for an amount of up to $23,000 in order to partially finance the construction of one Panamax vessel. In May 2019, the facility was refinanced. As of December 31, 2020, the facility is repayable in five semi-annual installments of $750, with a final balloon payment of $8,850 on the last payment date. The loan bears interest at a rate of LIBOR plus 275 basis points. The loan facility requires compliance with certain covenants. As of December 31, 2020, the outstanding amount under this facility was $11,100 and was repaid in full in the first quarter of 2021.</w:t>
      </w:r>
    </w:p>
    <w:p>
      <w:pPr>
        <w:spacing w:after="0" w:line="188" w:lineRule="exact"/>
        <w:rPr>
          <w:sz w:val="20"/>
          <w:szCs w:val="20"/>
          <w:color w:val="auto"/>
        </w:rPr>
      </w:pPr>
    </w:p>
    <w:p>
      <w:pPr>
        <w:jc w:val="both"/>
        <w:ind w:left="120" w:right="80" w:firstLine="440"/>
        <w:spacing w:after="0" w:line="275" w:lineRule="auto"/>
        <w:rPr>
          <w:sz w:val="20"/>
          <w:szCs w:val="20"/>
          <w:color w:val="auto"/>
        </w:rPr>
      </w:pPr>
      <w:r>
        <w:rPr>
          <w:rFonts w:ascii="Arial" w:cs="Arial" w:eastAsia="Arial" w:hAnsi="Arial"/>
          <w:sz w:val="17"/>
          <w:szCs w:val="17"/>
          <w:color w:val="auto"/>
        </w:rPr>
        <w:t>In December 2011, Navios Holdings entered into a facility agreement with Emporiki Bank of Greece for an amount of up to $23,000 in order to partially finance the construction of one newbuilding bulk carrier. In May 2019, the facility was refinanced. As of December 31, 2020, the loan facility is repayable in three semi-annual equal installments of $750, with a final balloon payment of $9,150 on the last payment date. The loan bears interest at a rate of LIBOR plus 325 basis points. The loan facility requires compliance with certain covenants. As of December 31, 2020, the outstanding amount under this facility was $11,400 and was repaid in full in the first quarter of 2021.</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On December 20, 2013, Navios Holdings entered into a facility with Credit Agricole Corporate and Investment Bank for an amount of up to</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$22,500 in two equal tranches, in order to finance the acquisition of two Panamax vessels. The two tranches bore interest at a rate of LIBOR plus 300</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basis points. In December 2017, the Company agreed to extend the last payment date to August 2021. The loan facility required compliance with certain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financial covenants. As of December 31, 2018 the facility was refinanced and repaid in full and there was no outstanding amount.</w:t>
      </w:r>
    </w:p>
    <w:p>
      <w:pPr>
        <w:spacing w:after="0" w:line="211" w:lineRule="exact"/>
        <w:rPr>
          <w:sz w:val="20"/>
          <w:szCs w:val="20"/>
          <w:color w:val="auto"/>
        </w:rPr>
      </w:pPr>
    </w:p>
    <w:p>
      <w:pPr>
        <w:ind w:left="120" w:right="80" w:firstLine="440"/>
        <w:spacing w:after="0" w:line="290" w:lineRule="auto"/>
        <w:rPr>
          <w:sz w:val="20"/>
          <w:szCs w:val="20"/>
          <w:color w:val="auto"/>
        </w:rPr>
      </w:pPr>
      <w:r>
        <w:rPr>
          <w:rFonts w:ascii="Arial" w:cs="Arial" w:eastAsia="Arial" w:hAnsi="Arial"/>
          <w:sz w:val="16"/>
          <w:szCs w:val="16"/>
          <w:color w:val="auto"/>
        </w:rPr>
        <w:t>On February 14, 2018, Navios Holdings entered into a facility with Credit Agricole Corporate and Investment Bank for an amount of up to $28,745 in three advances to be drawn simultaneously for the purpose of a) to repay all amounts outstanding under the facility agreement dated September 2010 and b) to repay all amounts outstanding under the facility agreement dated December 20, 2013. As of December 31, 2018, the first tranche drawn amount was $15,245 and was repayable in six semi-annual installments of $1,205 with a final balloon payment of $6,810 on the last payment date, the second tranche drawn amount was $6,750 and was repayable in six semi-annual installments of $563 with a final balloon payment of $2,813 on the last payment date and the third tranche drawn amount was $6,750 and was repayable in six semi-annual installments of $563 with a final balloon payment of $2,813 on the last payment date. The loan bore interest at a rate of LIBOR plus 280 basis points. The loan facility required compliance with certain financial covenants. As of December 31, 2019 the facility was repaid in full and there was no outstanding amount.</w:t>
      </w:r>
    </w:p>
    <w:p>
      <w:pPr>
        <w:spacing w:after="0" w:line="165"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i w:val="1"/>
          <w:iCs w:val="1"/>
          <w:color w:val="auto"/>
        </w:rPr>
        <w:t xml:space="preserve">Hamburg Commercial Bank AG Facility: </w:t>
      </w:r>
      <w:r>
        <w:rPr>
          <w:rFonts w:ascii="Arial" w:cs="Arial" w:eastAsia="Arial" w:hAnsi="Arial"/>
          <w:sz w:val="17"/>
          <w:szCs w:val="17"/>
          <w:color w:val="auto"/>
        </w:rPr>
        <w:t>On May 23, 2017, Navios Holdings entered into a facility agreement with Hamburg Commercial Bank</w:t>
      </w:r>
      <w:r>
        <w:rPr>
          <w:rFonts w:ascii="Arial" w:cs="Arial" w:eastAsia="Arial" w:hAnsi="Arial"/>
          <w:sz w:val="17"/>
          <w:szCs w:val="17"/>
          <w:i w:val="1"/>
          <w:iCs w:val="1"/>
          <w:color w:val="auto"/>
        </w:rPr>
        <w:t xml:space="preserve"> </w:t>
      </w:r>
      <w:r>
        <w:rPr>
          <w:rFonts w:ascii="Arial" w:cs="Arial" w:eastAsia="Arial" w:hAnsi="Arial"/>
          <w:sz w:val="17"/>
          <w:szCs w:val="17"/>
          <w:color w:val="auto"/>
        </w:rPr>
        <w:t>AG for an amount of up to $15,300 in order to partially refinance the fourth tranche of the Commerzbank facility. As of December 31, 2020, the facility is repayable in three quarterly equal installments of $383, with a final balloon payment of $8,798 on the last payment date. The loan bears interest at a rate of LIBOR plus 300 basis points. The loan facility requires compliance with certain covenants. As of December 31, 2020, the outstanding amount under this facility was $9,945 and was repaid in full in the first quarter of 2021.</w:t>
      </w:r>
    </w:p>
    <w:p>
      <w:pPr>
        <w:spacing w:after="0" w:line="176"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i w:val="1"/>
          <w:iCs w:val="1"/>
          <w:color w:val="auto"/>
        </w:rPr>
        <w:t xml:space="preserve">DVB Bank SE Facilities: </w:t>
      </w:r>
      <w:r>
        <w:rPr>
          <w:rFonts w:ascii="Arial" w:cs="Arial" w:eastAsia="Arial" w:hAnsi="Arial"/>
          <w:sz w:val="16"/>
          <w:szCs w:val="16"/>
          <w:color w:val="auto"/>
        </w:rPr>
        <w:t>On March 23, 2012, Navios Holdings entered into a facility agreement with a syndicate of banks led by DVB Bank SE</w:t>
      </w:r>
      <w:r>
        <w:rPr>
          <w:rFonts w:ascii="Arial" w:cs="Arial" w:eastAsia="Arial" w:hAnsi="Arial"/>
          <w:sz w:val="16"/>
          <w:szCs w:val="16"/>
          <w:i w:val="1"/>
          <w:iCs w:val="1"/>
          <w:color w:val="auto"/>
        </w:rPr>
        <w:t xml:space="preserve"> </w:t>
      </w:r>
      <w:r>
        <w:rPr>
          <w:rFonts w:ascii="Arial" w:cs="Arial" w:eastAsia="Arial" w:hAnsi="Arial"/>
          <w:sz w:val="16"/>
          <w:szCs w:val="16"/>
          <w:color w:val="auto"/>
        </w:rPr>
        <w:t>for an amount of up to $42,000 in two tranches: (i) the first tranche is for an amount of up to $26,000 in order to finance the acquisition of a Handysize vessel; and (ii) the second tranche is for an amount of up to $16,000 to refinance the outstanding debt of an Ultra-Handymax vessel. On June 27, 2014, Navios Holdings refinanced the existing facility, adding a new tranche for an amount of $30,000 in order to finance the acquisition of a Capesize vessel, which was delivered in June 2014. On November 12, 2019, Navios Holdings amended this facility agreement with DVB Bank SE in order to extend the maturity of the outstanding balance originally due in the first and second quarter of 2020 for one year, to June 2021 and released from collateral one Handysize vessel which was substituted by one Panamax vessel. The facility bears interest at a rate of LIBOR plus 293 basis points. During September 2020, the Company completed the sale of the Panamax vessel and the Capesize vessel which were released from collaterals and prepaid the amount of $33,003 for the satisfaction of the first and the third tranche of the facility. As of December 31, 2020, the second tranche is repayable in two quarterly installments of $268, with a final balloon payment of $3,968 on the last repayment date. The loan facility requires compliance with certain financial covenants. As of December 31, 2020, the total outstanding amount was $4,504 and was repaid in full in the first quarter of 2021.</w:t>
      </w:r>
    </w:p>
    <w:p>
      <w:pPr>
        <w:spacing w:after="0" w:line="172"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In September 2013, Navios Holdings entered into a facility agreement with DVB Bank SE for an amount of up to $40,000 in order to finance the acquisition of four Panamax vessels, delivered in August and September 2013. The facility bore interest at a rate of LIBOR plus 325 basis points. In December 2017, Navios Holdings entered into a facility agreement with DVB Bank SE in order to extend the maturity of the outstanding balance originally due by September 2018 for three years, to September 2021. During 2019, Navios Holdings partially prepaid the indebtedness originally maturing in the third quarter of 2021 and released from collateral two Panamax vessels. In the first quarter of 2020, the outstanding amount of $5,556 was repaid in full and there was no outstanding balance as of December 31, 2020.</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100"/>
          </w:cols>
          <w:pgMar w:left="320" w:top="459" w:right="47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NAVIOS MARITIME HOLDINGS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(Expressed in thousands of U.S. dollars — except share data)</w:t>
      </w:r>
    </w:p>
    <w:p>
      <w:pPr>
        <w:spacing w:after="0" w:line="143"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In January 2016, Navios Holdings entered into a facility agreement with DVB Bank SE for an amount of up to $41,000 to be drawn in two tranches, to finance the acquisition of one newbuilding Panamax vessel and one newbuilding Capesize vessel. The facility bore interest at a rate of LIBOR plus 255 basis points. The total amount drawn under the facility was $39,900. During August 2018, the Company completed the sale of the two vessels and repaid in full the two tranches of the facility, which had a total outstanding balance of $31,769.</w:t>
      </w:r>
    </w:p>
    <w:p>
      <w:pPr>
        <w:spacing w:after="0" w:line="171"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i w:val="1"/>
          <w:iCs w:val="1"/>
          <w:color w:val="auto"/>
        </w:rPr>
        <w:t xml:space="preserve">Alpha Bank A.E.: </w:t>
      </w:r>
      <w:r>
        <w:rPr>
          <w:rFonts w:ascii="Arial" w:cs="Arial" w:eastAsia="Arial" w:hAnsi="Arial"/>
          <w:sz w:val="17"/>
          <w:szCs w:val="17"/>
          <w:color w:val="auto"/>
        </w:rPr>
        <w:t>On November 6, 2014, Navios Holdings entered into a facility agreement with Alpha Bank A.E. for an amount of up to $31,000</w:t>
      </w:r>
      <w:r>
        <w:rPr>
          <w:rFonts w:ascii="Arial" w:cs="Arial" w:eastAsia="Arial" w:hAnsi="Arial"/>
          <w:sz w:val="17"/>
          <w:szCs w:val="17"/>
          <w:i w:val="1"/>
          <w:iCs w:val="1"/>
          <w:color w:val="auto"/>
        </w:rPr>
        <w:t xml:space="preserve"> </w:t>
      </w:r>
      <w:r>
        <w:rPr>
          <w:rFonts w:ascii="Arial" w:cs="Arial" w:eastAsia="Arial" w:hAnsi="Arial"/>
          <w:sz w:val="17"/>
          <w:szCs w:val="17"/>
          <w:color w:val="auto"/>
        </w:rPr>
        <w:t>in order to finance part of the acquisition of a Capesize vessel. The loan bears interest at a rate of LIBOR plus 300 basis points. As of December 31, 2020, the facility is repayable in eight quarterly installments of $450, with a final balloon payment of $16,600 on the last repayment date. The loan facility requires compliance with certain financial covenants. As of December 31, 2020, the outstanding amount was $20,200.</w:t>
      </w:r>
    </w:p>
    <w:p>
      <w:pPr>
        <w:spacing w:after="0" w:line="171"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On November 3, 2016, Navios Holdings entered into a facility agreement with Alpha Bank A.E. for an amount of up to $16,125 in order to refinance one Capesize vessel. The facility bears interest at a rate of LIBOR plus 300 basis points. As of December 31, 2020, the facility is repayable in eight quarterly installments of $275 each, with a final balloon payment of $10,725 payable on the last repayment date. The loan facility requires compliance with certain financial covenants. As of December 31, 2020, the outstanding amount was $12,925.</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facilities are secured by first priority mortgages on certain of Navios Holdings’ vessels and other collateral.</w:t>
      </w:r>
    </w:p>
    <w:p>
      <w:pPr>
        <w:spacing w:after="0" w:line="225" w:lineRule="exact"/>
        <w:rPr>
          <w:sz w:val="20"/>
          <w:szCs w:val="20"/>
          <w:color w:val="auto"/>
        </w:rPr>
      </w:pPr>
    </w:p>
    <w:p>
      <w:pPr>
        <w:ind w:left="120" w:right="60" w:firstLine="440"/>
        <w:spacing w:after="0" w:line="289" w:lineRule="auto"/>
        <w:rPr>
          <w:sz w:val="20"/>
          <w:szCs w:val="20"/>
          <w:color w:val="auto"/>
        </w:rPr>
      </w:pPr>
      <w:r>
        <w:rPr>
          <w:rFonts w:ascii="Arial" w:cs="Arial" w:eastAsia="Arial" w:hAnsi="Arial"/>
          <w:sz w:val="16"/>
          <w:szCs w:val="16"/>
          <w:color w:val="auto"/>
        </w:rPr>
        <w:t>The credit facilities contain a number of restrictive covenants that limit Navios Holdings and/or certain of its subsidiaries from, among other things: incurring or guaranteeing indebtedness; entering into affiliate transactions; charging, pledging or encumbering the vessels securing such facilities; changing the flag, class, management or ownership of certain Navios Holdings’ vessels; changing the commercial and technical management of certain Navios Holdings’ vessels; selling or changing the ownership of certain Navios Holdings’ vessels; and subordinating the obligations under the credit facilities to any general and administrative costs relating to the vessels. The credit facilities also require the vessels to comply with the ISM Code and ISPS Code and to maintain valid safety management certificates and documents of compliance at all times. Additionally, the credit facilities require compliance with the covenants contained in the indentures governing the 2022 Senior Secured Notes, the 2022 Notes and the 2024 Notes (as defined herein). Among other events, it will be an event of default under the credit facilities if the financial covenants are not complied with or if Angeliki Frangou and her affiliate companies, together, own less than 20% of the outstanding share capital of Navios Holdings.</w:t>
      </w:r>
    </w:p>
    <w:p>
      <w:pPr>
        <w:spacing w:after="0" w:line="166"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The Company’s secured credit facilities require compliance with maintenance covenants, including (i) value-to-loan ratio covenants, based on charter-free valuations, ranging from over 120% to 135%, (ii) minimum liquidity up to a maximum of $30,000, and (iii) net total debt divided by total assets, as defined in each secured credit facility, ranging from a maximum of 75% to 80%. Certain covenants in our secured credit facilities have been amended for a specific period to increase the covenant levels for the applicable net total debt divided by total assets maintenance covenants, as defined in each secured credit facility, to a maximum of 90%.</w:t>
      </w:r>
    </w:p>
    <w:p>
      <w:pPr>
        <w:spacing w:after="0" w:line="188" w:lineRule="exact"/>
        <w:rPr>
          <w:sz w:val="20"/>
          <w:szCs w:val="20"/>
          <w:color w:val="auto"/>
        </w:rPr>
      </w:pPr>
    </w:p>
    <w:p>
      <w:pPr>
        <w:ind w:left="120" w:right="740" w:firstLine="440"/>
        <w:spacing w:after="0" w:line="277" w:lineRule="auto"/>
        <w:rPr>
          <w:sz w:val="20"/>
          <w:szCs w:val="20"/>
          <w:color w:val="auto"/>
        </w:rPr>
      </w:pPr>
      <w:r>
        <w:rPr>
          <w:rFonts w:ascii="Arial" w:cs="Arial" w:eastAsia="Arial" w:hAnsi="Arial"/>
          <w:sz w:val="18"/>
          <w:szCs w:val="18"/>
          <w:color w:val="auto"/>
        </w:rPr>
        <w:t>The Company has either repaid the credit facilities or received waivers of the covenants under each of the credit facilities, which remain outstanding as of the date of this filing.</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NSM Loan</w:t>
      </w:r>
    </w:p>
    <w:p>
      <w:pPr>
        <w:spacing w:after="0" w:line="117"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On August 29, 2019, Navios Holdings entered into a secured loan agreement of $141,795 (including post-closing adjustments) with Navios Shipmanagement Holdings Corporation. During 2019, Navios Holdings repaid the amount of $13,420 under the terms of this facility. During 2020, Navios Holdings repaid the amount of $50,000 under the terms of this facility. As of December 31, 2020, the total outstanding balance of this facility amounted to $78,901, including $526 of accrued interest. Please see also Note 16.</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$50.0 million NSM Loan</w:t>
      </w:r>
    </w:p>
    <w:p>
      <w:pPr>
        <w:spacing w:after="0" w:line="117" w:lineRule="exact"/>
        <w:rPr>
          <w:sz w:val="20"/>
          <w:szCs w:val="20"/>
          <w:color w:val="auto"/>
        </w:rPr>
      </w:pPr>
    </w:p>
    <w:p>
      <w:pPr>
        <w:ind w:left="120" w:firstLine="991"/>
        <w:spacing w:after="0" w:line="263" w:lineRule="auto"/>
        <w:rPr>
          <w:sz w:val="20"/>
          <w:szCs w:val="20"/>
          <w:color w:val="auto"/>
        </w:rPr>
      </w:pPr>
      <w:r>
        <w:rPr>
          <w:rFonts w:ascii="Arial" w:cs="Arial" w:eastAsia="Arial" w:hAnsi="Arial"/>
          <w:sz w:val="18"/>
          <w:szCs w:val="18"/>
          <w:color w:val="auto"/>
        </w:rPr>
        <w:t>In June 2020, Navios Holdings entered into a secured loan agreement with Navios Shipmanagement Holdings Corporation (“$50.0 million NSM Loan”) for a loan of up to $50,000 to be used for general corporate purposes. As of December 31, 2020, the total outstanding balance of this facility amounted to $50,326, including $326 of accrued interest. Please see also Note 16.</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Sale and Leaseback Agreements</w:t>
      </w:r>
    </w:p>
    <w:p>
      <w:pPr>
        <w:spacing w:after="0" w:line="117" w:lineRule="exact"/>
        <w:rPr>
          <w:sz w:val="20"/>
          <w:szCs w:val="20"/>
          <w:color w:val="auto"/>
        </w:rPr>
      </w:pPr>
    </w:p>
    <w:p>
      <w:pPr>
        <w:ind w:left="120" w:right="180" w:firstLine="991"/>
        <w:spacing w:after="0" w:line="275" w:lineRule="auto"/>
        <w:rPr>
          <w:sz w:val="20"/>
          <w:szCs w:val="20"/>
          <w:color w:val="auto"/>
        </w:rPr>
      </w:pPr>
      <w:r>
        <w:rPr>
          <w:rFonts w:ascii="Arial" w:cs="Arial" w:eastAsia="Arial" w:hAnsi="Arial"/>
          <w:sz w:val="17"/>
          <w:szCs w:val="17"/>
          <w:color w:val="auto"/>
        </w:rPr>
        <w:t>In the first quarter of 2020, the Company entered into two sale and leaseback agreements of $68,000 in total, with unrelated third parties for two Capesize vessels (the “Sale and Leaseback Agreements”). Navios Holdings has no purchase obligation to acquire the vessels at the end of the lease term, however, it is reasonably certain that respective purchase options will be exercised and under ASC 842-40, the transfer of the vessels was determined to be a failed sale. In accordance with ASC 842-40, the Company did not derecognize the respective vessels from its balance sheet and accounted for the amounts received under the Sale and Leaseback Agreements as a financial liability.</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100"/>
          </w:cols>
          <w:pgMar w:left="320" w:top="459" w:right="47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NAVIOS MARITIME HOLDINGS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(Expressed in thousands of U.S. dollars — except share data)</w:t>
      </w:r>
    </w:p>
    <w:p>
      <w:pPr>
        <w:spacing w:after="0" w:line="143" w:lineRule="exact"/>
        <w:rPr>
          <w:sz w:val="20"/>
          <w:szCs w:val="20"/>
          <w:color w:val="auto"/>
        </w:rPr>
      </w:pPr>
    </w:p>
    <w:p>
      <w:pPr>
        <w:ind w:left="120" w:right="580" w:firstLine="991"/>
        <w:spacing w:after="0" w:line="279" w:lineRule="auto"/>
        <w:rPr>
          <w:sz w:val="20"/>
          <w:szCs w:val="20"/>
          <w:color w:val="auto"/>
        </w:rPr>
      </w:pPr>
      <w:r>
        <w:rPr>
          <w:rFonts w:ascii="Arial" w:cs="Arial" w:eastAsia="Arial" w:hAnsi="Arial"/>
          <w:sz w:val="17"/>
          <w:szCs w:val="17"/>
          <w:color w:val="auto"/>
        </w:rPr>
        <w:t>The Sale and Leaseback Agreements are repayable by 144 consecutive monthly payments of approximately $224 and $238 each, commencing as of January 2020 and March 2020, respectively. As of December 31, 2020, the outstanding balance under the Sale and Leaseback Agreements of the two Capesize vessels was $62,934 in total. The agreements mature in the fourth quarter of 2031 and first quarter of 2032, respectively, with a balloon payment of $750 per vessel on the last repayment date.</w:t>
      </w:r>
    </w:p>
    <w:p>
      <w:pPr>
        <w:spacing w:after="0" w:line="17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Sale and Leaseback Agreements have no financial covenants.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Navios Logistics Debt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2022 Logistics Senior Notes</w:t>
      </w:r>
    </w:p>
    <w:p>
      <w:pPr>
        <w:spacing w:after="0" w:line="117" w:lineRule="exact"/>
        <w:rPr>
          <w:sz w:val="20"/>
          <w:szCs w:val="20"/>
          <w:color w:val="auto"/>
        </w:rPr>
      </w:pPr>
    </w:p>
    <w:p>
      <w:pPr>
        <w:ind w:left="120" w:right="20" w:firstLine="991"/>
        <w:spacing w:after="0" w:line="286" w:lineRule="auto"/>
        <w:rPr>
          <w:sz w:val="20"/>
          <w:szCs w:val="20"/>
          <w:color w:val="auto"/>
        </w:rPr>
      </w:pPr>
      <w:r>
        <w:rPr>
          <w:rFonts w:ascii="Arial" w:cs="Arial" w:eastAsia="Arial" w:hAnsi="Arial"/>
          <w:sz w:val="16"/>
          <w:szCs w:val="16"/>
          <w:color w:val="auto"/>
        </w:rPr>
        <w:t>On April 22, 2014, Navios Logistics and its wholly-owned subsidiary Navios Logistics Finance (US) Inc. (“Logistics Finance” and, together with Navios Logistics (the “Logistics Co-Issuers”) issued $375,000 in aggregate principal amount of its Senior Notes due on May 1, 2022 (the “2022 Logistics Senior Notes”), at a fixed rate of 7.25%. The 2022 Logistics Senior Notes were unregistered were fully and unconditionally guaranteed, jointly and severally, by all of Navios Logistics’ direct and indirect subsidiaries except for Horamar do Brasil Navegaçăo Ltda (“Horamar do Brasil”), Naviera Alto Parana S.A. (“Naviera Alto Parana”) and Terra Norte Group S.A. (“Terra Norte”), which were deemed to be immaterial, and Logistics Finance, which was the co-issuer of the 2022 Logistics Senior Notes. The subsidiary guarantees were “full and unconditional” except that the indenture provides for an individual subsidiary’s guarantee to be automatically released in certain customary circumstances, such as in connection with a sale or other disposition of all or substantially all of the assets of the subsidiary, in connection with the sale of a majority of the capital stock of the subsidiary, if the subsidiary was designated as an “unrestricted subsidiary” in accordance with the indenture, upon liquidation or dissolution of the subsidiary or upon legal or covenant defeasance or satisfaction and discharge of the 2022 Logistics Senior Notes. The 2022 Logistics Senior Notes were redeemed in full on July 16, 2020 at 100% of their face amount, plus accrued and unpaid interest to the redemption date with the proceeds of the Logistics Co-Issuer’s $500,000 at a fixed rate of 10.75% Senior Secured Notes due 2025 (the “2025 Logistics Senior Notes”). Following this transaction, Navios Logistics recognized a loss of $2,661 relating to the accelerated amortization of the unamortized deferred financing costs and is included in the consolidated statements of comprehensive (loss)/income within the caption “Gain on bond and debt extinguishment, net”.</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2025 Logistics Senior Notes</w:t>
      </w:r>
    </w:p>
    <w:p>
      <w:pPr>
        <w:spacing w:after="0" w:line="117" w:lineRule="exact"/>
        <w:rPr>
          <w:sz w:val="20"/>
          <w:szCs w:val="20"/>
          <w:color w:val="auto"/>
        </w:rPr>
      </w:pPr>
    </w:p>
    <w:p>
      <w:pPr>
        <w:jc w:val="both"/>
        <w:ind w:left="120" w:right="160" w:firstLine="991"/>
        <w:spacing w:after="0" w:line="257" w:lineRule="auto"/>
        <w:rPr>
          <w:sz w:val="20"/>
          <w:szCs w:val="20"/>
          <w:color w:val="auto"/>
        </w:rPr>
      </w:pPr>
      <w:r>
        <w:rPr>
          <w:rFonts w:ascii="Arial" w:cs="Arial" w:eastAsia="Arial" w:hAnsi="Arial"/>
          <w:sz w:val="18"/>
          <w:szCs w:val="18"/>
          <w:color w:val="auto"/>
        </w:rPr>
        <w:t>On July 8, 2020, Navios Logistics and its wholly-owned subsidiary Logistics Finance issued $500,000 in aggregate principal amount of senior secured Notes due on July 1, 2025, at a fixed rate of 10.75%. The net proceeds from the offering of the 2025 Logistics Senior Notes, amounting to $487,504, were used to satisfy and discharge the indenture governing the 2022 Logistics Senior Notes, amounting to $375,000, to repay all amounts outstanding under the Navios Logistics’ Term Loan B Facility, amounting to $97,500 and to pay certain fees and expenses related to the offering, with the balance to be used for general corporate purposes.</w:t>
      </w:r>
    </w:p>
    <w:p>
      <w:pPr>
        <w:spacing w:after="0" w:line="188" w:lineRule="exact"/>
        <w:rPr>
          <w:sz w:val="20"/>
          <w:szCs w:val="20"/>
          <w:color w:val="auto"/>
        </w:rPr>
      </w:pPr>
    </w:p>
    <w:p>
      <w:pPr>
        <w:ind w:left="120" w:firstLine="991"/>
        <w:spacing w:after="0" w:line="286" w:lineRule="auto"/>
        <w:rPr>
          <w:sz w:val="20"/>
          <w:szCs w:val="20"/>
          <w:color w:val="auto"/>
        </w:rPr>
      </w:pPr>
      <w:r>
        <w:rPr>
          <w:rFonts w:ascii="Arial" w:cs="Arial" w:eastAsia="Arial" w:hAnsi="Arial"/>
          <w:sz w:val="16"/>
          <w:szCs w:val="16"/>
          <w:color w:val="auto"/>
        </w:rPr>
        <w:t>On or after August 1, 2022, the Logistics Co-Issuers may redeem some or all of the 2025 Logistics Senior Notes at the redemption prices set forth in the indenture governing the 2025 Logistics Senior Notes. In addition, before August 1, 2022, the Logistics Co-Issuers may redeem up to 35% of the aggregate principal amount of the 2025 Logistics Senior Notes at a price equal to 110.750% of the principal amount of the 2025 Logistics Senior Notes to be redeemed plus accrued and unpaid interest, if any, to the redemption date with an amount equal to the net cash proceeds of one or more equity offerings so long as at least 50% of the originally issued aggregate principal amount of the 2025 Logistics Senior Notes remains outstanding. Prior to August 1, 2022, the Logistics Co-Issuers may also redeem all or a part of the 2025 Logistics Senior Notes at a redemption price equal to the sum of: (a) 100% of the principal amount of the 2025 Logistics Senior Notes to be redeemed; plus (b) the applicable “make-whole” premium described in the Indenture governing the 2025 Logistics Senior Notes, plus (c) accrued and unpaid interest, if any, on the 2025 Logistics Senior Notes to be redeemed, to (but excluding) the applicable redemption date, subject to the right of holders of notes on the relevant record date to receive interest due on all the relevant interest payment date. The Logistics Co-Issuers may also redeem all, but not less than all, of the 2025 Logistics Senior Notes at a price equal to 100% of the principal amount plus accrued and unpaid interest, if any, upon certain changes in law that would trigger the payment of withholding taxes. Furthermore, upon the occurrence of certain change of control events, the Logistics Co-Issuers may be required to offer to purchase 2025 Logistics Senior Notes from holders at a price equal to 100% of the principal amount plus accrued and unpaid interest, if any.</w:t>
      </w:r>
    </w:p>
    <w:p>
      <w:pPr>
        <w:spacing w:after="0" w:line="174" w:lineRule="exact"/>
        <w:rPr>
          <w:sz w:val="20"/>
          <w:szCs w:val="20"/>
          <w:color w:val="auto"/>
        </w:rPr>
      </w:pPr>
    </w:p>
    <w:p>
      <w:pPr>
        <w:ind w:left="120" w:right="180" w:firstLine="991"/>
        <w:spacing w:after="0" w:line="257" w:lineRule="auto"/>
        <w:rPr>
          <w:sz w:val="20"/>
          <w:szCs w:val="20"/>
          <w:color w:val="auto"/>
        </w:rPr>
      </w:pPr>
      <w:r>
        <w:rPr>
          <w:rFonts w:ascii="Arial" w:cs="Arial" w:eastAsia="Arial" w:hAnsi="Arial"/>
          <w:sz w:val="18"/>
          <w:szCs w:val="18"/>
          <w:color w:val="auto"/>
        </w:rPr>
        <w:t>The 2025 Logistics Senior Notes are senior secured obligations of the Logistics Co-Issuers and rank equal in right of payment to all of their existing and future senior indebtedness and senior in right of payment to all of their future subordinated indebtedness. The 2025 Logistics Senior Notes are fully and unconditionally guaranteed, jointly and severally, by all of the Navios Logistics’ direct and indirect subsidiaries, other than the Logistics Co-Issuer and Grimaud Ventures S.A. The 2025 Logistics Senior Notes are secured by (i) first priority ship mortgages on four tanker vessels servicing the Navios Logistics’ cabotage business (the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120"/>
          </w:cols>
          <w:pgMar w:left="320" w:top="459" w:right="45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NAVIOS MARITIME HOLDINGS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(Expressed in thousands of U.S. dollars — except share data)</w:t>
      </w:r>
    </w:p>
    <w:p>
      <w:pPr>
        <w:spacing w:after="0" w:line="143" w:lineRule="exact"/>
        <w:rPr>
          <w:sz w:val="20"/>
          <w:szCs w:val="20"/>
          <w:color w:val="auto"/>
        </w:rPr>
      </w:pPr>
    </w:p>
    <w:p>
      <w:pPr>
        <w:ind w:left="120" w:hanging="4"/>
        <w:spacing w:after="0" w:line="253" w:lineRule="auto"/>
        <w:tabs>
          <w:tab w:leader="none" w:pos="37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Elena H, (2) Makenita H, (3) Sara H and (4) He Man H) owned by certain subsidiary guarantors (such guarantors, the “Mortgaged Vessel Guarantors”) and related assignments of earnings and insurance together with a first priority lien on the capital stock of each Mortgaged Vessel Guarantor; and (ii) an assignment by way of security of the Vale port contract (collectively, the “Collateral”). The 2025 Logistics Senior Notes will be effectively senior to all existing and future obligations of the subsidiary guarantors that own Collateral to the extent of the value of the Collateral but effectively junior to any existing and future secured obligations of the Logistics Co-Issuers and the subsidiary guarantors that are secured by assets other than the Collateral to the extent of the value of any assets securing such other obligations. The indenture governing the 2025 Logistics Senior Notes contains restrictive covenants that limit, among other things, the ability of the Logistics Co-Issuers and their subsidiaries to incur additional indebtedness, pay dividends and make distributions on common and preferred stock, make other restricted payments, make investments, incur liens, consolidate, merge, sell or otherwise dispose of all or substantially all of their assets and enter into certain transactions with affiliates, in each case, subject to exclusions, and other customary covenants. The indenture governing the 2025 Logistics Senior Notes also contains customary events of default.</w:t>
      </w:r>
    </w:p>
    <w:p>
      <w:pPr>
        <w:spacing w:after="0" w:line="19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Logistics Co-Issuers were in compliance with the covenants as of December 31, 2020.</w:t>
      </w:r>
    </w:p>
    <w:p>
      <w:pPr>
        <w:spacing w:after="0" w:line="225" w:lineRule="exact"/>
        <w:rPr>
          <w:sz w:val="20"/>
          <w:szCs w:val="20"/>
          <w:color w:val="auto"/>
        </w:rPr>
      </w:pPr>
    </w:p>
    <w:p>
      <w:pPr>
        <w:ind w:left="120" w:firstLine="991"/>
        <w:spacing w:after="0" w:line="277" w:lineRule="auto"/>
        <w:rPr>
          <w:sz w:val="20"/>
          <w:szCs w:val="20"/>
          <w:color w:val="auto"/>
        </w:rPr>
      </w:pPr>
      <w:r>
        <w:rPr>
          <w:rFonts w:ascii="Arial" w:cs="Arial" w:eastAsia="Arial" w:hAnsi="Arial"/>
          <w:sz w:val="18"/>
          <w:szCs w:val="18"/>
          <w:color w:val="auto"/>
        </w:rPr>
        <w:t>As of December 31, 2020, deferred financing costs associated with the 2025 Logistics Senior Notes amounted to $19,414. Interest expense associated with the 2025 Logistics Senior Notes amounted to $25,979 for the year ended December 31, 2020.</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Navios Logistics Notes Payable</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In connection with the purchase of mechanical equipment for the expansion of its dry port terminal, Corporacion Navios S.A. (“CNSA”) entered into an unsecured export financing line of credit for a total amount of $41,964, including all related fixed financing costs of $5,949, available in multiple drawings upon the completion of certain milestones (“Drawdown Events”). CNSA incurs the obligation for the respective amount drawn by signing promissory notes (“Navios Logistics Notes Payable”). Each drawdown is repayable in 16 consecutive semi-annual installments, starting six months after the completion of each Drawdown Event. Together with each Navios Logistics Notes Payable, CNSA shall pay interest equal to six-month LIBOR. The unsecured export financing line is fully and unconditionally guaranteed by Ponte Rio S.A. As of December 31, 2020, Navios Logistics had drawn the total available amount and the outstanding balance of Navios Logistics Notes Payable was $17,842.</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Navios Logistics BBVA Loan Facility and Navios Logistics New BBVA Loan Facility</w:t>
      </w:r>
    </w:p>
    <w:p>
      <w:pPr>
        <w:spacing w:after="0" w:line="117"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On December 15, 2016, Navios Logistics entered into a $25,000 facility with Banco Bilbao Vizcaya Argentaria Uruguay S.A. (“BBVA”), for general corporate purposes (the “Navios Logistics BBVA Loan Facility”). The loan bore interest at a rate of LIBOR (180 days) plus 325 basis points. The loan was repayable in 20 quarterly installments, the first payment of which was due on June 19, 2017, and secured by assignments of certain receivables. On July 8, 2020, this loan was repaid in full in connection with drawing the Navios Logistics New BBVA Loan Facility. On February 28, 2020, Navios Logistics entered into a $25,000 loan facility (the “Navios Logistics New BBVA Loan Facility”) with BBVA, which was drawn on July 8, 2020. The Navios Logistics New BBVA Loan Facility was used to repay the Navios Logistics BBVA Loan Facility, and for general corporate purposes. The Navios Logistics New BBVA Loan Facility bears interest at a rate of LIBOR (180 days) plus 325 basis points, is repayable in quarterly installments with final maturity on March 31, 2022 and is secured by assignments of certain receivables. As at December 31, 2020 the outstanding amount of the Navios Logistics New BBVA Loan Facility was $22,000.</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Navios Logistics was in compliance with the covenants set forth in the Navios Logistics New BBVA Loan Facility as of December 31, 2020.</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Navios Logistics Alpha Bank Loan</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On May 18, 2017, Navios Logistics entered into a $14,000 term loan facility in order to finance the acquisition of two product tankers (“Navios Logistics Alpha Bank Loan”). The Navios Logistics Alpha Bank Loan bears interest at a rate of LIBOR (90 days) plus 315 basis points and is repayable in 20 quarterly installments with a final balloon payment of $7,000 on the last repayment date. As of December 31, 2020, the outstanding amount of the loan was $9,100.</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Navios Logistics was in compliance with the covenants set forth in the Navios Logistics Alpha Bank Loan as of December 31, 2020.</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Navios Logistics Credit Agreement</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On August 17, 2018, Navios Logistics entered into a $7,615 (€6,200) credit agreement in order to finance the 50% of the purchase price of a river and estuary tanker. The credit agreement bore interest at a fixed rate of 675 basis points and was repayable in 24 monthly installments with the final repayment in August 17, 2020. On August 26, 2019, Navios Logistics prepaid the total outstanding balance of the credit agreement, which was $3,808 (€3,100).</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100"/>
          </w:cols>
          <w:pgMar w:left="320" w:top="459" w:right="47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NAVIOS MARITIME HOLDINGS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(Expressed in thousands of U.S. dollars — except share data)</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Navios Logistics Term Loan B Facility</w:t>
      </w:r>
    </w:p>
    <w:p>
      <w:pPr>
        <w:spacing w:after="0" w:line="117" w:lineRule="exact"/>
        <w:rPr>
          <w:sz w:val="20"/>
          <w:szCs w:val="20"/>
          <w:color w:val="auto"/>
        </w:rPr>
      </w:pPr>
    </w:p>
    <w:p>
      <w:pPr>
        <w:ind w:left="120" w:firstLine="991"/>
        <w:spacing w:after="0" w:line="273" w:lineRule="auto"/>
        <w:rPr>
          <w:sz w:val="20"/>
          <w:szCs w:val="20"/>
          <w:color w:val="auto"/>
        </w:rPr>
      </w:pPr>
      <w:r>
        <w:rPr>
          <w:rFonts w:ascii="Arial" w:cs="Arial" w:eastAsia="Arial" w:hAnsi="Arial"/>
          <w:sz w:val="17"/>
          <w:szCs w:val="17"/>
          <w:color w:val="auto"/>
        </w:rPr>
        <w:t>On November 3, 2017, Navios Logistics and Logistics Finance, as co-borrowers, completed the issuance of a $100,000 Term Loan B Facility (the “Navios Logistics Term Loan B Facility”). The Navios Logistics Term Loan B Facility bore an interest rate of LIBOR plus 475 basis points and has a four-year term with 1.0% amortization per annum. The Navios Logistics Term Loan B Facility was repaid in full on July 8, 2020 at par plus accrued and unpaid interest to the repayment date with the proceeds of the 2025 Logistics Senior Notes. Following this transaction, Navios Logistics recognized a loss of $1,496 relating to the accelerated amortization of the unamortized deferred financing costs and is included in the consolidated statements of comprehensive (loss)/income within the caption “Gain on bond and debt extinguishment, net”.</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Seller’s Credit Agreement for the construction of six liquid barges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December 2020, Navios Logistics entered into a $13,475 seller’s credit agreement for the construction of six liquid barges to be made available by way of credit in six equal tranches. Each drawdown is repayable in 20 quarterly installments starting from the delivery of each barge. The seller’s credit for the construction of the six liquid barges bears interest at a fixed rate of 8.5%. As of December 31, 2020, Navios Logistics had drawn $11,229 and the outstanding balance was $11,047. Interest expense associated with the seller’s credit agreement for the construction of six liquid barges amounted to $176 for the year ended December 31, 2020.</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Navios Logistics Other long-term loans</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In connection with the acquisition of Hidronave S.A. on October 29, 2009, Navios Logistics assumed a $817 loan facility that was entered into by Hidronave S.A. in 2001, in order to finance the construction of the pushboat Nazira. The loan facility bears interest at a fixed rate of 600 basis points. The loan is repayable in monthly installments of $6 each and the final repayment must occur prior to August 10, 2021. As of December 31, 2020, the outstanding loan balance was $46.</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Navios Logistics was in compliance with all the covenants set forth in this facility as of December 31, 2020.</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During the year ended December 31, 2020, the Company in relation to its secured credit facilities paid $28,582 related to scheduled repayment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installments, $38,556 related to the prepayment of two of Navios Holdings’ credit facilities and $97,500 related to the prepayment of Navios Logistics’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Term Loan B Facility. During the year ended December 31, 2020, the proceeds from the Sale and Leaseback Agreements for Navios Holdings were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$66,862, net of deferred financing costs, the proceeds from the New BBVA Facility were $13,625 and the proceeds from Seller’s Credit Agreement for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construction of six liquid barges were $11,229.</w:t>
      </w:r>
    </w:p>
    <w:p>
      <w:pPr>
        <w:spacing w:after="0" w:line="21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annual weighted average interest rates of the Company’s total borrowings were 7.89%, 7.70% and 7.78% for the years ended December 31, 2020, 2019 and 2018, respectively.</w:t>
      </w:r>
    </w:p>
    <w:p>
      <w:pPr>
        <w:spacing w:after="0" w:line="170"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maturity table below reflects the principal payments for the next five years and thereafter of all borrowings of Navios Holdings (including Navios Logistics) outstanding as of December 31, 2020, based on the repayment schedules of the respective loan facilities and the outstanding amount due under the debt securities.</w:t>
      </w:r>
    </w:p>
    <w:p>
      <w:pPr>
        <w:spacing w:after="0" w:line="202" w:lineRule="exact"/>
        <w:rPr>
          <w:sz w:val="20"/>
          <w:szCs w:val="20"/>
          <w:color w:val="auto"/>
        </w:rPr>
      </w:pPr>
    </w:p>
    <w:p>
      <w:pPr>
        <w:ind w:left="1880"/>
        <w:spacing w:after="0"/>
        <w:rPr>
          <w:sz w:val="20"/>
          <w:szCs w:val="20"/>
          <w:color w:val="auto"/>
        </w:rPr>
      </w:pPr>
      <w:r>
        <w:rPr>
          <w:rFonts w:ascii="Arial" w:cs="Arial" w:eastAsia="Arial" w:hAnsi="Arial"/>
          <w:sz w:val="14"/>
          <w:szCs w:val="14"/>
          <w:b w:val="1"/>
          <w:bCs w:val="1"/>
          <w:color w:val="auto"/>
        </w:rPr>
        <w:t>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6350</wp:posOffset>
            </wp:positionV>
            <wp:extent cx="4749165" cy="2743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95">
                      <a:extLst>
                        <a:ext uri="{28A0092B-C50C-407E-A947-70E740481C1C}"/>
                      </a:extLst>
                    </a:blip>
                    <a:srcRect/>
                    <a:stretch>
                      <a:fillRect/>
                    </a:stretch>
                  </pic:blipFill>
                  <pic:spPr bwMode="auto">
                    <a:xfrm>
                      <a:off x="0" y="0"/>
                      <a:ext cx="4749165" cy="27432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2021(including total accrued interest of $852 of NSM Loan &amp; $50.0 million NSM</w:t>
      </w:r>
    </w:p>
    <w:p>
      <w:pPr>
        <w:spacing w:after="0" w:line="2" w:lineRule="exact"/>
        <w:rPr>
          <w:sz w:val="20"/>
          <w:szCs w:val="20"/>
          <w:color w:val="auto"/>
        </w:rPr>
      </w:pPr>
    </w:p>
    <w:tbl>
      <w:tblPr>
        <w:tblLayout w:type="fixed"/>
        <w:tblInd w:w="188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6580" w:type="dxa"/>
            <w:vAlign w:val="bottom"/>
          </w:tcPr>
          <w:p>
            <w:pPr>
              <w:ind w:left="160"/>
              <w:spacing w:after="0"/>
              <w:rPr>
                <w:sz w:val="20"/>
                <w:szCs w:val="20"/>
                <w:color w:val="auto"/>
              </w:rPr>
            </w:pPr>
            <w:r>
              <w:rPr>
                <w:rFonts w:ascii="Arial" w:cs="Arial" w:eastAsia="Arial" w:hAnsi="Arial"/>
                <w:sz w:val="18"/>
                <w:szCs w:val="18"/>
                <w:color w:val="auto"/>
              </w:rPr>
              <w:t>Loan)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380,308</w:t>
            </w:r>
          </w:p>
        </w:tc>
        <w:tc>
          <w:tcPr>
            <w:tcW w:w="0" w:type="dxa"/>
            <w:vAlign w:val="bottom"/>
          </w:tcPr>
          <w:p>
            <w:pPr>
              <w:spacing w:after="0"/>
              <w:rPr>
                <w:sz w:val="1"/>
                <w:szCs w:val="1"/>
                <w:color w:val="auto"/>
              </w:rPr>
            </w:pPr>
          </w:p>
        </w:tc>
      </w:tr>
      <w:tr>
        <w:trPr>
          <w:trHeight w:val="230"/>
        </w:trPr>
        <w:tc>
          <w:tcPr>
            <w:tcW w:w="6600" w:type="dxa"/>
            <w:vAlign w:val="bottom"/>
            <w:gridSpan w:val="2"/>
          </w:tcPr>
          <w:p>
            <w:pPr>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592,231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46,683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507,925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2026 and thereafter</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35,225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7"/>
              </w:rPr>
              <w:t>1,612,718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12: FAIR VALUE OF FINANCIAL INSTRUMENTS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methods and assumptions were used to estimate the fair value of each class of financial instrument:</w:t>
      </w:r>
    </w:p>
    <w:p>
      <w:pPr>
        <w:spacing w:after="0" w:line="11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b w:val="1"/>
          <w:bCs w:val="1"/>
          <w:i w:val="1"/>
          <w:iCs w:val="1"/>
          <w:color w:val="auto"/>
        </w:rPr>
        <w:t xml:space="preserve">Cash and cash equivalents: </w:t>
      </w:r>
      <w:r>
        <w:rPr>
          <w:rFonts w:ascii="Arial" w:cs="Arial" w:eastAsia="Arial" w:hAnsi="Arial"/>
          <w:sz w:val="18"/>
          <w:szCs w:val="18"/>
          <w:color w:val="auto"/>
        </w:rPr>
        <w:t>The carrying amounts reported in the consolidated balance sheets for interest bearing deposits and money market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funds approximate their fair value because of the short maturity of these investments.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080"/>
          </w:cols>
          <w:pgMar w:left="320" w:top="459" w:right="49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NAVIOS MARITIME HOLDINGS INC.</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(Expressed in thousands of U.S. dollars — except share data)</w:t>
      </w:r>
    </w:p>
    <w:p>
      <w:pPr>
        <w:spacing w:after="0" w:line="143"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b w:val="1"/>
          <w:bCs w:val="1"/>
          <w:i w:val="1"/>
          <w:iCs w:val="1"/>
          <w:color w:val="auto"/>
        </w:rPr>
        <w:t xml:space="preserve">Restricted cash: </w:t>
      </w:r>
      <w:r>
        <w:rPr>
          <w:rFonts w:ascii="Arial" w:cs="Arial" w:eastAsia="Arial" w:hAnsi="Arial"/>
          <w:sz w:val="18"/>
          <w:szCs w:val="18"/>
          <w:color w:val="auto"/>
        </w:rPr>
        <w:t>The carrying amounts reported in the consolidated balance sheets for interest bearing deposits approximate their fair value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because of the short maturity of these investments.</w:t>
      </w:r>
    </w:p>
    <w:p>
      <w:pPr>
        <w:spacing w:after="0" w:line="170"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b w:val="1"/>
          <w:bCs w:val="1"/>
          <w:i w:val="1"/>
          <w:iCs w:val="1"/>
          <w:color w:val="auto"/>
        </w:rPr>
        <w:t xml:space="preserve">Borrowings: </w:t>
      </w:r>
      <w:r>
        <w:rPr>
          <w:rFonts w:ascii="Arial" w:cs="Arial" w:eastAsia="Arial" w:hAnsi="Arial"/>
          <w:sz w:val="18"/>
          <w:szCs w:val="18"/>
          <w:color w:val="auto"/>
        </w:rPr>
        <w:t>The book value has been adjusted to reflect the net presentation of deferred financing costs. The outstanding balance of the floating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rate loans continues to approximate their fair value, excluding the effect of any deferred financing costs. The 2022 Notes, the 2022 Senior Secured Notes, the 2025 Logistics Senior Notes and two Navios Logistics’ loans are fixed rate borrowings and their fair value was determined based on quoted market prices. The 2022 Logistics Senior Notes was fixed rate borrowing and their fair value had been determined based on quoted market prices as of December 31, 2019.</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 xml:space="preserve">Loan receivable from affiliate companies: </w:t>
      </w:r>
      <w:r>
        <w:rPr>
          <w:rFonts w:ascii="Arial" w:cs="Arial" w:eastAsia="Arial" w:hAnsi="Arial"/>
          <w:sz w:val="18"/>
          <w:szCs w:val="18"/>
          <w:color w:val="auto"/>
        </w:rPr>
        <w:t>The carrying amount of the fixed rate loan approximates its fair value.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 xml:space="preserve">Loans payable to affiliate companies: </w:t>
      </w:r>
      <w:r>
        <w:rPr>
          <w:rFonts w:ascii="Arial" w:cs="Arial" w:eastAsia="Arial" w:hAnsi="Arial"/>
          <w:sz w:val="18"/>
          <w:szCs w:val="18"/>
          <w:color w:val="auto"/>
        </w:rPr>
        <w:t>The carrying amount of the fixed rate loan approximates its fair value.</w:t>
      </w:r>
    </w:p>
    <w:p>
      <w:pPr>
        <w:spacing w:after="0" w:line="225"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b w:val="1"/>
          <w:bCs w:val="1"/>
          <w:i w:val="1"/>
          <w:iCs w:val="1"/>
          <w:color w:val="auto"/>
        </w:rPr>
        <w:t xml:space="preserve">Investments in available-for-sale securities: </w:t>
      </w:r>
      <w:r>
        <w:rPr>
          <w:rFonts w:ascii="Arial" w:cs="Arial" w:eastAsia="Arial" w:hAnsi="Arial"/>
          <w:sz w:val="16"/>
          <w:szCs w:val="16"/>
          <w:color w:val="auto"/>
        </w:rPr>
        <w:t>The carrying amount of the investments in available-for-sale securities reported in the consolidated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balance sheets represents unrealized gains and losses on these securities, which were reflected directly in equity unless an unrealized loss was considered “other-than-temporary”, in which case it was transferred to the consolidated statements of comprehensive (loss)/income. Since January 1, 2018 the unrealized gains and losses on these securities are reflected in the consolidated statements of comprehensive (loss)/income.</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 xml:space="preserve">Long-term receivable from affiliate companies: </w:t>
      </w:r>
      <w:r>
        <w:rPr>
          <w:rFonts w:ascii="Arial" w:cs="Arial" w:eastAsia="Arial" w:hAnsi="Arial"/>
          <w:sz w:val="16"/>
          <w:szCs w:val="16"/>
          <w:color w:val="auto"/>
        </w:rPr>
        <w:t>The carrying amount of long-term receivable from affiliate companies approximates their fair</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value.</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 xml:space="preserve">Long-term payable to affiliate companies: </w:t>
      </w:r>
      <w:r>
        <w:rPr>
          <w:rFonts w:ascii="Arial" w:cs="Arial" w:eastAsia="Arial" w:hAnsi="Arial"/>
          <w:sz w:val="16"/>
          <w:szCs w:val="16"/>
          <w:color w:val="auto"/>
        </w:rPr>
        <w:t>The carrying amount of long-term payables to affiliate companies approximates their fair value.</w:t>
      </w:r>
    </w:p>
    <w:p>
      <w:pPr>
        <w:spacing w:after="0" w:line="24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estimated fair values of the Company’s financial instruments were as follows: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5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8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Pr>
          <w:p>
            <w:pPr>
              <w:spacing w:after="0"/>
              <w:rPr>
                <w:sz w:val="14"/>
                <w:szCs w:val="14"/>
                <w:color w:val="auto"/>
              </w:rPr>
            </w:pPr>
          </w:p>
        </w:tc>
        <w:tc>
          <w:tcPr>
            <w:tcW w:w="194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December 31, 2019</w:t>
            </w:r>
          </w:p>
        </w:tc>
      </w:tr>
      <w:tr>
        <w:trPr>
          <w:trHeight w:val="142"/>
        </w:trPr>
        <w:tc>
          <w:tcPr>
            <w:tcW w:w="57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w w:val="89"/>
              </w:rPr>
              <w:t>Book Value</w:t>
            </w: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95"/>
              </w:rPr>
              <w:t>Fair Value</w:t>
            </w:r>
          </w:p>
        </w:tc>
        <w:tc>
          <w:tcPr>
            <w:tcW w:w="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w w:val="89"/>
              </w:rPr>
              <w:t>Book Value</w:t>
            </w:r>
          </w:p>
        </w:tc>
        <w:tc>
          <w:tcPr>
            <w:tcW w:w="7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Fair Value</w:t>
            </w:r>
          </w:p>
        </w:tc>
        <w:tc>
          <w:tcPr>
            <w:tcW w:w="100" w:type="dxa"/>
            <w:vAlign w:val="bottom"/>
          </w:tcPr>
          <w:p>
            <w:pPr>
              <w:spacing w:after="0"/>
              <w:rPr>
                <w:sz w:val="12"/>
                <w:szCs w:val="12"/>
                <w:color w:val="auto"/>
              </w:rPr>
            </w:pPr>
          </w:p>
        </w:tc>
      </w:tr>
      <w:tr>
        <w:trPr>
          <w:trHeight w:val="209"/>
        </w:trPr>
        <w:tc>
          <w:tcPr>
            <w:tcW w:w="5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94,881</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94,881</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77,991</w:t>
            </w: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77,991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Restricted cash</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16,303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16,303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736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736</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available-for-sale-securities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Loan receivable from affiliate companies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24,495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24,495</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Long-term receivable from affiliate company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5,328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5,328</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Senior and ship mortgage notes, net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(1,263,566)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(1,054,616)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(1,170,679)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(875,228)</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including current portion</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(191,636)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(193,043)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(262,030)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(264,498)</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Loans payable to affiliate companies, including current portion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(129,227)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(129,227)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(130,538)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(130,538)</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Long-term payable to affiliate companies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(5,000)</w:t>
            </w:r>
          </w:p>
        </w:tc>
      </w:tr>
    </w:tbl>
    <w:p>
      <w:pPr>
        <w:spacing w:after="0" w:line="202"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The following table sets forth our assets that are measured at fair value on a recurring basis categorized by fair value hierarchy level. As required by the fair value guidance, assets are categorized in their entirety based on the lowest level of input that is significant to the fair value measurement.</w:t>
      </w:r>
    </w:p>
    <w:p>
      <w:pPr>
        <w:spacing w:after="0" w:line="142"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3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8"/>
              </w:rPr>
              <w:t>Fair Value Measurements as of December 31, 2020</w:t>
            </w: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760" w:type="dxa"/>
            <w:vAlign w:val="bottom"/>
            <w:gridSpan w:val="3"/>
          </w:tcPr>
          <w:p>
            <w:pPr>
              <w:jc w:val="center"/>
              <w:ind w:right="580"/>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1680" w:type="dxa"/>
            <w:vAlign w:val="bottom"/>
            <w:gridSpan w:val="3"/>
          </w:tcPr>
          <w:p>
            <w:pPr>
              <w:jc w:val="center"/>
              <w:ind w:right="580"/>
              <w:spacing w:after="0" w:line="119" w:lineRule="exact"/>
              <w:rPr>
                <w:sz w:val="20"/>
                <w:szCs w:val="20"/>
                <w:color w:val="auto"/>
              </w:rPr>
            </w:pPr>
            <w:r>
              <w:rPr>
                <w:rFonts w:ascii="Arial" w:cs="Arial" w:eastAsia="Arial" w:hAnsi="Arial"/>
                <w:sz w:val="13"/>
                <w:szCs w:val="13"/>
                <w:b w:val="1"/>
                <w:bCs w:val="1"/>
                <w:color w:val="auto"/>
              </w:rPr>
              <w:t>Significant Other</w:t>
            </w:r>
          </w:p>
        </w:tc>
        <w:tc>
          <w:tcPr>
            <w:tcW w:w="100" w:type="dxa"/>
            <w:vAlign w:val="bottom"/>
          </w:tcPr>
          <w:p>
            <w:pPr>
              <w:spacing w:after="0"/>
              <w:rPr>
                <w:sz w:val="10"/>
                <w:szCs w:val="10"/>
                <w:color w:val="auto"/>
              </w:rPr>
            </w:pPr>
          </w:p>
        </w:tc>
        <w:tc>
          <w:tcPr>
            <w:tcW w:w="760" w:type="dxa"/>
            <w:vAlign w:val="bottom"/>
          </w:tcPr>
          <w:p>
            <w:pPr>
              <w:jc w:val="center"/>
              <w:ind w:right="22"/>
              <w:spacing w:after="0" w:line="119" w:lineRule="exact"/>
              <w:rPr>
                <w:sz w:val="20"/>
                <w:szCs w:val="20"/>
                <w:color w:val="auto"/>
              </w:rPr>
            </w:pPr>
            <w:r>
              <w:rPr>
                <w:rFonts w:ascii="Arial" w:cs="Arial" w:eastAsia="Arial" w:hAnsi="Arial"/>
                <w:sz w:val="13"/>
                <w:szCs w:val="13"/>
                <w:b w:val="1"/>
                <w:bCs w:val="1"/>
                <w:color w:val="auto"/>
                <w:w w:val="99"/>
              </w:rPr>
              <w:t>Significant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6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140" w:type="dxa"/>
            <w:vAlign w:val="bottom"/>
          </w:tcPr>
          <w:p>
            <w:pPr>
              <w:spacing w:after="0"/>
              <w:rPr>
                <w:sz w:val="12"/>
                <w:szCs w:val="12"/>
                <w:color w:val="auto"/>
              </w:rPr>
            </w:pPr>
          </w:p>
        </w:tc>
        <w:tc>
          <w:tcPr>
            <w:tcW w:w="15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90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68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5"/>
              </w:rPr>
              <w:t>Total</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40" w:type="dxa"/>
            <w:vAlign w:val="bottom"/>
          </w:tcPr>
          <w:p>
            <w:pPr>
              <w:spacing w:after="0"/>
              <w:rPr>
                <w:sz w:val="12"/>
                <w:szCs w:val="12"/>
                <w:color w:val="auto"/>
              </w:rPr>
            </w:pPr>
          </w:p>
        </w:tc>
        <w:tc>
          <w:tcPr>
            <w:tcW w:w="15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482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8"/>
              </w:rPr>
              <w:t>(Level I)</w:t>
            </w:r>
          </w:p>
        </w:tc>
        <w:tc>
          <w:tcPr>
            <w:tcW w:w="140" w:type="dxa"/>
            <w:vAlign w:val="bottom"/>
          </w:tcPr>
          <w:p>
            <w:pPr>
              <w:spacing w:after="0"/>
              <w:rPr>
                <w:sz w:val="14"/>
                <w:szCs w:val="14"/>
                <w:color w:val="auto"/>
              </w:rPr>
            </w:pPr>
          </w:p>
        </w:tc>
        <w:tc>
          <w:tcPr>
            <w:tcW w:w="15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rPr>
              <w:t>(Level II)</w:t>
            </w:r>
          </w:p>
        </w:tc>
        <w:tc>
          <w:tcPr>
            <w:tcW w:w="10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(Level III)</w:t>
            </w:r>
          </w:p>
        </w:tc>
        <w:tc>
          <w:tcPr>
            <w:tcW w:w="0" w:type="dxa"/>
            <w:vAlign w:val="bottom"/>
          </w:tcPr>
          <w:p>
            <w:pPr>
              <w:spacing w:after="0"/>
              <w:rPr>
                <w:sz w:val="1"/>
                <w:szCs w:val="1"/>
                <w:color w:val="auto"/>
              </w:rPr>
            </w:pPr>
          </w:p>
        </w:tc>
      </w:tr>
      <w:tr>
        <w:trPr>
          <w:trHeight w:val="210"/>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Investments in available-for-sale-securities</w:t>
            </w:r>
          </w:p>
        </w:tc>
        <w:tc>
          <w:tcPr>
            <w:tcW w:w="3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222</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5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222</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222</w:t>
            </w:r>
          </w:p>
        </w:tc>
        <w:tc>
          <w:tcPr>
            <w:tcW w:w="5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tcPr>
          <w:p>
            <w:pPr>
              <w:ind w:left="680"/>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auto"/>
            </w:tcBorders>
          </w:tcPr>
          <w:p>
            <w:pPr>
              <w:ind w:left="48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820" w:type="dxa"/>
            <w:vAlign w:val="bottom"/>
          </w:tcPr>
          <w:p>
            <w:pPr>
              <w:spacing w:after="0"/>
              <w:rPr>
                <w:sz w:val="24"/>
                <w:szCs w:val="24"/>
                <w:color w:val="auto"/>
              </w:rPr>
            </w:pPr>
          </w:p>
        </w:tc>
        <w:tc>
          <w:tcPr>
            <w:tcW w:w="680" w:type="dxa"/>
            <w:vAlign w:val="bottom"/>
            <w:gridSpan w:val="3"/>
          </w:tcPr>
          <w:p>
            <w:pPr>
              <w:ind w:left="80"/>
              <w:spacing w:after="0"/>
              <w:rPr>
                <w:sz w:val="20"/>
                <w:szCs w:val="20"/>
                <w:color w:val="auto"/>
              </w:rPr>
            </w:pPr>
            <w:r>
              <w:rPr>
                <w:rFonts w:ascii="Arial" w:cs="Arial" w:eastAsia="Arial" w:hAnsi="Arial"/>
                <w:sz w:val="18"/>
                <w:szCs w:val="18"/>
                <w:color w:val="auto"/>
              </w:rPr>
              <w:t>F-54</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320" w:top="459" w:right="57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NAVIOS MARITIME HOLDINGS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(Expressed in thousands of U.S. dollars — except share data)</w:t>
      </w:r>
    </w:p>
    <w:p>
      <w:pPr>
        <w:spacing w:after="0" w:line="135"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3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8"/>
              </w:rPr>
              <w:t>Fair Value Measurements as of December 31, 2019</w:t>
            </w: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760" w:type="dxa"/>
            <w:vAlign w:val="bottom"/>
            <w:gridSpan w:val="3"/>
          </w:tcPr>
          <w:p>
            <w:pPr>
              <w:jc w:val="center"/>
              <w:ind w:right="580"/>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1680" w:type="dxa"/>
            <w:vAlign w:val="bottom"/>
            <w:gridSpan w:val="3"/>
          </w:tcPr>
          <w:p>
            <w:pPr>
              <w:jc w:val="center"/>
              <w:ind w:right="580"/>
              <w:spacing w:after="0" w:line="119" w:lineRule="exact"/>
              <w:rPr>
                <w:sz w:val="20"/>
                <w:szCs w:val="20"/>
                <w:color w:val="auto"/>
              </w:rPr>
            </w:pPr>
            <w:r>
              <w:rPr>
                <w:rFonts w:ascii="Arial" w:cs="Arial" w:eastAsia="Arial" w:hAnsi="Arial"/>
                <w:sz w:val="13"/>
                <w:szCs w:val="13"/>
                <w:b w:val="1"/>
                <w:bCs w:val="1"/>
                <w:color w:val="auto"/>
              </w:rPr>
              <w:t>Significant Other</w:t>
            </w:r>
          </w:p>
        </w:tc>
        <w:tc>
          <w:tcPr>
            <w:tcW w:w="100" w:type="dxa"/>
            <w:vAlign w:val="bottom"/>
          </w:tcPr>
          <w:p>
            <w:pPr>
              <w:spacing w:after="0"/>
              <w:rPr>
                <w:sz w:val="10"/>
                <w:szCs w:val="10"/>
                <w:color w:val="auto"/>
              </w:rPr>
            </w:pPr>
          </w:p>
        </w:tc>
        <w:tc>
          <w:tcPr>
            <w:tcW w:w="760" w:type="dxa"/>
            <w:vAlign w:val="bottom"/>
          </w:tcPr>
          <w:p>
            <w:pPr>
              <w:jc w:val="center"/>
              <w:ind w:right="22"/>
              <w:spacing w:after="0" w:line="119" w:lineRule="exact"/>
              <w:rPr>
                <w:sz w:val="20"/>
                <w:szCs w:val="20"/>
                <w:color w:val="auto"/>
              </w:rPr>
            </w:pPr>
            <w:r>
              <w:rPr>
                <w:rFonts w:ascii="Arial" w:cs="Arial" w:eastAsia="Arial" w:hAnsi="Arial"/>
                <w:sz w:val="13"/>
                <w:szCs w:val="13"/>
                <w:b w:val="1"/>
                <w:bCs w:val="1"/>
                <w:color w:val="auto"/>
                <w:w w:val="99"/>
              </w:rPr>
              <w:t>Significant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76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140" w:type="dxa"/>
            <w:vAlign w:val="bottom"/>
          </w:tcPr>
          <w:p>
            <w:pPr>
              <w:spacing w:after="0"/>
              <w:rPr>
                <w:sz w:val="12"/>
                <w:szCs w:val="12"/>
                <w:color w:val="auto"/>
              </w:rPr>
            </w:pPr>
          </w:p>
        </w:tc>
        <w:tc>
          <w:tcPr>
            <w:tcW w:w="15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90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38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5"/>
              </w:rPr>
              <w:t>Total</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40" w:type="dxa"/>
            <w:vAlign w:val="bottom"/>
          </w:tcPr>
          <w:p>
            <w:pPr>
              <w:spacing w:after="0"/>
              <w:rPr>
                <w:sz w:val="12"/>
                <w:szCs w:val="12"/>
                <w:color w:val="auto"/>
              </w:rPr>
            </w:pPr>
          </w:p>
        </w:tc>
        <w:tc>
          <w:tcPr>
            <w:tcW w:w="15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482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8"/>
              </w:rPr>
              <w:t>(Level I)</w:t>
            </w:r>
          </w:p>
        </w:tc>
        <w:tc>
          <w:tcPr>
            <w:tcW w:w="140" w:type="dxa"/>
            <w:vAlign w:val="bottom"/>
          </w:tcPr>
          <w:p>
            <w:pPr>
              <w:spacing w:after="0"/>
              <w:rPr>
                <w:sz w:val="14"/>
                <w:szCs w:val="14"/>
                <w:color w:val="auto"/>
              </w:rPr>
            </w:pPr>
          </w:p>
        </w:tc>
        <w:tc>
          <w:tcPr>
            <w:tcW w:w="15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rPr>
              <w:t>(Level II)</w:t>
            </w:r>
          </w:p>
        </w:tc>
        <w:tc>
          <w:tcPr>
            <w:tcW w:w="10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(Level III)</w:t>
            </w:r>
          </w:p>
        </w:tc>
        <w:tc>
          <w:tcPr>
            <w:tcW w:w="0" w:type="dxa"/>
            <w:vAlign w:val="bottom"/>
          </w:tcPr>
          <w:p>
            <w:pPr>
              <w:spacing w:after="0"/>
              <w:rPr>
                <w:sz w:val="1"/>
                <w:szCs w:val="1"/>
                <w:color w:val="auto"/>
              </w:rPr>
            </w:pPr>
          </w:p>
        </w:tc>
      </w:tr>
      <w:tr>
        <w:trPr>
          <w:trHeight w:val="209"/>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Investments in available-for-sale-securities</w:t>
            </w:r>
          </w:p>
        </w:tc>
        <w:tc>
          <w:tcPr>
            <w:tcW w:w="3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189</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5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189</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189</w:t>
            </w:r>
          </w:p>
        </w:tc>
        <w:tc>
          <w:tcPr>
            <w:tcW w:w="5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tcPr>
          <w:p>
            <w:pPr>
              <w:ind w:left="680"/>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auto"/>
            </w:tcBorders>
          </w:tcPr>
          <w:p>
            <w:pPr>
              <w:ind w:left="48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Company’s assets measured at fair value on a non-recurring basis were:</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54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Fair Value Measurements as of December 31, 2020</w:t>
            </w: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20" w:type="dxa"/>
            <w:vAlign w:val="bottom"/>
            <w:gridSpan w:val="3"/>
          </w:tcPr>
          <w:p>
            <w:pPr>
              <w:jc w:val="center"/>
              <w:ind w:right="660"/>
              <w:spacing w:after="0" w:line="119" w:lineRule="exact"/>
              <w:rPr>
                <w:sz w:val="20"/>
                <w:szCs w:val="20"/>
                <w:color w:val="auto"/>
              </w:rPr>
            </w:pPr>
            <w:r>
              <w:rPr>
                <w:rFonts w:ascii="Arial" w:cs="Arial" w:eastAsia="Arial" w:hAnsi="Arial"/>
                <w:sz w:val="13"/>
                <w:szCs w:val="13"/>
                <w:b w:val="1"/>
                <w:bCs w:val="1"/>
                <w:color w:val="auto"/>
              </w:rPr>
              <w:t>Quoted Prices in</w:t>
            </w:r>
          </w:p>
        </w:tc>
        <w:tc>
          <w:tcPr>
            <w:tcW w:w="17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Significant Other</w:t>
            </w:r>
          </w:p>
        </w:tc>
        <w:tc>
          <w:tcPr>
            <w:tcW w:w="100" w:type="dxa"/>
            <w:vAlign w:val="bottom"/>
          </w:tcPr>
          <w:p>
            <w:pPr>
              <w:spacing w:after="0"/>
              <w:rPr>
                <w:sz w:val="10"/>
                <w:szCs w:val="10"/>
                <w:color w:val="auto"/>
              </w:rPr>
            </w:pPr>
          </w:p>
        </w:tc>
        <w:tc>
          <w:tcPr>
            <w:tcW w:w="760" w:type="dxa"/>
            <w:vAlign w:val="bottom"/>
          </w:tcPr>
          <w:p>
            <w:pPr>
              <w:jc w:val="right"/>
              <w:ind w:right="20"/>
              <w:spacing w:after="0" w:line="119" w:lineRule="exact"/>
              <w:rPr>
                <w:sz w:val="20"/>
                <w:szCs w:val="20"/>
                <w:color w:val="auto"/>
              </w:rPr>
            </w:pPr>
            <w:r>
              <w:rPr>
                <w:rFonts w:ascii="Arial" w:cs="Arial" w:eastAsia="Arial" w:hAnsi="Arial"/>
                <w:sz w:val="13"/>
                <w:szCs w:val="13"/>
                <w:b w:val="1"/>
                <w:bCs w:val="1"/>
                <w:color w:val="auto"/>
                <w:w w:val="96"/>
              </w:rPr>
              <w:t>Significant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2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140" w:type="dxa"/>
            <w:vAlign w:val="bottom"/>
          </w:tcPr>
          <w:p>
            <w:pPr>
              <w:spacing w:after="0"/>
              <w:rPr>
                <w:sz w:val="12"/>
                <w:szCs w:val="12"/>
                <w:color w:val="auto"/>
              </w:rPr>
            </w:pPr>
          </w:p>
        </w:tc>
        <w:tc>
          <w:tcPr>
            <w:tcW w:w="158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Unobservable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Total</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40" w:type="dxa"/>
            <w:vAlign w:val="bottom"/>
          </w:tcPr>
          <w:p>
            <w:pPr>
              <w:spacing w:after="0"/>
              <w:rPr>
                <w:sz w:val="12"/>
                <w:szCs w:val="12"/>
                <w:color w:val="auto"/>
              </w:rPr>
            </w:pPr>
          </w:p>
        </w:tc>
        <w:tc>
          <w:tcPr>
            <w:tcW w:w="158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2"/>
                <w:szCs w:val="12"/>
                <w:color w:val="auto"/>
              </w:rPr>
            </w:pPr>
          </w:p>
        </w:tc>
        <w:tc>
          <w:tcPr>
            <w:tcW w:w="80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8"/>
              </w:rPr>
              <w:t>(Level I)</w:t>
            </w:r>
          </w:p>
        </w:tc>
        <w:tc>
          <w:tcPr>
            <w:tcW w:w="140" w:type="dxa"/>
            <w:vAlign w:val="bottom"/>
          </w:tcPr>
          <w:p>
            <w:pPr>
              <w:spacing w:after="0"/>
              <w:rPr>
                <w:sz w:val="14"/>
                <w:szCs w:val="14"/>
                <w:color w:val="auto"/>
              </w:rPr>
            </w:pPr>
          </w:p>
        </w:tc>
        <w:tc>
          <w:tcPr>
            <w:tcW w:w="158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rPr>
              <w:t>(Level II)</w:t>
            </w: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(Level III)</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Vessels, port terminals and other fixed assets, net</w:t>
            </w:r>
          </w:p>
        </w:tc>
        <w:tc>
          <w:tcPr>
            <w:tcW w:w="4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$38,054</w:t>
            </w:r>
          </w:p>
        </w:tc>
        <w:tc>
          <w:tcPr>
            <w:tcW w:w="3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6,644</w:t>
            </w:r>
          </w:p>
        </w:tc>
        <w:tc>
          <w:tcPr>
            <w:tcW w:w="6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31,410</w:t>
            </w:r>
          </w:p>
        </w:tc>
        <w:tc>
          <w:tcPr>
            <w:tcW w:w="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Operating lease assets</w:t>
            </w:r>
          </w:p>
        </w:tc>
        <w:tc>
          <w:tcPr>
            <w:tcW w:w="440" w:type="dxa"/>
            <w:vAlign w:val="bottom"/>
          </w:tcPr>
          <w:p>
            <w:pPr>
              <w:spacing w:after="0"/>
              <w:rPr>
                <w:sz w:val="18"/>
                <w:szCs w:val="18"/>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10,018</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640"/>
              <w:spacing w:after="0"/>
              <w:rPr>
                <w:sz w:val="20"/>
                <w:szCs w:val="20"/>
                <w:color w:val="auto"/>
              </w:rPr>
            </w:pPr>
            <w:r>
              <w:rPr>
                <w:rFonts w:ascii="Arial" w:cs="Arial" w:eastAsia="Arial" w:hAnsi="Arial"/>
                <w:sz w:val="18"/>
                <w:szCs w:val="18"/>
                <w:color w:val="auto"/>
              </w:rPr>
              <w:t>10,018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b w:val="1"/>
                <w:bCs w:val="1"/>
                <w:u w:val="single" w:color="auto"/>
                <w:color w:val="auto"/>
                <w:w w:val="92"/>
              </w:rPr>
              <w:t>$</w:t>
            </w:r>
            <w:r>
              <w:rPr>
                <w:rFonts w:ascii="Arial" w:cs="Arial" w:eastAsia="Arial" w:hAnsi="Arial"/>
                <w:sz w:val="18"/>
                <w:szCs w:val="18"/>
                <w:b w:val="1"/>
                <w:bCs w:val="1"/>
                <w:color w:val="auto"/>
                <w:w w:val="92"/>
              </w:rPr>
              <w:t>48,072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7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6,644</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5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41,428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Company recorded an impairment loss of $59,108 during the year ended December 31, 2020 for three of its vessels, the fair value of which is measured at $38,054, as at December 31, 2020.</w:t>
      </w:r>
    </w:p>
    <w:p>
      <w:pPr>
        <w:spacing w:after="0" w:line="170"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 Company recorded an impairment loss of $1,361 during the year ended December 31, 2020 for two of its charter-in vessels, the fair value of which is measured at $10,018, as at December 31, 2020.</w:t>
      </w:r>
    </w:p>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720" w:type="dxa"/>
            <w:vAlign w:val="bottom"/>
            <w:tcBorders>
              <w:bottom w:val="single" w:sz="8" w:color="auto"/>
            </w:tcBorders>
            <w:gridSpan w:val="8"/>
          </w:tcPr>
          <w:p>
            <w:pPr>
              <w:jc w:val="right"/>
              <w:ind w:right="360"/>
              <w:spacing w:after="0"/>
              <w:rPr>
                <w:sz w:val="20"/>
                <w:szCs w:val="20"/>
                <w:color w:val="auto"/>
              </w:rPr>
            </w:pPr>
            <w:r>
              <w:rPr>
                <w:rFonts w:ascii="Arial" w:cs="Arial" w:eastAsia="Arial" w:hAnsi="Arial"/>
                <w:sz w:val="14"/>
                <w:szCs w:val="14"/>
                <w:b w:val="1"/>
                <w:bCs w:val="1"/>
                <w:color w:val="auto"/>
                <w:w w:val="99"/>
              </w:rPr>
              <w:t>Fair Value Measurements as of December 31, 2019</w:t>
            </w: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80" w:type="dxa"/>
            <w:vAlign w:val="bottom"/>
            <w:gridSpan w:val="3"/>
          </w:tcPr>
          <w:p>
            <w:pPr>
              <w:jc w:val="center"/>
              <w:ind w:right="300"/>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280" w:type="dxa"/>
            <w:vAlign w:val="bottom"/>
          </w:tcPr>
          <w:p>
            <w:pPr>
              <w:spacing w:after="0"/>
              <w:rPr>
                <w:sz w:val="10"/>
                <w:szCs w:val="10"/>
                <w:color w:val="auto"/>
              </w:rPr>
            </w:pPr>
          </w:p>
        </w:tc>
        <w:tc>
          <w:tcPr>
            <w:tcW w:w="16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Significant Other</w:t>
            </w:r>
          </w:p>
        </w:tc>
        <w:tc>
          <w:tcPr>
            <w:tcW w:w="100" w:type="dxa"/>
            <w:vAlign w:val="bottom"/>
          </w:tcPr>
          <w:p>
            <w:pPr>
              <w:spacing w:after="0"/>
              <w:rPr>
                <w:sz w:val="10"/>
                <w:szCs w:val="10"/>
                <w:color w:val="auto"/>
              </w:rPr>
            </w:pPr>
          </w:p>
        </w:tc>
        <w:tc>
          <w:tcPr>
            <w:tcW w:w="760" w:type="dxa"/>
            <w:vAlign w:val="bottom"/>
          </w:tcPr>
          <w:p>
            <w:pPr>
              <w:jc w:val="right"/>
              <w:ind w:right="20"/>
              <w:spacing w:after="0" w:line="119" w:lineRule="exact"/>
              <w:rPr>
                <w:sz w:val="20"/>
                <w:szCs w:val="20"/>
                <w:color w:val="auto"/>
              </w:rPr>
            </w:pPr>
            <w:r>
              <w:rPr>
                <w:rFonts w:ascii="Arial" w:cs="Arial" w:eastAsia="Arial" w:hAnsi="Arial"/>
                <w:sz w:val="13"/>
                <w:szCs w:val="13"/>
                <w:b w:val="1"/>
                <w:bCs w:val="1"/>
                <w:color w:val="auto"/>
                <w:w w:val="96"/>
              </w:rPr>
              <w:t>Significant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Active Markets for</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4"/>
              </w:rPr>
              <w:t>Observable</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Unobservable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2"/>
                <w:szCs w:val="12"/>
                <w:color w:val="auto"/>
              </w:rPr>
            </w:pPr>
          </w:p>
        </w:tc>
        <w:tc>
          <w:tcPr>
            <w:tcW w:w="80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(Level I)</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rPr>
              <w:t>(Level II)</w:t>
            </w: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(Level III)</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Vessels, port terminals and other fixed assets, net</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62,397</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7,497</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54,900</w:t>
            </w: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Operating lease assets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89,945</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580"/>
              <w:spacing w:after="0"/>
              <w:rPr>
                <w:sz w:val="20"/>
                <w:szCs w:val="20"/>
                <w:color w:val="auto"/>
              </w:rPr>
            </w:pPr>
            <w:r>
              <w:rPr>
                <w:rFonts w:ascii="Arial" w:cs="Arial" w:eastAsia="Arial" w:hAnsi="Arial"/>
                <w:sz w:val="18"/>
                <w:szCs w:val="18"/>
                <w:color w:val="auto"/>
              </w:rPr>
              <w:t>89,945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86"/>
              </w:rPr>
              <w:t>152,342</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w w:val="79"/>
              </w:rPr>
              <w:t>$</w:t>
            </w: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7,497</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w:t>
            </w: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144,845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Company recorded an impairment loss of $92,013 during the year ended December 31, 2019 for three of its vessels, the fair value of which is measured at $62,397, as at December 31, 2019.</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Company recorded an impairment loss of $38,636 during the year ended December 31, 2019 for certain of its charter-in vessels, the fair value of which is measured at $89,945, as at December 31, 2019.</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estimated fair value of our financial instruments that are not measured at fair value on a recurring basis, categorized based upon the fair value hierarchy, are as follows:</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Level I: Inputs are unadjusted, quoted prices for identical assets or liabilities in active markets that the Company has the ability to access.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Valuation of these items does not entail a significant amount of judgment.</w:t>
      </w:r>
    </w:p>
    <w:p>
      <w:pPr>
        <w:spacing w:after="0" w:line="211"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Level II: Inputs other than quoted prices included in Level I that are observable for the asset or liability through corroboration with market data at the measurement date.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Level III: Inputs that are unobservable.</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100"/>
          </w:cols>
          <w:pgMar w:left="320" w:top="459" w:right="47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NAVIOS MARITIME HOLDINGS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(Expressed in thousands of U.S. dollars — except share data)</w:t>
      </w:r>
    </w:p>
    <w:p>
      <w:pPr>
        <w:spacing w:after="0" w:line="135"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58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Fair Value Measurements at December 31, 2020</w:t>
            </w:r>
          </w:p>
        </w:tc>
        <w:tc>
          <w:tcPr>
            <w:tcW w:w="2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5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Total</w:t>
            </w:r>
          </w:p>
        </w:tc>
        <w:tc>
          <w:tcPr>
            <w:tcW w:w="1180" w:type="dxa"/>
            <w:vAlign w:val="bottom"/>
            <w:gridSpan w:val="2"/>
          </w:tcPr>
          <w:p>
            <w:pPr>
              <w:ind w:left="260"/>
              <w:spacing w:after="0" w:line="142" w:lineRule="exact"/>
              <w:rPr>
                <w:sz w:val="20"/>
                <w:szCs w:val="20"/>
                <w:color w:val="auto"/>
              </w:rPr>
            </w:pPr>
            <w:r>
              <w:rPr>
                <w:rFonts w:ascii="Arial" w:cs="Arial" w:eastAsia="Arial" w:hAnsi="Arial"/>
                <w:sz w:val="14"/>
                <w:szCs w:val="14"/>
                <w:b w:val="1"/>
                <w:bCs w:val="1"/>
                <w:color w:val="auto"/>
              </w:rPr>
              <w:t>(Level I)</w:t>
            </w:r>
          </w:p>
        </w:tc>
        <w:tc>
          <w:tcPr>
            <w:tcW w:w="1280" w:type="dxa"/>
            <w:vAlign w:val="bottom"/>
            <w:gridSpan w:val="2"/>
          </w:tcPr>
          <w:p>
            <w:pPr>
              <w:jc w:val="right"/>
              <w:ind w:right="370"/>
              <w:spacing w:after="0" w:line="142" w:lineRule="exact"/>
              <w:rPr>
                <w:sz w:val="20"/>
                <w:szCs w:val="20"/>
                <w:color w:val="auto"/>
              </w:rPr>
            </w:pPr>
            <w:r>
              <w:rPr>
                <w:rFonts w:ascii="Arial" w:cs="Arial" w:eastAsia="Arial" w:hAnsi="Arial"/>
                <w:sz w:val="14"/>
                <w:szCs w:val="14"/>
                <w:b w:val="1"/>
                <w:bCs w:val="1"/>
                <w:color w:val="auto"/>
              </w:rPr>
              <w:t>(Level II)</w:t>
            </w:r>
          </w:p>
        </w:tc>
        <w:tc>
          <w:tcPr>
            <w:tcW w:w="6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III)</w:t>
            </w:r>
          </w:p>
        </w:tc>
        <w:tc>
          <w:tcPr>
            <w:tcW w:w="40" w:type="dxa"/>
            <w:vAlign w:val="bottom"/>
          </w:tcPr>
          <w:p>
            <w:pPr>
              <w:spacing w:after="0"/>
              <w:rPr>
                <w:sz w:val="12"/>
                <w:szCs w:val="12"/>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w w:val="90"/>
              </w:rPr>
              <w:t>94,881</w:t>
            </w:r>
          </w:p>
        </w:tc>
        <w:tc>
          <w:tcPr>
            <w:tcW w:w="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94,881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194"/>
              <w:spacing w:after="0"/>
              <w:rPr>
                <w:sz w:val="20"/>
                <w:szCs w:val="20"/>
                <w:color w:val="auto"/>
              </w:rPr>
            </w:pPr>
            <w:r>
              <w:rPr>
                <w:rFonts w:ascii="Arial" w:cs="Arial" w:eastAsia="Arial" w:hAnsi="Arial"/>
                <w:sz w:val="18"/>
                <w:szCs w:val="18"/>
                <w:color w:val="auto"/>
                <w:w w:val="90"/>
              </w:rPr>
              <w:t>16,303</w:t>
            </w: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860" w:type="dxa"/>
            <w:vAlign w:val="bottom"/>
          </w:tcPr>
          <w:p>
            <w:pPr>
              <w:ind w:left="160"/>
              <w:spacing w:after="0"/>
              <w:rPr>
                <w:sz w:val="20"/>
                <w:szCs w:val="20"/>
                <w:color w:val="auto"/>
              </w:rPr>
            </w:pPr>
            <w:r>
              <w:rPr>
                <w:rFonts w:ascii="Arial" w:cs="Arial" w:eastAsia="Arial" w:hAnsi="Arial"/>
                <w:sz w:val="18"/>
                <w:szCs w:val="18"/>
                <w:color w:val="auto"/>
              </w:rPr>
              <w:t>16,303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140"/>
              <w:spacing w:after="0"/>
              <w:rPr>
                <w:sz w:val="20"/>
                <w:szCs w:val="20"/>
                <w:color w:val="auto"/>
              </w:rPr>
            </w:pPr>
            <w:r>
              <w:rPr>
                <w:rFonts w:ascii="Arial" w:cs="Arial" w:eastAsia="Arial" w:hAnsi="Arial"/>
                <w:sz w:val="18"/>
                <w:szCs w:val="18"/>
                <w:color w:val="auto"/>
              </w:rPr>
              <w:t>—</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available-for-sale-securities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222</w:t>
            </w:r>
          </w:p>
        </w:tc>
        <w:tc>
          <w:tcPr>
            <w:tcW w:w="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222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Loan receivable from affiliate companies</w:t>
            </w:r>
            <w:r>
              <w:rPr>
                <w:rFonts w:ascii="Arial" w:cs="Arial" w:eastAsia="Arial" w:hAnsi="Arial"/>
                <w:sz w:val="15"/>
                <w:szCs w:val="15"/>
                <w:color w:val="auto"/>
              </w:rPr>
              <w:t>(2)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294"/>
              <w:spacing w:after="0"/>
              <w:rPr>
                <w:sz w:val="20"/>
                <w:szCs w:val="20"/>
                <w:color w:val="auto"/>
              </w:rPr>
            </w:pPr>
            <w:r>
              <w:rPr>
                <w:rFonts w:ascii="Arial" w:cs="Arial" w:eastAsia="Arial" w:hAnsi="Arial"/>
                <w:sz w:val="18"/>
                <w:szCs w:val="18"/>
                <w:color w:val="auto"/>
              </w:rPr>
              <w:t>—</w:t>
            </w: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860" w:type="dxa"/>
            <w:vAlign w:val="bottom"/>
          </w:tcPr>
          <w:p>
            <w:pPr>
              <w:ind w:left="38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140"/>
              <w:spacing w:after="0"/>
              <w:rPr>
                <w:sz w:val="20"/>
                <w:szCs w:val="20"/>
                <w:color w:val="auto"/>
              </w:rPr>
            </w:pPr>
            <w:r>
              <w:rPr>
                <w:rFonts w:ascii="Arial" w:cs="Arial" w:eastAsia="Arial" w:hAnsi="Arial"/>
                <w:sz w:val="18"/>
                <w:szCs w:val="18"/>
                <w:color w:val="auto"/>
              </w:rPr>
              <w:t>—</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Long-term receivable from affiliate company</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Senior and ship mortgage notes</w:t>
            </w:r>
          </w:p>
        </w:tc>
        <w:tc>
          <w:tcPr>
            <w:tcW w:w="1160" w:type="dxa"/>
            <w:vAlign w:val="bottom"/>
            <w:gridSpan w:val="4"/>
          </w:tcPr>
          <w:p>
            <w:pPr>
              <w:spacing w:after="0"/>
              <w:rPr>
                <w:sz w:val="20"/>
                <w:szCs w:val="20"/>
                <w:color w:val="auto"/>
              </w:rPr>
            </w:pPr>
            <w:r>
              <w:rPr>
                <w:rFonts w:ascii="Arial" w:cs="Arial" w:eastAsia="Arial" w:hAnsi="Arial"/>
                <w:sz w:val="18"/>
                <w:szCs w:val="18"/>
                <w:color w:val="auto"/>
              </w:rPr>
              <w:t>$(1,054,616)</w:t>
            </w:r>
          </w:p>
        </w:tc>
        <w:tc>
          <w:tcPr>
            <w:tcW w:w="1180" w:type="dxa"/>
            <w:vAlign w:val="bottom"/>
            <w:gridSpan w:val="2"/>
          </w:tcPr>
          <w:p>
            <w:pPr>
              <w:ind w:left="80"/>
              <w:spacing w:after="0"/>
              <w:rPr>
                <w:sz w:val="20"/>
                <w:szCs w:val="20"/>
                <w:color w:val="auto"/>
              </w:rPr>
            </w:pPr>
            <w:r>
              <w:rPr>
                <w:rFonts w:ascii="Arial" w:cs="Arial" w:eastAsia="Arial" w:hAnsi="Arial"/>
                <w:sz w:val="18"/>
                <w:szCs w:val="18"/>
                <w:color w:val="auto"/>
              </w:rPr>
              <w:t>$(1,045,990)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(8,626)</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140"/>
              <w:spacing w:after="0"/>
              <w:rPr>
                <w:sz w:val="20"/>
                <w:szCs w:val="20"/>
                <w:color w:val="auto"/>
              </w:rPr>
            </w:pPr>
            <w:r>
              <w:rPr>
                <w:rFonts w:ascii="Arial" w:cs="Arial" w:eastAsia="Arial" w:hAnsi="Arial"/>
                <w:sz w:val="18"/>
                <w:szCs w:val="18"/>
                <w:color w:val="auto"/>
              </w:rPr>
              <w:t>—</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including current portion</w:t>
            </w:r>
            <w:r>
              <w:rPr>
                <w:rFonts w:ascii="Arial" w:cs="Arial" w:eastAsia="Arial" w:hAnsi="Arial"/>
                <w:sz w:val="15"/>
                <w:szCs w:val="15"/>
                <w:color w:val="auto"/>
              </w:rPr>
              <w:t>(1)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134"/>
              <w:spacing w:after="0"/>
              <w:rPr>
                <w:sz w:val="20"/>
                <w:szCs w:val="20"/>
                <w:color w:val="auto"/>
              </w:rPr>
            </w:pPr>
            <w:r>
              <w:rPr>
                <w:rFonts w:ascii="Arial" w:cs="Arial" w:eastAsia="Arial" w:hAnsi="Arial"/>
                <w:sz w:val="18"/>
                <w:szCs w:val="18"/>
                <w:color w:val="auto"/>
                <w:w w:val="98"/>
              </w:rPr>
              <w:t>(193,043)</w:t>
            </w:r>
          </w:p>
        </w:tc>
        <w:tc>
          <w:tcPr>
            <w:tcW w:w="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88"/>
              </w:rPr>
              <w:t>(193,043)</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Loans payable to affiliate companies, including current portion</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34"/>
              <w:spacing w:after="0"/>
              <w:rPr>
                <w:sz w:val="20"/>
                <w:szCs w:val="20"/>
                <w:color w:val="auto"/>
              </w:rPr>
            </w:pPr>
            <w:r>
              <w:rPr>
                <w:rFonts w:ascii="Arial" w:cs="Arial" w:eastAsia="Arial" w:hAnsi="Arial"/>
                <w:sz w:val="18"/>
                <w:szCs w:val="18"/>
                <w:color w:val="auto"/>
                <w:w w:val="98"/>
              </w:rPr>
              <w:t>(129,227)</w:t>
            </w: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860" w:type="dxa"/>
            <w:vAlign w:val="bottom"/>
          </w:tcPr>
          <w:p>
            <w:pPr>
              <w:ind w:left="38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w w:val="88"/>
              </w:rPr>
              <w:t>(129,227)</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140"/>
              <w:spacing w:after="0"/>
              <w:rPr>
                <w:sz w:val="20"/>
                <w:szCs w:val="20"/>
                <w:color w:val="auto"/>
              </w:rPr>
            </w:pPr>
            <w:r>
              <w:rPr>
                <w:rFonts w:ascii="Arial" w:cs="Arial" w:eastAsia="Arial" w:hAnsi="Arial"/>
                <w:sz w:val="18"/>
                <w:szCs w:val="18"/>
                <w:color w:val="auto"/>
              </w:rPr>
              <w:t>—</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Long-term payable to affiliate companies</w:t>
            </w:r>
            <w:r>
              <w:rPr>
                <w:rFonts w:ascii="Arial" w:cs="Arial" w:eastAsia="Arial" w:hAnsi="Arial"/>
                <w:sz w:val="15"/>
                <w:szCs w:val="15"/>
                <w:color w:val="auto"/>
              </w:rPr>
              <w:t>(2)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r>
      <w:tr>
        <w:trPr>
          <w:trHeight w:val="391"/>
        </w:trPr>
        <w:tc>
          <w:tcPr>
            <w:tcW w:w="5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6"/>
          </w:tcPr>
          <w:p>
            <w:pPr>
              <w:ind w:left="440"/>
              <w:spacing w:after="0"/>
              <w:rPr>
                <w:sz w:val="20"/>
                <w:szCs w:val="20"/>
                <w:color w:val="auto"/>
              </w:rPr>
            </w:pPr>
            <w:r>
              <w:rPr>
                <w:rFonts w:ascii="Arial" w:cs="Arial" w:eastAsia="Arial" w:hAnsi="Arial"/>
                <w:sz w:val="14"/>
                <w:szCs w:val="14"/>
                <w:b w:val="1"/>
                <w:bCs w:val="1"/>
                <w:color w:val="auto"/>
                <w:w w:val="96"/>
              </w:rPr>
              <w:t>Fair Value Measurements at December 31, 2019</w:t>
            </w:r>
          </w:p>
        </w:tc>
        <w:tc>
          <w:tcPr>
            <w:tcW w:w="4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42"/>
        </w:trPr>
        <w:tc>
          <w:tcPr>
            <w:tcW w:w="5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274"/>
              <w:spacing w:after="0" w:line="142" w:lineRule="exact"/>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2"/>
                <w:szCs w:val="12"/>
                <w:color w:val="auto"/>
              </w:rPr>
            </w:pPr>
          </w:p>
        </w:tc>
        <w:tc>
          <w:tcPr>
            <w:tcW w:w="86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(Level I)</w:t>
            </w:r>
          </w:p>
        </w:tc>
        <w:tc>
          <w:tcPr>
            <w:tcW w:w="1280" w:type="dxa"/>
            <w:vAlign w:val="bottom"/>
            <w:gridSpan w:val="2"/>
          </w:tcPr>
          <w:p>
            <w:pPr>
              <w:jc w:val="right"/>
              <w:ind w:right="370"/>
              <w:spacing w:after="0" w:line="142" w:lineRule="exact"/>
              <w:rPr>
                <w:sz w:val="20"/>
                <w:szCs w:val="20"/>
                <w:color w:val="auto"/>
              </w:rPr>
            </w:pPr>
            <w:r>
              <w:rPr>
                <w:rFonts w:ascii="Arial" w:cs="Arial" w:eastAsia="Arial" w:hAnsi="Arial"/>
                <w:sz w:val="14"/>
                <w:szCs w:val="14"/>
                <w:b w:val="1"/>
                <w:bCs w:val="1"/>
                <w:color w:val="auto"/>
              </w:rPr>
              <w:t>(Level II)</w:t>
            </w:r>
          </w:p>
        </w:tc>
        <w:tc>
          <w:tcPr>
            <w:tcW w:w="6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III)</w:t>
            </w:r>
          </w:p>
        </w:tc>
        <w:tc>
          <w:tcPr>
            <w:tcW w:w="40" w:type="dxa"/>
            <w:vAlign w:val="bottom"/>
          </w:tcPr>
          <w:p>
            <w:pPr>
              <w:spacing w:after="0"/>
              <w:rPr>
                <w:sz w:val="12"/>
                <w:szCs w:val="12"/>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77,991</w:t>
            </w:r>
          </w:p>
        </w:tc>
        <w:tc>
          <w:tcPr>
            <w:tcW w:w="3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77,991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74"/>
              <w:spacing w:after="0"/>
              <w:rPr>
                <w:sz w:val="20"/>
                <w:szCs w:val="20"/>
                <w:color w:val="auto"/>
              </w:rPr>
            </w:pPr>
            <w:r>
              <w:rPr>
                <w:rFonts w:ascii="Arial" w:cs="Arial" w:eastAsia="Arial" w:hAnsi="Arial"/>
                <w:sz w:val="18"/>
                <w:szCs w:val="18"/>
                <w:color w:val="auto"/>
              </w:rPr>
              <w:t>736</w:t>
            </w:r>
          </w:p>
        </w:tc>
        <w:tc>
          <w:tcPr>
            <w:tcW w:w="320" w:type="dxa"/>
            <w:vAlign w:val="bottom"/>
          </w:tcPr>
          <w:p>
            <w:pPr>
              <w:ind w:left="220"/>
              <w:spacing w:after="0"/>
              <w:rPr>
                <w:sz w:val="20"/>
                <w:szCs w:val="20"/>
                <w:color w:val="auto"/>
              </w:rPr>
            </w:pPr>
            <w:r>
              <w:rPr>
                <w:rFonts w:ascii="Arial" w:cs="Arial" w:eastAsia="Arial" w:hAnsi="Arial"/>
                <w:sz w:val="18"/>
                <w:szCs w:val="18"/>
                <w:color w:val="auto"/>
                <w:w w:val="79"/>
              </w:rPr>
              <w:t>$</w:t>
            </w:r>
          </w:p>
        </w:tc>
        <w:tc>
          <w:tcPr>
            <w:tcW w:w="860" w:type="dxa"/>
            <w:vAlign w:val="bottom"/>
          </w:tcPr>
          <w:p>
            <w:pPr>
              <w:ind w:left="380"/>
              <w:spacing w:after="0"/>
              <w:rPr>
                <w:sz w:val="20"/>
                <w:szCs w:val="20"/>
                <w:color w:val="auto"/>
              </w:rPr>
            </w:pPr>
            <w:r>
              <w:rPr>
                <w:rFonts w:ascii="Arial" w:cs="Arial" w:eastAsia="Arial" w:hAnsi="Arial"/>
                <w:sz w:val="18"/>
                <w:szCs w:val="18"/>
                <w:color w:val="auto"/>
              </w:rPr>
              <w:t>736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140"/>
              <w:spacing w:after="0"/>
              <w:rPr>
                <w:sz w:val="20"/>
                <w:szCs w:val="20"/>
                <w:color w:val="auto"/>
              </w:rPr>
            </w:pPr>
            <w:r>
              <w:rPr>
                <w:rFonts w:ascii="Arial" w:cs="Arial" w:eastAsia="Arial" w:hAnsi="Arial"/>
                <w:sz w:val="18"/>
                <w:szCs w:val="18"/>
                <w:color w:val="auto"/>
              </w:rPr>
              <w:t>—</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available-for-sale-securities</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189</w:t>
            </w:r>
          </w:p>
        </w:tc>
        <w:tc>
          <w:tcPr>
            <w:tcW w:w="3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189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Loan receivable from affiliate companies</w:t>
            </w:r>
            <w:r>
              <w:rPr>
                <w:rFonts w:ascii="Arial" w:cs="Arial" w:eastAsia="Arial" w:hAnsi="Arial"/>
                <w:sz w:val="15"/>
                <w:szCs w:val="15"/>
                <w:color w:val="auto"/>
              </w:rPr>
              <w:t>(2)</w:t>
            </w:r>
          </w:p>
        </w:tc>
        <w:tc>
          <w:tcPr>
            <w:tcW w:w="16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74"/>
              <w:spacing w:after="0"/>
              <w:rPr>
                <w:sz w:val="20"/>
                <w:szCs w:val="20"/>
                <w:color w:val="auto"/>
              </w:rPr>
            </w:pPr>
            <w:r>
              <w:rPr>
                <w:rFonts w:ascii="Arial" w:cs="Arial" w:eastAsia="Arial" w:hAnsi="Arial"/>
                <w:sz w:val="18"/>
                <w:szCs w:val="18"/>
                <w:color w:val="auto"/>
              </w:rPr>
              <w:t>24,495</w:t>
            </w:r>
          </w:p>
        </w:tc>
        <w:tc>
          <w:tcPr>
            <w:tcW w:w="320" w:type="dxa"/>
            <w:vAlign w:val="bottom"/>
          </w:tcPr>
          <w:p>
            <w:pPr>
              <w:ind w:left="220"/>
              <w:spacing w:after="0"/>
              <w:rPr>
                <w:sz w:val="20"/>
                <w:szCs w:val="20"/>
                <w:color w:val="auto"/>
              </w:rPr>
            </w:pPr>
            <w:r>
              <w:rPr>
                <w:rFonts w:ascii="Arial" w:cs="Arial" w:eastAsia="Arial" w:hAnsi="Arial"/>
                <w:sz w:val="18"/>
                <w:szCs w:val="18"/>
                <w:color w:val="auto"/>
                <w:w w:val="79"/>
              </w:rPr>
              <w:t>$</w:t>
            </w:r>
          </w:p>
        </w:tc>
        <w:tc>
          <w:tcPr>
            <w:tcW w:w="860" w:type="dxa"/>
            <w:vAlign w:val="bottom"/>
          </w:tcPr>
          <w:p>
            <w:pPr>
              <w:ind w:left="38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24,495</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140"/>
              <w:spacing w:after="0"/>
              <w:rPr>
                <w:sz w:val="20"/>
                <w:szCs w:val="20"/>
                <w:color w:val="auto"/>
              </w:rPr>
            </w:pPr>
            <w:r>
              <w:rPr>
                <w:rFonts w:ascii="Arial" w:cs="Arial" w:eastAsia="Arial" w:hAnsi="Arial"/>
                <w:sz w:val="18"/>
                <w:szCs w:val="18"/>
                <w:color w:val="auto"/>
              </w:rPr>
              <w:t>—</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Long-term receivable from affiliate company</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5,328</w:t>
            </w:r>
          </w:p>
        </w:tc>
        <w:tc>
          <w:tcPr>
            <w:tcW w:w="3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5,328</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Senior and ship mortgage notes</w:t>
            </w:r>
          </w:p>
        </w:tc>
        <w:tc>
          <w:tcPr>
            <w:tcW w:w="160" w:type="dxa"/>
            <w:vAlign w:val="bottom"/>
          </w:tcPr>
          <w:p>
            <w:pPr>
              <w:spacing w:after="0"/>
              <w:rPr>
                <w:sz w:val="18"/>
                <w:szCs w:val="18"/>
                <w:color w:val="auto"/>
              </w:rPr>
            </w:pPr>
          </w:p>
        </w:tc>
        <w:tc>
          <w:tcPr>
            <w:tcW w:w="1000" w:type="dxa"/>
            <w:vAlign w:val="bottom"/>
            <w:gridSpan w:val="3"/>
          </w:tcPr>
          <w:p>
            <w:pPr>
              <w:jc w:val="right"/>
              <w:ind w:right="14"/>
              <w:spacing w:after="0"/>
              <w:rPr>
                <w:sz w:val="20"/>
                <w:szCs w:val="20"/>
                <w:color w:val="auto"/>
              </w:rPr>
            </w:pPr>
            <w:r>
              <w:rPr>
                <w:rFonts w:ascii="Arial" w:cs="Arial" w:eastAsia="Arial" w:hAnsi="Arial"/>
                <w:sz w:val="18"/>
                <w:szCs w:val="18"/>
                <w:color w:val="auto"/>
              </w:rPr>
              <w:t>$(875,228)</w:t>
            </w:r>
          </w:p>
        </w:tc>
        <w:tc>
          <w:tcPr>
            <w:tcW w:w="1180" w:type="dxa"/>
            <w:vAlign w:val="bottom"/>
            <w:gridSpan w:val="2"/>
          </w:tcPr>
          <w:p>
            <w:pPr>
              <w:ind w:left="220"/>
              <w:spacing w:after="0"/>
              <w:rPr>
                <w:sz w:val="20"/>
                <w:szCs w:val="20"/>
                <w:color w:val="auto"/>
              </w:rPr>
            </w:pPr>
            <w:r>
              <w:rPr>
                <w:rFonts w:ascii="Arial" w:cs="Arial" w:eastAsia="Arial" w:hAnsi="Arial"/>
                <w:sz w:val="18"/>
                <w:szCs w:val="18"/>
                <w:color w:val="auto"/>
              </w:rPr>
              <w:t>$(866,602)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(8,626)</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140"/>
              <w:spacing w:after="0"/>
              <w:rPr>
                <w:sz w:val="20"/>
                <w:szCs w:val="20"/>
                <w:color w:val="auto"/>
              </w:rPr>
            </w:pPr>
            <w:r>
              <w:rPr>
                <w:rFonts w:ascii="Arial" w:cs="Arial" w:eastAsia="Arial" w:hAnsi="Arial"/>
                <w:sz w:val="18"/>
                <w:szCs w:val="18"/>
                <w:color w:val="auto"/>
              </w:rPr>
              <w:t>—</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including current portion</w:t>
            </w:r>
            <w:r>
              <w:rPr>
                <w:rFonts w:ascii="Arial" w:cs="Arial" w:eastAsia="Arial" w:hAnsi="Arial"/>
                <w:sz w:val="15"/>
                <w:szCs w:val="15"/>
                <w:color w:val="auto"/>
              </w:rPr>
              <w:t>(1)</w:t>
            </w: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4"/>
              <w:spacing w:after="0"/>
              <w:rPr>
                <w:sz w:val="20"/>
                <w:szCs w:val="20"/>
                <w:color w:val="auto"/>
              </w:rPr>
            </w:pPr>
            <w:r>
              <w:rPr>
                <w:rFonts w:ascii="Arial" w:cs="Arial" w:eastAsia="Arial" w:hAnsi="Arial"/>
                <w:sz w:val="18"/>
                <w:szCs w:val="18"/>
                <w:color w:val="auto"/>
              </w:rPr>
              <w:t>$(264,498)</w:t>
            </w:r>
          </w:p>
        </w:tc>
        <w:tc>
          <w:tcPr>
            <w:tcW w:w="3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88"/>
              </w:rPr>
              <w:t>(264,498)</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Loans payable to affiliate companies, including current portion</w:t>
            </w:r>
          </w:p>
        </w:tc>
        <w:tc>
          <w:tcPr>
            <w:tcW w:w="160" w:type="dxa"/>
            <w:vAlign w:val="bottom"/>
          </w:tcPr>
          <w:p>
            <w:pPr>
              <w:spacing w:after="0"/>
              <w:rPr>
                <w:sz w:val="18"/>
                <w:szCs w:val="18"/>
                <w:color w:val="auto"/>
              </w:rPr>
            </w:pPr>
          </w:p>
        </w:tc>
        <w:tc>
          <w:tcPr>
            <w:tcW w:w="1000" w:type="dxa"/>
            <w:vAlign w:val="bottom"/>
            <w:gridSpan w:val="3"/>
          </w:tcPr>
          <w:p>
            <w:pPr>
              <w:jc w:val="right"/>
              <w:ind w:right="14"/>
              <w:spacing w:after="0"/>
              <w:rPr>
                <w:sz w:val="20"/>
                <w:szCs w:val="20"/>
                <w:color w:val="auto"/>
              </w:rPr>
            </w:pPr>
            <w:r>
              <w:rPr>
                <w:rFonts w:ascii="Arial" w:cs="Arial" w:eastAsia="Arial" w:hAnsi="Arial"/>
                <w:sz w:val="18"/>
                <w:szCs w:val="18"/>
                <w:color w:val="auto"/>
              </w:rPr>
              <w:t>$(130,538)</w:t>
            </w:r>
          </w:p>
        </w:tc>
        <w:tc>
          <w:tcPr>
            <w:tcW w:w="320" w:type="dxa"/>
            <w:vAlign w:val="bottom"/>
          </w:tcPr>
          <w:p>
            <w:pPr>
              <w:ind w:left="220"/>
              <w:spacing w:after="0"/>
              <w:rPr>
                <w:sz w:val="20"/>
                <w:szCs w:val="20"/>
                <w:color w:val="auto"/>
              </w:rPr>
            </w:pPr>
            <w:r>
              <w:rPr>
                <w:rFonts w:ascii="Arial" w:cs="Arial" w:eastAsia="Arial" w:hAnsi="Arial"/>
                <w:sz w:val="18"/>
                <w:szCs w:val="18"/>
                <w:color w:val="auto"/>
                <w:w w:val="79"/>
              </w:rPr>
              <w:t>$</w:t>
            </w:r>
          </w:p>
        </w:tc>
        <w:tc>
          <w:tcPr>
            <w:tcW w:w="860" w:type="dxa"/>
            <w:vAlign w:val="bottom"/>
          </w:tcPr>
          <w:p>
            <w:pPr>
              <w:ind w:left="38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w w:val="88"/>
              </w:rPr>
              <w:t>(130,538)</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140"/>
              <w:spacing w:after="0"/>
              <w:rPr>
                <w:sz w:val="20"/>
                <w:szCs w:val="20"/>
                <w:color w:val="auto"/>
              </w:rPr>
            </w:pPr>
            <w:r>
              <w:rPr>
                <w:rFonts w:ascii="Arial" w:cs="Arial" w:eastAsia="Arial" w:hAnsi="Arial"/>
                <w:sz w:val="18"/>
                <w:szCs w:val="18"/>
                <w:color w:val="auto"/>
              </w:rPr>
              <w:t>—</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Long-term payable to affiliate companies</w:t>
            </w:r>
            <w:r>
              <w:rPr>
                <w:rFonts w:ascii="Arial" w:cs="Arial" w:eastAsia="Arial" w:hAnsi="Arial"/>
                <w:sz w:val="15"/>
                <w:szCs w:val="15"/>
                <w:color w:val="auto"/>
              </w:rPr>
              <w:t>(2)</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(5,000)</w:t>
            </w:r>
          </w:p>
        </w:tc>
        <w:tc>
          <w:tcPr>
            <w:tcW w:w="3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(5,000)</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left="540" w:right="480" w:hanging="424"/>
        <w:spacing w:after="0" w:line="274" w:lineRule="auto"/>
        <w:tabs>
          <w:tab w:leader="none" w:pos="54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The fair value of the Company’s long-term debt is estimated based on currently available debt with similar contract terms, interest rates and remaining maturities, published quoted market prices as well as taking into account the Company’s creditworthiness.</w:t>
      </w:r>
    </w:p>
    <w:p>
      <w:pPr>
        <w:jc w:val="both"/>
        <w:ind w:left="540" w:hanging="424"/>
        <w:spacing w:after="0" w:line="255" w:lineRule="auto"/>
        <w:tabs>
          <w:tab w:leader="none" w:pos="5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fair value of the Company’s loan receivable from/payable to affiliate companies and long-term receivable from/payable to affiliate companies is estimated based on currently available debt with similar contract terms, interest rate and remaining maturities as well as taking into account the counterparty’s creditworthiness.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13: EMPLOYEE BENEFIT PLANS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Retirement Saving Plan</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Company sponsored an employee saving plan covering all of its employees in the United States. The Company’s contributions to the employee saving plan during the years ended December 31, 2020, 2019 and 2018, were approximately $0, $73 and $132, respectively, which included a discretionary contribution of $0, $0 and $36, respectively. Following the sale of the management division effected on August 30, 2019, outlined in Note 3, these benefits are provided by NSM.</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Defined Benefit Pension Plan</w:t>
      </w:r>
    </w:p>
    <w:p>
      <w:pPr>
        <w:spacing w:after="0" w:line="121"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The Company sponsored a legacy unfunded defined benefit pension plan that covered certain Bahamian and Uruguayan nationals and former Navios Corporation employees. The liability related to the plan was recognized based on actuarial valuations. The current portion of the liability was included in accrued expenses and the non-current portion of the liability was included in other long-term liabilities. There were no pension plan assets. Following the sale of the management division effected on August 30, 2019, outlined in Note 3, these benefits are provided by NSM.</w:t>
      </w:r>
    </w:p>
    <w:p>
      <w:pPr>
        <w:spacing w:after="0" w:line="157"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color w:val="auto"/>
        </w:rPr>
        <w:t>The Greek office employees were protected by the Greek Labor Law. According to the law, the Company was required to pay retirement indemnities to employees on dismissal, or on leaving with an entitlement to a full security retirement pension. Please refer to Note 2(s). Following the sale of the management division effected on August 30, 2019, outlined in Note 3, these benefits are provided by NSM.</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 Plan</w:t>
      </w:r>
    </w:p>
    <w:p>
      <w:pPr>
        <w:spacing w:after="0" w:line="121"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The Company has awarded restricted share units, shares of restricted common stock and restricted stock units to its employees, officers and directors. The restriction lapses in two, three or four equal tranches, over the requisite service periods, of one, two, three and four years from the grant date. The Company has also awarded share appreciation rights and stock options to its officers and directors only, based on service conditions, which vest in three equal tranches over the requisite service periods of one, two and three years from the grant date. Each option expires seven years after its grant date. Please refer to Note 2(s).</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080"/>
          </w:cols>
          <w:pgMar w:left="320" w:top="459" w:right="49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NAVIOS MARITIME HOLDINGS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(Expressed in thousands of U.S. dollars — except share data)</w:t>
      </w:r>
    </w:p>
    <w:p>
      <w:pPr>
        <w:spacing w:after="0" w:line="143"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During the years ended December 31, 2020, 2019 and 2018, the Company did not award any restricted stock, restricted stock units or stock options, which vest upon achievement of certain performance conditions.</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fair value of all share appreciation rights awards and stock option awards has been calculated based on the modified Black-Scholes method. A description of the significant assumptions used to estimate the fair value of the stock option awards is set out below:</w:t>
      </w:r>
    </w:p>
    <w:p>
      <w:pPr>
        <w:spacing w:after="0" w:line="76" w:lineRule="exact"/>
        <w:rPr>
          <w:sz w:val="20"/>
          <w:szCs w:val="20"/>
          <w:color w:val="auto"/>
        </w:rPr>
      </w:pPr>
    </w:p>
    <w:p>
      <w:pPr>
        <w:ind w:left="1080" w:hanging="424"/>
        <w:spacing w:after="0" w:line="296" w:lineRule="auto"/>
        <w:tabs>
          <w:tab w:leader="none" w:pos="1080" w:val="left"/>
        </w:tabs>
        <w:numPr>
          <w:ilvl w:val="0"/>
          <w:numId w:val="133"/>
        </w:numPr>
        <w:rPr>
          <w:rFonts w:ascii="Arial" w:cs="Arial" w:eastAsia="Arial" w:hAnsi="Arial"/>
          <w:sz w:val="16"/>
          <w:szCs w:val="16"/>
          <w:color w:val="auto"/>
        </w:rPr>
      </w:pPr>
      <w:r>
        <w:rPr>
          <w:rFonts w:ascii="Arial" w:cs="Arial" w:eastAsia="Arial" w:hAnsi="Arial"/>
          <w:sz w:val="16"/>
          <w:szCs w:val="16"/>
          <w:i w:val="1"/>
          <w:iCs w:val="1"/>
          <w:color w:val="auto"/>
        </w:rPr>
        <w:t xml:space="preserve">Expected term: </w:t>
      </w:r>
      <w:r>
        <w:rPr>
          <w:rFonts w:ascii="Arial" w:cs="Arial" w:eastAsia="Arial" w:hAnsi="Arial"/>
          <w:sz w:val="16"/>
          <w:szCs w:val="16"/>
          <w:color w:val="auto"/>
        </w:rPr>
        <w:t>The Company began granting stock options in October 2007. The first stock option exercise was in 2010 and the number of</w:t>
      </w:r>
      <w:r>
        <w:rPr>
          <w:rFonts w:ascii="Arial" w:cs="Arial" w:eastAsia="Arial" w:hAnsi="Arial"/>
          <w:sz w:val="16"/>
          <w:szCs w:val="16"/>
          <w:i w:val="1"/>
          <w:iCs w:val="1"/>
          <w:color w:val="auto"/>
        </w:rPr>
        <w:t xml:space="preserve"> </w:t>
      </w:r>
      <w:r>
        <w:rPr>
          <w:rFonts w:ascii="Arial" w:cs="Arial" w:eastAsia="Arial" w:hAnsi="Arial"/>
          <w:sz w:val="16"/>
          <w:szCs w:val="16"/>
          <w:color w:val="auto"/>
        </w:rPr>
        <w:t>options exercised (adjusted to reflect the Reverse Stock Split) during each of the years ended December 31, 2014 (14,319), 2013 (15,356), 2012 (2,925), 2011 (13,058) and 2010 (13,058) was small in relation to the total number of options granted. No stock options were exercised during the years ended December 31, 2020, 2019 and 2018. Therefore, due to limited historical share option exercise experience to provide for a reasonable basis upon which to estimate expected term, the Company opted to apply the simplified method.</w:t>
      </w:r>
    </w:p>
    <w:p>
      <w:pPr>
        <w:spacing w:after="0" w:line="161" w:lineRule="exact"/>
        <w:rPr>
          <w:sz w:val="20"/>
          <w:szCs w:val="20"/>
          <w:color w:val="auto"/>
        </w:rPr>
      </w:pPr>
    </w:p>
    <w:p>
      <w:pPr>
        <w:ind w:left="120" w:right="280" w:firstLine="440"/>
        <w:spacing w:after="0" w:line="257" w:lineRule="auto"/>
        <w:rPr>
          <w:sz w:val="20"/>
          <w:szCs w:val="20"/>
          <w:color w:val="auto"/>
        </w:rPr>
      </w:pPr>
      <w:r>
        <w:rPr>
          <w:rFonts w:ascii="Arial" w:cs="Arial" w:eastAsia="Arial" w:hAnsi="Arial"/>
          <w:sz w:val="18"/>
          <w:szCs w:val="18"/>
          <w:color w:val="auto"/>
        </w:rPr>
        <w:t>The “simplified method” used includes taking the average of the weighted average time to vesting and the contractual term of the share appreciation rights and option awards. The service conditions share appreciation rights and option awards vest over three years at 33.3%, 33.3% and 33.4%, respectively, resulting in a weighted average time to vest of approximately 2 years. The contractual term of the award is 7 years. Utilizing the simplified approach formula, the derived expected term estimate for the Company’s service conditions share appreciation rights and option award is 4.5 years.</w:t>
      </w:r>
    </w:p>
    <w:p>
      <w:pPr>
        <w:spacing w:after="0" w:line="93" w:lineRule="exact"/>
        <w:rPr>
          <w:sz w:val="20"/>
          <w:szCs w:val="20"/>
          <w:color w:val="auto"/>
        </w:rPr>
      </w:pPr>
    </w:p>
    <w:p>
      <w:pPr>
        <w:ind w:left="1080" w:right="360" w:hanging="424"/>
        <w:spacing w:after="0" w:line="263" w:lineRule="auto"/>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The historical volatility of Navios Holdings’ shares was used in order to estimate the volatility of the share</w:t>
      </w:r>
      <w:r>
        <w:rPr>
          <w:rFonts w:ascii="Arial" w:cs="Arial" w:eastAsia="Arial" w:hAnsi="Arial"/>
          <w:sz w:val="18"/>
          <w:szCs w:val="18"/>
          <w:i w:val="1"/>
          <w:iCs w:val="1"/>
          <w:color w:val="auto"/>
        </w:rPr>
        <w:t xml:space="preserve"> </w:t>
      </w:r>
      <w:r>
        <w:rPr>
          <w:rFonts w:ascii="Arial" w:cs="Arial" w:eastAsia="Arial" w:hAnsi="Arial"/>
          <w:sz w:val="18"/>
          <w:szCs w:val="18"/>
          <w:color w:val="auto"/>
        </w:rPr>
        <w:t>appreciation rights and stock option awards. The final expected volatility estimate, which equals the historical estimate, for the service conditions option awards was 84.71% and 55.17% for 2016 and 2015, respectively.</w:t>
      </w:r>
    </w:p>
    <w:p>
      <w:pPr>
        <w:spacing w:after="0" w:line="89"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i w:val="1"/>
          <w:iCs w:val="1"/>
          <w:color w:val="auto"/>
        </w:rPr>
        <w:t xml:space="preserve">Expected dividends: </w:t>
      </w:r>
      <w:r>
        <w:rPr>
          <w:rFonts w:ascii="Arial" w:cs="Arial" w:eastAsia="Arial" w:hAnsi="Arial"/>
          <w:sz w:val="18"/>
          <w:szCs w:val="18"/>
          <w:color w:val="auto"/>
        </w:rPr>
        <w:t>The expected dividend is based on the current dividend, our historical pattern of dividend changes and the market</w:t>
      </w:r>
      <w:r>
        <w:rPr>
          <w:rFonts w:ascii="Arial" w:cs="Arial" w:eastAsia="Arial" w:hAnsi="Arial"/>
          <w:sz w:val="18"/>
          <w:szCs w:val="18"/>
          <w:i w:val="1"/>
          <w:iCs w:val="1"/>
          <w:color w:val="auto"/>
        </w:rPr>
        <w:t xml:space="preserve"> </w:t>
      </w:r>
      <w:r>
        <w:rPr>
          <w:rFonts w:ascii="Arial" w:cs="Arial" w:eastAsia="Arial" w:hAnsi="Arial"/>
          <w:sz w:val="18"/>
          <w:szCs w:val="18"/>
          <w:color w:val="auto"/>
        </w:rPr>
        <w:t>price of our stock.</w:t>
      </w:r>
    </w:p>
    <w:p>
      <w:pPr>
        <w:spacing w:after="0" w:line="75"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i w:val="1"/>
          <w:iCs w:val="1"/>
          <w:color w:val="auto"/>
        </w:rPr>
        <w:t xml:space="preserve">Risk-free rate: </w:t>
      </w:r>
      <w:r>
        <w:rPr>
          <w:rFonts w:ascii="Arial" w:cs="Arial" w:eastAsia="Arial" w:hAnsi="Arial"/>
          <w:sz w:val="18"/>
          <w:szCs w:val="18"/>
          <w:color w:val="auto"/>
        </w:rPr>
        <w:t>Navios Holdings has selected to employ the risk-free yield-to-maturity rate to match the expected term estimated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“simplified method”. For the service conditions share appreciation rights and option awards, the 4.5-year yield-to-maturity rate as of the grant date was 1.81% and 1.46% for 2016 and 2015, respectively.</w:t>
      </w:r>
    </w:p>
    <w:p>
      <w:pPr>
        <w:spacing w:after="0" w:line="184"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fair value of restricted share unit, restricted stock and restricted stock unit grants excludes dividends to which holders of restricted share units, restricted stock and restricted stock units are not entitled. The expected dividend assumption used in the valuation of restricted share unit, restricted stock and restricted stock units grant is $0 for 2020, 2019 and 2018.</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 restricted stock has been granted for the year ended December 31, 2020.</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weighted average grant date fair value of restricted stock granted during the year ended December 31, 2019 was $2.84.</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weighted average grant date fair value of restricted stock granted during the year ended December 31, 2018 was $3.0.</w:t>
      </w:r>
    </w:p>
    <w:p>
      <w:pPr>
        <w:spacing w:after="0" w:line="225"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effect of compensation expense arising from the stock-based arrangements described above amounted to $1,268, $2,885 and $4,556 for the years ended December 31, 2020, 2019 and 2018, respectively and it was reflected in general and administrative expenses on the consolidated statements of comprehensive (loss)/income. The recognized compensation expense for the year is presented as an adjustment to reconcile net income to net cash provided by operating activities on the consolidated statements of cash flows.</w:t>
      </w:r>
    </w:p>
    <w:p>
      <w:pPr>
        <w:spacing w:after="0" w:line="18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outstanding stock-based awards as of August 30, 2019, date of the sale of the management division, relate to grants to the Company’s officers and directors.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120"/>
          </w:cols>
          <w:pgMar w:left="320" w:top="459" w:right="45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NAVIOS MARITIME HOLDINGS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(Expressed in thousands of U.S. dollars — except share data)</w:t>
      </w:r>
    </w:p>
    <w:p>
      <w:pPr>
        <w:spacing w:after="0" w:line="143"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summary of stock-based awards is summarized as follows (in thousands except share and per share data which have been adjusted to reflect the Reverse Stock Split):</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960" w:type="dxa"/>
            <w:vAlign w:val="bottom"/>
            <w:gridSpan w:val="2"/>
          </w:tcPr>
          <w:p>
            <w:pPr>
              <w:ind w:left="160"/>
              <w:spacing w:after="0"/>
              <w:rPr>
                <w:sz w:val="20"/>
                <w:szCs w:val="20"/>
                <w:color w:val="auto"/>
              </w:rPr>
            </w:pPr>
            <w:r>
              <w:rPr>
                <w:rFonts w:ascii="Arial" w:cs="Arial" w:eastAsia="Arial" w:hAnsi="Arial"/>
                <w:sz w:val="14"/>
                <w:szCs w:val="14"/>
                <w:b w:val="1"/>
                <w:bCs w:val="1"/>
                <w:color w:val="auto"/>
              </w:rPr>
              <w:t>Weighted</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9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7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exercise</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760" w:type="dxa"/>
            <w:vAlign w:val="bottom"/>
          </w:tcPr>
          <w:p>
            <w:pPr>
              <w:spacing w:after="0"/>
              <w:rPr>
                <w:sz w:val="20"/>
                <w:szCs w:val="20"/>
                <w:color w:val="auto"/>
              </w:rPr>
            </w:pPr>
            <w:r>
              <w:rPr>
                <w:rFonts w:ascii="Arial" w:cs="Arial" w:eastAsia="Arial" w:hAnsi="Arial"/>
                <w:sz w:val="14"/>
                <w:szCs w:val="14"/>
                <w:b w:val="1"/>
                <w:bCs w:val="1"/>
                <w:color w:val="auto"/>
              </w:rPr>
              <w:t>Options</w:t>
            </w:r>
          </w:p>
        </w:tc>
        <w:tc>
          <w:tcPr>
            <w:tcW w:w="2400" w:type="dxa"/>
            <w:vAlign w:val="bottom"/>
          </w:tcPr>
          <w:p>
            <w:pPr>
              <w:jc w:val="right"/>
              <w:ind w:right="271"/>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6"/>
                <w:szCs w:val="16"/>
                <w:color w:val="auto"/>
              </w:rPr>
            </w:pPr>
          </w:p>
        </w:tc>
        <w:tc>
          <w:tcPr>
            <w:tcW w:w="680" w:type="dxa"/>
            <w:vAlign w:val="bottom"/>
          </w:tcPr>
          <w:p>
            <w:pPr>
              <w:jc w:val="center"/>
              <w:ind w:right="231"/>
              <w:spacing w:after="0"/>
              <w:rPr>
                <w:sz w:val="20"/>
                <w:szCs w:val="20"/>
                <w:color w:val="auto"/>
              </w:rPr>
            </w:pPr>
            <w:r>
              <w:rPr>
                <w:rFonts w:ascii="Arial" w:cs="Arial" w:eastAsia="Arial" w:hAnsi="Arial"/>
                <w:sz w:val="14"/>
                <w:szCs w:val="14"/>
                <w:b w:val="1"/>
                <w:bCs w:val="1"/>
                <w:color w:val="auto"/>
                <w:w w:val="95"/>
              </w:rPr>
              <w:t>price</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8"/>
              </w:rPr>
              <w:t>term</w:t>
            </w:r>
          </w:p>
        </w:tc>
        <w:tc>
          <w:tcPr>
            <w:tcW w:w="940" w:type="dxa"/>
            <w:vAlign w:val="bottom"/>
            <w:gridSpan w:val="2"/>
          </w:tcPr>
          <w:p>
            <w:pPr>
              <w:ind w:left="2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2017</w:t>
            </w:r>
          </w:p>
        </w:tc>
        <w:tc>
          <w:tcPr>
            <w:tcW w:w="2400" w:type="dxa"/>
            <w:vAlign w:val="bottom"/>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790,458</w:t>
            </w:r>
          </w:p>
        </w:tc>
        <w:tc>
          <w:tcPr>
            <w:tcW w:w="2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w w:val="99"/>
              </w:rPr>
              <w:t>$</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29.8</w:t>
            </w:r>
          </w:p>
        </w:tc>
        <w:tc>
          <w:tcPr>
            <w:tcW w:w="106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3.80</w:t>
            </w:r>
          </w:p>
        </w:tc>
        <w:tc>
          <w:tcPr>
            <w:tcW w:w="3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7,539</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Vested at December 31, 2017</w:t>
            </w:r>
          </w:p>
        </w:tc>
        <w:tc>
          <w:tcPr>
            <w:tcW w:w="2400" w:type="dxa"/>
            <w:vAlign w:val="bottom"/>
          </w:tcPr>
          <w:p>
            <w:pPr>
              <w:jc w:val="right"/>
              <w:ind w:right="131"/>
              <w:spacing w:after="0"/>
              <w:rPr>
                <w:sz w:val="20"/>
                <w:szCs w:val="20"/>
                <w:color w:val="auto"/>
              </w:rPr>
            </w:pPr>
            <w:r>
              <w:rPr>
                <w:rFonts w:ascii="Arial" w:cs="Arial" w:eastAsia="Arial" w:hAnsi="Arial"/>
                <w:sz w:val="18"/>
                <w:szCs w:val="18"/>
                <w:color w:val="auto"/>
              </w:rPr>
              <w:t>136,011</w:t>
            </w:r>
          </w:p>
        </w:tc>
        <w:tc>
          <w:tcPr>
            <w:tcW w:w="280" w:type="dxa"/>
            <w:vAlign w:val="bottom"/>
          </w:tcPr>
          <w:p>
            <w:pPr>
              <w:spacing w:after="0"/>
              <w:rPr>
                <w:sz w:val="18"/>
                <w:szCs w:val="18"/>
                <w:color w:val="auto"/>
              </w:rPr>
            </w:pPr>
          </w:p>
        </w:tc>
        <w:tc>
          <w:tcPr>
            <w:tcW w:w="680" w:type="dxa"/>
            <w:vAlign w:val="bottom"/>
          </w:tcPr>
          <w:p>
            <w:pPr>
              <w:jc w:val="center"/>
              <w:ind w:right="11"/>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December 31, 2017</w:t>
            </w:r>
          </w:p>
        </w:tc>
        <w:tc>
          <w:tcPr>
            <w:tcW w:w="24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136,011</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center"/>
              <w:ind w:right="11"/>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Forfeited or expired</w:t>
            </w:r>
          </w:p>
        </w:tc>
        <w:tc>
          <w:tcPr>
            <w:tcW w:w="2400" w:type="dxa"/>
            <w:vAlign w:val="bottom"/>
          </w:tcPr>
          <w:p>
            <w:pPr>
              <w:jc w:val="right"/>
              <w:ind w:right="71"/>
              <w:spacing w:after="0"/>
              <w:rPr>
                <w:sz w:val="20"/>
                <w:szCs w:val="20"/>
                <w:color w:val="auto"/>
              </w:rPr>
            </w:pPr>
            <w:r>
              <w:rPr>
                <w:rFonts w:ascii="Arial" w:cs="Arial" w:eastAsia="Arial" w:hAnsi="Arial"/>
                <w:sz w:val="18"/>
                <w:szCs w:val="18"/>
                <w:color w:val="auto"/>
              </w:rPr>
              <w:t>(128,481)</w:t>
            </w:r>
          </w:p>
        </w:tc>
        <w:tc>
          <w:tcPr>
            <w:tcW w:w="280" w:type="dxa"/>
            <w:vAlign w:val="bottom"/>
          </w:tcPr>
          <w:p>
            <w:pPr>
              <w:spacing w:after="0"/>
              <w:rPr>
                <w:sz w:val="18"/>
                <w:szCs w:val="18"/>
                <w:color w:val="auto"/>
              </w:rPr>
            </w:pPr>
          </w:p>
        </w:tc>
        <w:tc>
          <w:tcPr>
            <w:tcW w:w="680" w:type="dxa"/>
            <w:vAlign w:val="bottom"/>
          </w:tcPr>
          <w:p>
            <w:pPr>
              <w:jc w:val="center"/>
              <w:ind w:right="11"/>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(1,843)</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24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center"/>
              <w:ind w:right="11"/>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b w:val="1"/>
                <w:bCs w:val="1"/>
                <w:color w:val="auto"/>
              </w:rPr>
              <w:t>Outstanding as of December 31, 2018</w:t>
            </w:r>
          </w:p>
        </w:tc>
        <w:tc>
          <w:tcPr>
            <w:tcW w:w="2400" w:type="dxa"/>
            <w:vAlign w:val="bottom"/>
          </w:tcPr>
          <w:p>
            <w:pPr>
              <w:jc w:val="right"/>
              <w:ind w:right="131"/>
              <w:spacing w:after="0"/>
              <w:rPr>
                <w:sz w:val="20"/>
                <w:szCs w:val="20"/>
                <w:color w:val="auto"/>
              </w:rPr>
            </w:pPr>
            <w:r>
              <w:rPr>
                <w:rFonts w:ascii="Arial" w:cs="Arial" w:eastAsia="Arial" w:hAnsi="Arial"/>
                <w:sz w:val="18"/>
                <w:szCs w:val="18"/>
                <w:b w:val="1"/>
                <w:bCs w:val="1"/>
                <w:color w:val="auto"/>
              </w:rPr>
              <w:t>661,977</w:t>
            </w:r>
          </w:p>
        </w:tc>
        <w:tc>
          <w:tcPr>
            <w:tcW w:w="280" w:type="dxa"/>
            <w:vAlign w:val="bottom"/>
          </w:tcPr>
          <w:p>
            <w:pPr>
              <w:ind w:left="160"/>
              <w:spacing w:after="0"/>
              <w:rPr>
                <w:sz w:val="20"/>
                <w:szCs w:val="20"/>
                <w:color w:val="auto"/>
              </w:rPr>
            </w:pPr>
            <w:r>
              <w:rPr>
                <w:rFonts w:ascii="Arial" w:cs="Arial" w:eastAsia="Arial" w:hAnsi="Arial"/>
                <w:sz w:val="18"/>
                <w:szCs w:val="18"/>
                <w:b w:val="1"/>
                <w:bCs w:val="1"/>
                <w:color w:val="auto"/>
                <w:w w:val="99"/>
              </w:rPr>
              <w:t>$</w:t>
            </w: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91"/>
              </w:rPr>
              <w:t>28.2</w:t>
            </w:r>
          </w:p>
        </w:tc>
        <w:tc>
          <w:tcPr>
            <w:tcW w:w="1060" w:type="dxa"/>
            <w:vAlign w:val="bottom"/>
          </w:tcPr>
          <w:p>
            <w:pPr>
              <w:jc w:val="right"/>
              <w:ind w:right="132"/>
              <w:spacing w:after="0"/>
              <w:rPr>
                <w:sz w:val="20"/>
                <w:szCs w:val="20"/>
                <w:color w:val="auto"/>
              </w:rPr>
            </w:pPr>
            <w:r>
              <w:rPr>
                <w:rFonts w:ascii="Arial" w:cs="Arial" w:eastAsia="Arial" w:hAnsi="Arial"/>
                <w:sz w:val="18"/>
                <w:szCs w:val="18"/>
                <w:b w:val="1"/>
                <w:bCs w:val="1"/>
                <w:color w:val="auto"/>
              </w:rPr>
              <w:t>3.36</w:t>
            </w:r>
          </w:p>
        </w:tc>
        <w:tc>
          <w:tcPr>
            <w:tcW w:w="340" w:type="dxa"/>
            <w:vAlign w:val="bottom"/>
          </w:tcPr>
          <w:p>
            <w:pPr>
              <w:ind w:left="200"/>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ind w:right="10"/>
              <w:spacing w:after="0"/>
              <w:rPr>
                <w:sz w:val="20"/>
                <w:szCs w:val="20"/>
                <w:color w:val="auto"/>
              </w:rPr>
            </w:pPr>
            <w:r>
              <w:rPr>
                <w:rFonts w:ascii="Arial" w:cs="Arial" w:eastAsia="Arial" w:hAnsi="Arial"/>
                <w:sz w:val="18"/>
                <w:szCs w:val="18"/>
                <w:b w:val="1"/>
                <w:bCs w:val="1"/>
                <w:color w:val="auto"/>
              </w:rPr>
              <w:t>5,696</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Vested at December 31, 2018</w:t>
            </w:r>
          </w:p>
        </w:tc>
        <w:tc>
          <w:tcPr>
            <w:tcW w:w="24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116,667</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center"/>
              <w:ind w:right="11"/>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Exercisable at December 31, 2018</w:t>
            </w:r>
          </w:p>
        </w:tc>
        <w:tc>
          <w:tcPr>
            <w:tcW w:w="2400" w:type="dxa"/>
            <w:vAlign w:val="bottom"/>
          </w:tcPr>
          <w:p>
            <w:pPr>
              <w:jc w:val="right"/>
              <w:ind w:right="131"/>
              <w:spacing w:after="0"/>
              <w:rPr>
                <w:sz w:val="20"/>
                <w:szCs w:val="20"/>
                <w:color w:val="auto"/>
              </w:rPr>
            </w:pPr>
            <w:r>
              <w:rPr>
                <w:rFonts w:ascii="Arial" w:cs="Arial" w:eastAsia="Arial" w:hAnsi="Arial"/>
                <w:sz w:val="18"/>
                <w:szCs w:val="18"/>
                <w:color w:val="auto"/>
              </w:rPr>
              <w:t>116,667</w:t>
            </w:r>
          </w:p>
        </w:tc>
        <w:tc>
          <w:tcPr>
            <w:tcW w:w="280" w:type="dxa"/>
            <w:vAlign w:val="bottom"/>
          </w:tcPr>
          <w:p>
            <w:pPr>
              <w:spacing w:after="0"/>
              <w:rPr>
                <w:sz w:val="18"/>
                <w:szCs w:val="18"/>
                <w:color w:val="auto"/>
              </w:rPr>
            </w:pPr>
          </w:p>
        </w:tc>
        <w:tc>
          <w:tcPr>
            <w:tcW w:w="680" w:type="dxa"/>
            <w:vAlign w:val="bottom"/>
          </w:tcPr>
          <w:p>
            <w:pPr>
              <w:jc w:val="center"/>
              <w:ind w:right="11"/>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Forfeited or expired</w:t>
            </w:r>
          </w:p>
        </w:tc>
        <w:tc>
          <w:tcPr>
            <w:tcW w:w="24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(132,209)</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center"/>
              <w:ind w:right="11"/>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b w:val="1"/>
                <w:bCs w:val="1"/>
                <w:color w:val="auto"/>
              </w:rPr>
              <w:t>Outstanding as of December 31, 2019</w:t>
            </w:r>
          </w:p>
        </w:tc>
        <w:tc>
          <w:tcPr>
            <w:tcW w:w="2400" w:type="dxa"/>
            <w:vAlign w:val="bottom"/>
          </w:tcPr>
          <w:p>
            <w:pPr>
              <w:jc w:val="right"/>
              <w:ind w:right="131"/>
              <w:spacing w:after="0"/>
              <w:rPr>
                <w:sz w:val="20"/>
                <w:szCs w:val="20"/>
                <w:color w:val="auto"/>
              </w:rPr>
            </w:pPr>
            <w:r>
              <w:rPr>
                <w:rFonts w:ascii="Arial" w:cs="Arial" w:eastAsia="Arial" w:hAnsi="Arial"/>
                <w:sz w:val="18"/>
                <w:szCs w:val="18"/>
                <w:b w:val="1"/>
                <w:bCs w:val="1"/>
                <w:color w:val="auto"/>
              </w:rPr>
              <w:t>529,768</w:t>
            </w:r>
          </w:p>
        </w:tc>
        <w:tc>
          <w:tcPr>
            <w:tcW w:w="2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91"/>
              </w:rPr>
              <w:t>26.6</w:t>
            </w:r>
          </w:p>
        </w:tc>
        <w:tc>
          <w:tcPr>
            <w:tcW w:w="1060" w:type="dxa"/>
            <w:vAlign w:val="bottom"/>
          </w:tcPr>
          <w:p>
            <w:pPr>
              <w:jc w:val="right"/>
              <w:ind w:right="132"/>
              <w:spacing w:after="0"/>
              <w:rPr>
                <w:sz w:val="20"/>
                <w:szCs w:val="20"/>
                <w:color w:val="auto"/>
              </w:rPr>
            </w:pPr>
            <w:r>
              <w:rPr>
                <w:rFonts w:ascii="Arial" w:cs="Arial" w:eastAsia="Arial" w:hAnsi="Arial"/>
                <w:sz w:val="18"/>
                <w:szCs w:val="18"/>
                <w:b w:val="1"/>
                <w:bCs w:val="1"/>
                <w:color w:val="auto"/>
              </w:rPr>
              <w:t>2.96</w:t>
            </w:r>
          </w:p>
        </w:tc>
        <w:tc>
          <w:tcPr>
            <w:tcW w:w="34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b w:val="1"/>
                <w:bCs w:val="1"/>
                <w:color w:val="auto"/>
              </w:rPr>
              <w:t>5,014</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Vested at December 31, 2019</w:t>
            </w:r>
          </w:p>
        </w:tc>
        <w:tc>
          <w:tcPr>
            <w:tcW w:w="24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83,333</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center"/>
              <w:ind w:right="11"/>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Exercisable at December 31, 2019</w:t>
            </w:r>
          </w:p>
        </w:tc>
        <w:tc>
          <w:tcPr>
            <w:tcW w:w="2400" w:type="dxa"/>
            <w:vAlign w:val="bottom"/>
          </w:tcPr>
          <w:p>
            <w:pPr>
              <w:jc w:val="right"/>
              <w:ind w:right="131"/>
              <w:spacing w:after="0"/>
              <w:rPr>
                <w:sz w:val="20"/>
                <w:szCs w:val="20"/>
                <w:color w:val="auto"/>
              </w:rPr>
            </w:pPr>
            <w:r>
              <w:rPr>
                <w:rFonts w:ascii="Arial" w:cs="Arial" w:eastAsia="Arial" w:hAnsi="Arial"/>
                <w:sz w:val="18"/>
                <w:szCs w:val="18"/>
                <w:color w:val="auto"/>
              </w:rPr>
              <w:t>83,333</w:t>
            </w:r>
          </w:p>
        </w:tc>
        <w:tc>
          <w:tcPr>
            <w:tcW w:w="280" w:type="dxa"/>
            <w:vAlign w:val="bottom"/>
          </w:tcPr>
          <w:p>
            <w:pPr>
              <w:spacing w:after="0"/>
              <w:rPr>
                <w:sz w:val="18"/>
                <w:szCs w:val="18"/>
                <w:color w:val="auto"/>
              </w:rPr>
            </w:pPr>
          </w:p>
        </w:tc>
        <w:tc>
          <w:tcPr>
            <w:tcW w:w="680" w:type="dxa"/>
            <w:vAlign w:val="bottom"/>
          </w:tcPr>
          <w:p>
            <w:pPr>
              <w:jc w:val="center"/>
              <w:ind w:right="11"/>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Forfeited or expired</w:t>
            </w:r>
          </w:p>
        </w:tc>
        <w:tc>
          <w:tcPr>
            <w:tcW w:w="24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(67,475)</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center"/>
              <w:ind w:right="11"/>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(1,199)</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b w:val="1"/>
                <w:bCs w:val="1"/>
                <w:color w:val="auto"/>
              </w:rPr>
              <w:t>Outstanding as of December 31, 2020</w:t>
            </w:r>
          </w:p>
        </w:tc>
        <w:tc>
          <w:tcPr>
            <w:tcW w:w="2400" w:type="dxa"/>
            <w:vAlign w:val="bottom"/>
          </w:tcPr>
          <w:p>
            <w:pPr>
              <w:jc w:val="right"/>
              <w:ind w:right="131"/>
              <w:spacing w:after="0"/>
              <w:rPr>
                <w:sz w:val="20"/>
                <w:szCs w:val="20"/>
                <w:color w:val="auto"/>
              </w:rPr>
            </w:pPr>
            <w:r>
              <w:rPr>
                <w:rFonts w:ascii="Arial" w:cs="Arial" w:eastAsia="Arial" w:hAnsi="Arial"/>
                <w:sz w:val="18"/>
                <w:szCs w:val="18"/>
                <w:b w:val="1"/>
                <w:bCs w:val="1"/>
                <w:color w:val="auto"/>
              </w:rPr>
              <w:t>462,293</w:t>
            </w:r>
          </w:p>
        </w:tc>
        <w:tc>
          <w:tcPr>
            <w:tcW w:w="2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91"/>
              </w:rPr>
              <w:t>17.9</w:t>
            </w:r>
          </w:p>
        </w:tc>
        <w:tc>
          <w:tcPr>
            <w:tcW w:w="1060" w:type="dxa"/>
            <w:vAlign w:val="bottom"/>
          </w:tcPr>
          <w:p>
            <w:pPr>
              <w:jc w:val="right"/>
              <w:ind w:right="132"/>
              <w:spacing w:after="0"/>
              <w:rPr>
                <w:sz w:val="20"/>
                <w:szCs w:val="20"/>
                <w:color w:val="auto"/>
              </w:rPr>
            </w:pPr>
            <w:r>
              <w:rPr>
                <w:rFonts w:ascii="Arial" w:cs="Arial" w:eastAsia="Arial" w:hAnsi="Arial"/>
                <w:sz w:val="18"/>
                <w:szCs w:val="18"/>
                <w:b w:val="1"/>
                <w:bCs w:val="1"/>
                <w:color w:val="auto"/>
              </w:rPr>
              <w:t>2.25</w:t>
            </w:r>
          </w:p>
        </w:tc>
        <w:tc>
          <w:tcPr>
            <w:tcW w:w="34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b w:val="1"/>
                <w:bCs w:val="1"/>
                <w:color w:val="auto"/>
              </w:rPr>
              <w:t>3,815</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Restricted stock and restricted stock units</w:t>
            </w:r>
          </w:p>
        </w:tc>
        <w:tc>
          <w:tcPr>
            <w:tcW w:w="2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b w:val="1"/>
                <w:bCs w:val="1"/>
                <w:color w:val="auto"/>
              </w:rPr>
              <w:t>Non Vested as of December 31, 2017</w:t>
            </w:r>
          </w:p>
        </w:tc>
        <w:tc>
          <w:tcPr>
            <w:tcW w:w="2400" w:type="dxa"/>
            <w:vAlign w:val="bottom"/>
          </w:tcPr>
          <w:p>
            <w:pPr>
              <w:jc w:val="right"/>
              <w:ind w:right="131"/>
              <w:spacing w:after="0"/>
              <w:rPr>
                <w:sz w:val="20"/>
                <w:szCs w:val="20"/>
                <w:color w:val="auto"/>
              </w:rPr>
            </w:pPr>
            <w:r>
              <w:rPr>
                <w:rFonts w:ascii="Arial" w:cs="Arial" w:eastAsia="Arial" w:hAnsi="Arial"/>
                <w:sz w:val="18"/>
                <w:szCs w:val="18"/>
                <w:b w:val="1"/>
                <w:bCs w:val="1"/>
                <w:color w:val="auto"/>
              </w:rPr>
              <w:t>701,731</w:t>
            </w:r>
          </w:p>
        </w:tc>
        <w:tc>
          <w:tcPr>
            <w:tcW w:w="280" w:type="dxa"/>
            <w:vAlign w:val="bottom"/>
          </w:tcPr>
          <w:p>
            <w:pPr>
              <w:ind w:left="160"/>
              <w:spacing w:after="0"/>
              <w:rPr>
                <w:sz w:val="20"/>
                <w:szCs w:val="20"/>
                <w:color w:val="auto"/>
              </w:rPr>
            </w:pPr>
            <w:r>
              <w:rPr>
                <w:rFonts w:ascii="Arial" w:cs="Arial" w:eastAsia="Arial" w:hAnsi="Arial"/>
                <w:sz w:val="18"/>
                <w:szCs w:val="18"/>
                <w:b w:val="1"/>
                <w:bCs w:val="1"/>
                <w:color w:val="auto"/>
                <w:w w:val="99"/>
              </w:rPr>
              <w:t>$</w:t>
            </w:r>
          </w:p>
        </w:tc>
        <w:tc>
          <w:tcPr>
            <w:tcW w:w="680" w:type="dxa"/>
            <w:vAlign w:val="bottom"/>
          </w:tcPr>
          <w:p>
            <w:pPr>
              <w:jc w:val="center"/>
              <w:ind w:right="11"/>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32"/>
              <w:spacing w:after="0"/>
              <w:rPr>
                <w:sz w:val="20"/>
                <w:szCs w:val="20"/>
                <w:color w:val="auto"/>
              </w:rPr>
            </w:pPr>
            <w:r>
              <w:rPr>
                <w:rFonts w:ascii="Arial" w:cs="Arial" w:eastAsia="Arial" w:hAnsi="Arial"/>
                <w:sz w:val="18"/>
                <w:szCs w:val="18"/>
                <w:b w:val="1"/>
                <w:bCs w:val="1"/>
                <w:color w:val="auto"/>
              </w:rPr>
              <w:t>3.09</w:t>
            </w:r>
          </w:p>
        </w:tc>
        <w:tc>
          <w:tcPr>
            <w:tcW w:w="340" w:type="dxa"/>
            <w:vAlign w:val="bottom"/>
          </w:tcPr>
          <w:p>
            <w:pPr>
              <w:ind w:left="200"/>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ind w:right="10"/>
              <w:spacing w:after="0"/>
              <w:rPr>
                <w:sz w:val="20"/>
                <w:szCs w:val="20"/>
                <w:color w:val="auto"/>
              </w:rPr>
            </w:pPr>
            <w:r>
              <w:rPr>
                <w:rFonts w:ascii="Arial" w:cs="Arial" w:eastAsia="Arial" w:hAnsi="Arial"/>
                <w:sz w:val="18"/>
                <w:szCs w:val="18"/>
                <w:b w:val="1"/>
                <w:bCs w:val="1"/>
                <w:color w:val="auto"/>
              </w:rPr>
              <w:t>9,059</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24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287,500</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center"/>
              <w:ind w:right="11"/>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Vested</w:t>
            </w:r>
          </w:p>
        </w:tc>
        <w:tc>
          <w:tcPr>
            <w:tcW w:w="2400" w:type="dxa"/>
            <w:vAlign w:val="bottom"/>
          </w:tcPr>
          <w:p>
            <w:pPr>
              <w:jc w:val="right"/>
              <w:ind w:right="71"/>
              <w:spacing w:after="0"/>
              <w:rPr>
                <w:sz w:val="20"/>
                <w:szCs w:val="20"/>
                <w:color w:val="auto"/>
              </w:rPr>
            </w:pPr>
            <w:r>
              <w:rPr>
                <w:rFonts w:ascii="Arial" w:cs="Arial" w:eastAsia="Arial" w:hAnsi="Arial"/>
                <w:sz w:val="18"/>
                <w:szCs w:val="18"/>
                <w:color w:val="auto"/>
              </w:rPr>
              <w:t>(279,071)</w:t>
            </w:r>
          </w:p>
        </w:tc>
        <w:tc>
          <w:tcPr>
            <w:tcW w:w="280" w:type="dxa"/>
            <w:vAlign w:val="bottom"/>
          </w:tcPr>
          <w:p>
            <w:pPr>
              <w:spacing w:after="0"/>
              <w:rPr>
                <w:sz w:val="18"/>
                <w:szCs w:val="18"/>
                <w:color w:val="auto"/>
              </w:rPr>
            </w:pPr>
          </w:p>
        </w:tc>
        <w:tc>
          <w:tcPr>
            <w:tcW w:w="680" w:type="dxa"/>
            <w:vAlign w:val="bottom"/>
          </w:tcPr>
          <w:p>
            <w:pPr>
              <w:jc w:val="center"/>
              <w:ind w:right="11"/>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(3,425)</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Forfeited or expired</w:t>
            </w:r>
          </w:p>
        </w:tc>
        <w:tc>
          <w:tcPr>
            <w:tcW w:w="24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(450)</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center"/>
              <w:ind w:right="11"/>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b w:val="1"/>
                <w:bCs w:val="1"/>
                <w:color w:val="auto"/>
              </w:rPr>
              <w:t>Non Vested as of December 31, 2018</w:t>
            </w:r>
          </w:p>
        </w:tc>
        <w:tc>
          <w:tcPr>
            <w:tcW w:w="2400" w:type="dxa"/>
            <w:vAlign w:val="bottom"/>
          </w:tcPr>
          <w:p>
            <w:pPr>
              <w:jc w:val="right"/>
              <w:ind w:right="131"/>
              <w:spacing w:after="0"/>
              <w:rPr>
                <w:sz w:val="20"/>
                <w:szCs w:val="20"/>
                <w:color w:val="auto"/>
              </w:rPr>
            </w:pPr>
            <w:r>
              <w:rPr>
                <w:rFonts w:ascii="Arial" w:cs="Arial" w:eastAsia="Arial" w:hAnsi="Arial"/>
                <w:sz w:val="18"/>
                <w:szCs w:val="18"/>
                <w:b w:val="1"/>
                <w:bCs w:val="1"/>
                <w:color w:val="auto"/>
              </w:rPr>
              <w:t>709,710</w:t>
            </w:r>
          </w:p>
        </w:tc>
        <w:tc>
          <w:tcPr>
            <w:tcW w:w="280" w:type="dxa"/>
            <w:vAlign w:val="bottom"/>
          </w:tcPr>
          <w:p>
            <w:pPr>
              <w:ind w:left="160"/>
              <w:spacing w:after="0"/>
              <w:rPr>
                <w:sz w:val="20"/>
                <w:szCs w:val="20"/>
                <w:color w:val="auto"/>
              </w:rPr>
            </w:pPr>
            <w:r>
              <w:rPr>
                <w:rFonts w:ascii="Arial" w:cs="Arial" w:eastAsia="Arial" w:hAnsi="Arial"/>
                <w:sz w:val="18"/>
                <w:szCs w:val="18"/>
                <w:b w:val="1"/>
                <w:bCs w:val="1"/>
                <w:color w:val="auto"/>
                <w:w w:val="99"/>
              </w:rPr>
              <w:t>$</w:t>
            </w:r>
          </w:p>
        </w:tc>
        <w:tc>
          <w:tcPr>
            <w:tcW w:w="680" w:type="dxa"/>
            <w:vAlign w:val="bottom"/>
          </w:tcPr>
          <w:p>
            <w:pPr>
              <w:jc w:val="center"/>
              <w:ind w:right="11"/>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32"/>
              <w:spacing w:after="0"/>
              <w:rPr>
                <w:sz w:val="20"/>
                <w:szCs w:val="20"/>
                <w:color w:val="auto"/>
              </w:rPr>
            </w:pPr>
            <w:r>
              <w:rPr>
                <w:rFonts w:ascii="Arial" w:cs="Arial" w:eastAsia="Arial" w:hAnsi="Arial"/>
                <w:sz w:val="18"/>
                <w:szCs w:val="18"/>
                <w:b w:val="1"/>
                <w:bCs w:val="1"/>
                <w:color w:val="auto"/>
              </w:rPr>
              <w:t>3.11</w:t>
            </w:r>
          </w:p>
        </w:tc>
        <w:tc>
          <w:tcPr>
            <w:tcW w:w="340" w:type="dxa"/>
            <w:vAlign w:val="bottom"/>
          </w:tcPr>
          <w:p>
            <w:pPr>
              <w:ind w:left="200"/>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ind w:right="10"/>
              <w:spacing w:after="0"/>
              <w:rPr>
                <w:sz w:val="20"/>
                <w:szCs w:val="20"/>
                <w:color w:val="auto"/>
              </w:rPr>
            </w:pPr>
            <w:r>
              <w:rPr>
                <w:rFonts w:ascii="Arial" w:cs="Arial" w:eastAsia="Arial" w:hAnsi="Arial"/>
                <w:sz w:val="18"/>
                <w:szCs w:val="18"/>
                <w:b w:val="1"/>
                <w:bCs w:val="1"/>
                <w:color w:val="auto"/>
              </w:rPr>
              <w:t>6,490</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24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167,515</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center"/>
              <w:ind w:right="11"/>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Vested</w:t>
            </w:r>
          </w:p>
        </w:tc>
        <w:tc>
          <w:tcPr>
            <w:tcW w:w="2400" w:type="dxa"/>
            <w:vAlign w:val="bottom"/>
          </w:tcPr>
          <w:p>
            <w:pPr>
              <w:jc w:val="right"/>
              <w:ind w:right="71"/>
              <w:spacing w:after="0"/>
              <w:rPr>
                <w:sz w:val="20"/>
                <w:szCs w:val="20"/>
                <w:color w:val="auto"/>
              </w:rPr>
            </w:pPr>
            <w:r>
              <w:rPr>
                <w:rFonts w:ascii="Arial" w:cs="Arial" w:eastAsia="Arial" w:hAnsi="Arial"/>
                <w:sz w:val="18"/>
                <w:szCs w:val="18"/>
                <w:color w:val="auto"/>
              </w:rPr>
              <w:t>(180,469)</w:t>
            </w:r>
          </w:p>
        </w:tc>
        <w:tc>
          <w:tcPr>
            <w:tcW w:w="280" w:type="dxa"/>
            <w:vAlign w:val="bottom"/>
          </w:tcPr>
          <w:p>
            <w:pPr>
              <w:spacing w:after="0"/>
              <w:rPr>
                <w:sz w:val="18"/>
                <w:szCs w:val="18"/>
                <w:color w:val="auto"/>
              </w:rPr>
            </w:pPr>
          </w:p>
        </w:tc>
        <w:tc>
          <w:tcPr>
            <w:tcW w:w="680" w:type="dxa"/>
            <w:vAlign w:val="bottom"/>
          </w:tcPr>
          <w:p>
            <w:pPr>
              <w:jc w:val="center"/>
              <w:ind w:right="11"/>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(1,595)</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Forfeited or expired</w:t>
            </w:r>
          </w:p>
        </w:tc>
        <w:tc>
          <w:tcPr>
            <w:tcW w:w="24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(3,367)</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center"/>
              <w:ind w:right="11"/>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b w:val="1"/>
                <w:bCs w:val="1"/>
                <w:color w:val="auto"/>
              </w:rPr>
              <w:t>Non Vested as of December 31, 2019</w:t>
            </w:r>
          </w:p>
        </w:tc>
        <w:tc>
          <w:tcPr>
            <w:tcW w:w="2400" w:type="dxa"/>
            <w:vAlign w:val="bottom"/>
          </w:tcPr>
          <w:p>
            <w:pPr>
              <w:jc w:val="right"/>
              <w:ind w:right="131"/>
              <w:spacing w:after="0"/>
              <w:rPr>
                <w:sz w:val="20"/>
                <w:szCs w:val="20"/>
                <w:color w:val="auto"/>
              </w:rPr>
            </w:pPr>
            <w:r>
              <w:rPr>
                <w:rFonts w:ascii="Arial" w:cs="Arial" w:eastAsia="Arial" w:hAnsi="Arial"/>
                <w:sz w:val="18"/>
                <w:szCs w:val="18"/>
                <w:b w:val="1"/>
                <w:bCs w:val="1"/>
                <w:color w:val="auto"/>
              </w:rPr>
              <w:t>693,389</w:t>
            </w:r>
          </w:p>
        </w:tc>
        <w:tc>
          <w:tcPr>
            <w:tcW w:w="280" w:type="dxa"/>
            <w:vAlign w:val="bottom"/>
          </w:tcPr>
          <w:p>
            <w:pPr>
              <w:ind w:left="160"/>
              <w:spacing w:after="0"/>
              <w:rPr>
                <w:sz w:val="20"/>
                <w:szCs w:val="20"/>
                <w:color w:val="auto"/>
              </w:rPr>
            </w:pPr>
            <w:r>
              <w:rPr>
                <w:rFonts w:ascii="Arial" w:cs="Arial" w:eastAsia="Arial" w:hAnsi="Arial"/>
                <w:sz w:val="18"/>
                <w:szCs w:val="18"/>
                <w:b w:val="1"/>
                <w:bCs w:val="1"/>
                <w:color w:val="auto"/>
                <w:w w:val="99"/>
              </w:rPr>
              <w:t>$</w:t>
            </w:r>
          </w:p>
        </w:tc>
        <w:tc>
          <w:tcPr>
            <w:tcW w:w="680" w:type="dxa"/>
            <w:vAlign w:val="bottom"/>
          </w:tcPr>
          <w:p>
            <w:pPr>
              <w:jc w:val="center"/>
              <w:ind w:right="11"/>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32"/>
              <w:spacing w:after="0"/>
              <w:rPr>
                <w:sz w:val="20"/>
                <w:szCs w:val="20"/>
                <w:color w:val="auto"/>
              </w:rPr>
            </w:pPr>
            <w:r>
              <w:rPr>
                <w:rFonts w:ascii="Arial" w:cs="Arial" w:eastAsia="Arial" w:hAnsi="Arial"/>
                <w:sz w:val="18"/>
                <w:szCs w:val="18"/>
                <w:b w:val="1"/>
                <w:bCs w:val="1"/>
                <w:color w:val="auto"/>
              </w:rPr>
              <w:t>2.32</w:t>
            </w:r>
          </w:p>
        </w:tc>
        <w:tc>
          <w:tcPr>
            <w:tcW w:w="340" w:type="dxa"/>
            <w:vAlign w:val="bottom"/>
          </w:tcPr>
          <w:p>
            <w:pPr>
              <w:ind w:left="200"/>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ind w:right="10"/>
              <w:spacing w:after="0"/>
              <w:rPr>
                <w:sz w:val="20"/>
                <w:szCs w:val="20"/>
                <w:color w:val="auto"/>
              </w:rPr>
            </w:pPr>
            <w:r>
              <w:rPr>
                <w:rFonts w:ascii="Arial" w:cs="Arial" w:eastAsia="Arial" w:hAnsi="Arial"/>
                <w:sz w:val="18"/>
                <w:szCs w:val="18"/>
                <w:b w:val="1"/>
                <w:bCs w:val="1"/>
                <w:color w:val="auto"/>
              </w:rPr>
              <w:t>5,329</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2400" w:type="dxa"/>
            <w:vAlign w:val="bottom"/>
            <w:shd w:val="clear" w:color="auto" w:fill="CCEEFF"/>
          </w:tcPr>
          <w:p>
            <w:pPr>
              <w:jc w:val="right"/>
              <w:ind w:right="211"/>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center"/>
              <w:ind w:right="11"/>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Vested</w:t>
            </w:r>
          </w:p>
        </w:tc>
        <w:tc>
          <w:tcPr>
            <w:tcW w:w="2400" w:type="dxa"/>
            <w:vAlign w:val="bottom"/>
          </w:tcPr>
          <w:p>
            <w:pPr>
              <w:jc w:val="right"/>
              <w:ind w:right="71"/>
              <w:spacing w:after="0"/>
              <w:rPr>
                <w:sz w:val="20"/>
                <w:szCs w:val="20"/>
                <w:color w:val="auto"/>
              </w:rPr>
            </w:pPr>
            <w:r>
              <w:rPr>
                <w:rFonts w:ascii="Arial" w:cs="Arial" w:eastAsia="Arial" w:hAnsi="Arial"/>
                <w:sz w:val="18"/>
                <w:szCs w:val="18"/>
                <w:color w:val="auto"/>
              </w:rPr>
              <w:t>(309,664)</w:t>
            </w:r>
          </w:p>
        </w:tc>
        <w:tc>
          <w:tcPr>
            <w:tcW w:w="280" w:type="dxa"/>
            <w:vAlign w:val="bottom"/>
          </w:tcPr>
          <w:p>
            <w:pPr>
              <w:spacing w:after="0"/>
              <w:rPr>
                <w:sz w:val="18"/>
                <w:szCs w:val="18"/>
                <w:color w:val="auto"/>
              </w:rPr>
            </w:pPr>
          </w:p>
        </w:tc>
        <w:tc>
          <w:tcPr>
            <w:tcW w:w="680" w:type="dxa"/>
            <w:vAlign w:val="bottom"/>
          </w:tcPr>
          <w:p>
            <w:pPr>
              <w:jc w:val="center"/>
              <w:ind w:right="11"/>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(2,858)</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Forfeited or expired</w:t>
            </w:r>
          </w:p>
        </w:tc>
        <w:tc>
          <w:tcPr>
            <w:tcW w:w="24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(1,345)</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center"/>
              <w:ind w:right="11"/>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4"/>
        </w:trPr>
        <w:tc>
          <w:tcPr>
            <w:tcW w:w="4760" w:type="dxa"/>
            <w:vAlign w:val="bottom"/>
          </w:tcPr>
          <w:p>
            <w:pPr>
              <w:spacing w:after="0"/>
              <w:rPr>
                <w:sz w:val="20"/>
                <w:szCs w:val="20"/>
                <w:color w:val="auto"/>
              </w:rPr>
            </w:pPr>
            <w:r>
              <w:rPr>
                <w:rFonts w:ascii="Arial" w:cs="Arial" w:eastAsia="Arial" w:hAnsi="Arial"/>
                <w:sz w:val="18"/>
                <w:szCs w:val="18"/>
                <w:b w:val="1"/>
                <w:bCs w:val="1"/>
                <w:color w:val="auto"/>
              </w:rPr>
              <w:t>Non Vested as of December 31, 2020</w:t>
            </w:r>
          </w:p>
        </w:tc>
        <w:tc>
          <w:tcPr>
            <w:tcW w:w="2400" w:type="dxa"/>
            <w:vAlign w:val="bottom"/>
          </w:tcPr>
          <w:p>
            <w:pPr>
              <w:jc w:val="right"/>
              <w:ind w:right="131"/>
              <w:spacing w:after="0"/>
              <w:rPr>
                <w:sz w:val="20"/>
                <w:szCs w:val="20"/>
                <w:color w:val="auto"/>
              </w:rPr>
            </w:pPr>
            <w:r>
              <w:rPr>
                <w:rFonts w:ascii="Arial" w:cs="Arial" w:eastAsia="Arial" w:hAnsi="Arial"/>
                <w:sz w:val="18"/>
                <w:szCs w:val="18"/>
                <w:b w:val="1"/>
                <w:bCs w:val="1"/>
                <w:color w:val="auto"/>
              </w:rPr>
              <w:t>382,380</w:t>
            </w:r>
          </w:p>
        </w:tc>
        <w:tc>
          <w:tcPr>
            <w:tcW w:w="280" w:type="dxa"/>
            <w:vAlign w:val="bottom"/>
          </w:tcPr>
          <w:p>
            <w:pPr>
              <w:ind w:left="160"/>
              <w:spacing w:after="0"/>
              <w:rPr>
                <w:sz w:val="20"/>
                <w:szCs w:val="20"/>
                <w:color w:val="auto"/>
              </w:rPr>
            </w:pPr>
            <w:r>
              <w:rPr>
                <w:rFonts w:ascii="Arial" w:cs="Arial" w:eastAsia="Arial" w:hAnsi="Arial"/>
                <w:sz w:val="18"/>
                <w:szCs w:val="18"/>
                <w:b w:val="1"/>
                <w:bCs w:val="1"/>
                <w:color w:val="auto"/>
                <w:w w:val="99"/>
              </w:rPr>
              <w:t>$</w:t>
            </w:r>
          </w:p>
        </w:tc>
        <w:tc>
          <w:tcPr>
            <w:tcW w:w="680" w:type="dxa"/>
            <w:vAlign w:val="bottom"/>
          </w:tcPr>
          <w:p>
            <w:pPr>
              <w:jc w:val="center"/>
              <w:ind w:right="11"/>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32"/>
              <w:spacing w:after="0"/>
              <w:rPr>
                <w:sz w:val="20"/>
                <w:szCs w:val="20"/>
                <w:color w:val="auto"/>
              </w:rPr>
            </w:pPr>
            <w:r>
              <w:rPr>
                <w:rFonts w:ascii="Arial" w:cs="Arial" w:eastAsia="Arial" w:hAnsi="Arial"/>
                <w:sz w:val="18"/>
                <w:szCs w:val="18"/>
                <w:b w:val="1"/>
                <w:bCs w:val="1"/>
                <w:color w:val="auto"/>
              </w:rPr>
              <w:t>1.72</w:t>
            </w:r>
          </w:p>
        </w:tc>
        <w:tc>
          <w:tcPr>
            <w:tcW w:w="340" w:type="dxa"/>
            <w:vAlign w:val="bottom"/>
          </w:tcPr>
          <w:p>
            <w:pPr>
              <w:spacing w:after="0"/>
              <w:rPr>
                <w:sz w:val="20"/>
                <w:szCs w:val="20"/>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b w:val="1"/>
                <w:bCs w:val="1"/>
                <w:color w:val="auto"/>
              </w:rPr>
              <w:t>2,453</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estimated compensation cost relating to service conditions of non-vested (i) share appreciation rights and stock options and (ii) restricted share units, restricted stock and restricted stock unit awards, not yet recognized was $0 and $666, respectively, as of December 31, 2020 and is expected to be recognized over the weighted average period of 2.17 years.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14: COMMITMENTS AND CONTINGENCIES</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As of December 31, 2020, the Company was contingently liable for letters of guarantee and letters of credit amounting to $10 (December 31, 2019: $10 ) issued by various banks in favor of various organizations and the total amount was collateralized by cash deposits, which were included as a component of restricted cash.</w:t>
      </w:r>
    </w:p>
    <w:p>
      <w:pPr>
        <w:spacing w:after="0" w:line="184" w:lineRule="exact"/>
        <w:rPr>
          <w:sz w:val="20"/>
          <w:szCs w:val="20"/>
          <w:color w:val="auto"/>
        </w:rPr>
      </w:pPr>
    </w:p>
    <w:p>
      <w:pPr>
        <w:jc w:val="both"/>
        <w:ind w:left="120" w:firstLine="440"/>
        <w:spacing w:after="0" w:line="301" w:lineRule="auto"/>
        <w:rPr>
          <w:sz w:val="20"/>
          <w:szCs w:val="20"/>
          <w:color w:val="auto"/>
        </w:rPr>
      </w:pPr>
      <w:r>
        <w:rPr>
          <w:rFonts w:ascii="Arial" w:cs="Arial" w:eastAsia="Arial" w:hAnsi="Arial"/>
          <w:sz w:val="16"/>
          <w:szCs w:val="16"/>
          <w:color w:val="auto"/>
        </w:rPr>
        <w:t>In December 2017, Navios Holdings agreed to charter-in, under a ten year bareboat contract, from an unrelated third party the Navios Galaxy II, a newbuilding bulk carrier vessel of 81,789 dwt. On March 30, 2020, Navios Holdings took delivery of the Navios Galaxy II. The Company has agreed to pay in total $5,410 representing a deposit for the option to acquire the vessel, of which $2,705 was paid during the year ended December 31, 2019. As of December 31, 2020, the total amount of $6,704, including expenses and interest, is presented within the caption “Other long-term assets”.</w:t>
      </w:r>
    </w:p>
    <w:p>
      <w:pPr>
        <w:spacing w:after="0" w:line="157"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In January 2018, Navios Holdings agreed to charter-in, under two ten-year bareboat contracts, from an unrelated third party the Navios Herakles I and the Navios Uranus, two newbuilding bulk carriers of 82,036 dwt and 81,516 dwt, respectively. On August 28, 2019, Navios Holdings took delivery of the Navios Herakles I. On November 28, 2019, Navios Holdings took delivery of the Navios Uranus. Navios Holdings has agreed to pay in total $11,140, representing a deposit for the option to acquire these vessels, of which $8,340 was paid during the year ended December 31, 2018 and the remaining $2,800 was paid during the year ended December 31, 2019. As of December 31, 2020, the total amount of $14,070, including expenses and interest, is presented within the caption “Other long-term assets”.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120"/>
          </w:cols>
          <w:pgMar w:left="320" w:top="459" w:right="45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NAVIOS MARITIME HOLDINGS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(Expressed in thousands of U.S. dollars — except share data)</w:t>
      </w:r>
    </w:p>
    <w:p>
      <w:pPr>
        <w:spacing w:after="0" w:line="143"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In April 2018, Navios Holdings agreed to charter-in, under one ten-year bareboat contract, from an unrelated third party the Navios Felicity I, a newbuilding bulk carrier of 81,946 dwt. On January 17, 2020, Navios Holdings took delivery of the Navios Felicity I. Navios Holdings has agreed to pay in total $5,590, representing a deposit for the option to acquire this vessel, of which $2,795 was paid during the year ended December 31, 2018 and the remaining $2,795 was paid during the year ended December 31, 2019. As of December 31, 2020, the total amount of $7,193, including expenses and interest, is presented within the caption “Other long-term assets”.</w:t>
      </w:r>
    </w:p>
    <w:p>
      <w:pPr>
        <w:spacing w:after="0" w:line="188"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In October 2018, Navios Holdings agreed to charter-in, under one ten-year bareboat contract, from an unrelated third party the Navios Magellan II, a newbuilding bulk carrier of 82,037 dwt. On May 15, 2020, Navios Holdings took delivery of the Navios Magellan II. Navios Holdings has agreed to pay in total $5,820, representing a deposit for the option to acquire this vessel, of which $2,910 was paid during the year ended December 31, 2018 and the remaining $2,910 was paid during the year ended December 31, 2019. As of December 31, 2020, the total amount of $7,506, including expenses and interest, is presented within the caption “Other long-term assets”.</w:t>
      </w:r>
    </w:p>
    <w:p>
      <w:pPr>
        <w:spacing w:after="0" w:line="188"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Navios Logistics has issued a guarantee and indemnity letter that guarantees the performance by Petrolera San Antonio S.A. (a consolidated subsidiary) of all its obligations to Vitol S.A. up to $12,000. This guarantee expires on March 1, 2022.</w:t>
      </w:r>
    </w:p>
    <w:p>
      <w:pPr>
        <w:spacing w:after="0" w:line="170"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On July 22, 2016, Navios Logistics guaranteed the compliance of certain obligations related to Edolmix S.A. and Energías Renovables del Sur S.A. (entities wholly owned by Navios Logistics) under their respective direct user agreements with the Free Zone of Nueva Palmira, for the amounts of $847 and $519, respectively.</w:t>
      </w:r>
    </w:p>
    <w:p>
      <w:pPr>
        <w:spacing w:after="0" w:line="184" w:lineRule="exact"/>
        <w:rPr>
          <w:sz w:val="20"/>
          <w:szCs w:val="20"/>
          <w:color w:val="auto"/>
        </w:rPr>
      </w:pPr>
    </w:p>
    <w:p>
      <w:pPr>
        <w:jc w:val="both"/>
        <w:ind w:left="120" w:right="440" w:firstLine="440"/>
        <w:spacing w:after="0" w:line="263" w:lineRule="auto"/>
        <w:rPr>
          <w:sz w:val="20"/>
          <w:szCs w:val="20"/>
          <w:color w:val="auto"/>
        </w:rPr>
      </w:pPr>
      <w:r>
        <w:rPr>
          <w:rFonts w:ascii="Arial" w:cs="Arial" w:eastAsia="Arial" w:hAnsi="Arial"/>
          <w:sz w:val="18"/>
          <w:szCs w:val="18"/>
          <w:color w:val="auto"/>
        </w:rPr>
        <w:t>On August 16, 2018, there was a fire incident at the iron ore port terminal in Nueva Palmira, Uruguay, for which Navios Logistics maintains property and loss of earnings insurance coverage for such types of events (subject to applicable deductibles and other customary limitations). As of December 31, 2019, the full amount has been collected in relation to this insurance claim.</w:t>
      </w:r>
    </w:p>
    <w:p>
      <w:pPr>
        <w:spacing w:after="0" w:line="184"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In September 2020, Navios Logistics agreed to a settlement regarding a storage and transshipment contract in the grain port terminal for a total amount of $4,140, which will be collected in three equal installments of $1,380 on June 1, 2021, 2022 and 2023. For the year ended December 31, 2020, a gain of $4,102 was included within the caption “Other income” in the consolidated statements of comprehensive (loss)/income. The Company is involved in various disputes and arbitration proceedings arising in the ordinary course of business. Provisions have been recognized in the financial statements for all such proceedings where the Company believes that a liability may be probable, and for which the amounts can be reasonably estimated, based upon facts known on the date the financial statements were prepared. Although the Company cannot predict with certainty the ultimate resolutions of these matters, in the opinion of management, the ultimate disposition of these matters is not expected to have a material adverse effect on the Company’s financial position, results of operations or liquidity.</w:t>
      </w:r>
    </w:p>
    <w:p>
      <w:pPr>
        <w:spacing w:after="0" w:line="178" w:lineRule="exact"/>
        <w:rPr>
          <w:sz w:val="20"/>
          <w:szCs w:val="20"/>
          <w:color w:val="auto"/>
        </w:rPr>
      </w:pPr>
    </w:p>
    <w:p>
      <w:pPr>
        <w:ind w:left="120" w:right="160" w:firstLine="440"/>
        <w:spacing w:after="0" w:line="296" w:lineRule="auto"/>
        <w:rPr>
          <w:sz w:val="20"/>
          <w:szCs w:val="20"/>
          <w:color w:val="auto"/>
        </w:rPr>
      </w:pPr>
      <w:r>
        <w:rPr>
          <w:rFonts w:ascii="Arial" w:cs="Arial" w:eastAsia="Arial" w:hAnsi="Arial"/>
          <w:sz w:val="16"/>
          <w:szCs w:val="16"/>
          <w:color w:val="auto"/>
        </w:rPr>
        <w:t>In the third quarter of 2020, Navios Logistics signed a binding letter of intent to acquire three pushboats and 18 tank barges (the “Navios Logistics’ 2020 Fleet”), operating in the Hidrovia Waterway, for a purchase price of $30,000. Included as a component of the acquisition of the Navios Logistics’ 2020 Fleet is a firm customer contract, in the form of a contract of affreightment for the transportation of a minimum of 1,250,000 cubic meters of fuel during a period of up to five years (“the 2020 Fleet COA”). The acquisition will be funded with $15,000 from existing cash to be paid at closing and sellers’ financing of $15,000, bearing interest at a fixed rate of 5% per annum, payable in three equal annual installments.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15: LEASES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Time charter out contracts</w:t>
      </w:r>
    </w:p>
    <w:p>
      <w:pPr>
        <w:spacing w:after="0" w:line="117"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The Company’s contract revenues from time chartering are governed by ASC 842. Upon adoption of ASC 842, the timing and recognition of earnings from the time charter contracts to which the Company is party did not change from previous practice. In a time charter contract, the Company is responsible for all the costs incurred for running the vessel such as crew costs, vessel insurance, repairs and maintenance and lubes. The charterer bears the voyage related costs such as bunker expenses, port charges and canal tolls during the hire period. The Company has determined to recognize lease revenue as a combined single lease component for all time charters (operating leases) as the related lease component and non-lease component will have the same timing and pattern of the revenue recognition of the combined single lease component. The performance obligations in a time charter contract are satisfied over the term of the contract beginning when the vessel is delivered to the charterer until it is redelivered back to the Company. The Company determined that all time charter contracts are considered operating leases and therefore fall under the scope of ASC 842 because: (i) the vessel is an identifiable asset; (ii) the Company does not have substantive substitution rights; and (iii) the charterer has the right to control the use of the vessel during the term of the contract and derives the economic benefits from such use.</w:t>
      </w:r>
    </w:p>
    <w:p>
      <w:pPr>
        <w:spacing w:after="0" w:line="168"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The transition guidance associated with ASC 842 allows for certain practical expedients to the lessors. The Company elected to not separate the lease and non-lease components included in the time charter revenue because (i) the pattern of revenue recognition for the lease and non-lease components (included in the daily hire rate) is the same. The daily hire rate represents the hire rate for a bare boat charter as well as the compensation for expenses incurred running the vessel such as crewing expense, repairs, insurance, maintenance and lubes. Both the lease and non-lease components are earned by passage of time.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140"/>
          </w:cols>
          <w:pgMar w:left="320" w:top="459" w:right="4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NAVIOS MARITIME HOLDINGS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(Expressed in thousands of U.S. dollars — except share data)</w:t>
      </w:r>
    </w:p>
    <w:p>
      <w:pPr>
        <w:spacing w:after="0" w:line="143"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As a result of the adoption of these standards, there was no effect on the Company’s opening accumulated deficit, consolidated balance sheets and consolidated statements of comprehensive (loss)/income.</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Time charter-in and bareboat-in contracts</w:t>
      </w:r>
    </w:p>
    <w:p>
      <w:pPr>
        <w:spacing w:after="0" w:line="117"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As of December 31, 2020, Navios Holdings had time charter-in and bareboat-in contracts whose remaining lease terms ranged from 0.1 years to 9.5 years. Certain operating leases have optional periods. Based on management estimates and market conditions, the lease term of these leases is being assessed at each balance sheet date. The Company will continue to recognize the lease payments for all operating leases as charter hire expense on the consolidated statements of comprehensive (loss)/income on a straight-line basis over the lease term.</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Land lease agreements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As of December 31, 2020, Navios Logistics had land lease agreements whose remaining lease terms range from 45.2 years to 45.6 years.</w:t>
      </w:r>
    </w:p>
    <w:p>
      <w:pPr>
        <w:spacing w:after="0" w:line="34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Office lease agreements</w:t>
      </w:r>
    </w:p>
    <w:p>
      <w:pPr>
        <w:spacing w:after="0" w:line="117" w:lineRule="exact"/>
        <w:rPr>
          <w:sz w:val="20"/>
          <w:szCs w:val="20"/>
          <w:color w:val="auto"/>
        </w:rPr>
      </w:pPr>
    </w:p>
    <w:p>
      <w:pPr>
        <w:ind w:left="120" w:right="720" w:firstLine="440"/>
        <w:spacing w:after="0" w:line="277" w:lineRule="auto"/>
        <w:rPr>
          <w:sz w:val="20"/>
          <w:szCs w:val="20"/>
          <w:color w:val="auto"/>
        </w:rPr>
      </w:pPr>
      <w:r>
        <w:rPr>
          <w:rFonts w:ascii="Arial" w:cs="Arial" w:eastAsia="Arial" w:hAnsi="Arial"/>
          <w:sz w:val="18"/>
          <w:szCs w:val="18"/>
          <w:color w:val="auto"/>
        </w:rPr>
        <w:t>As of December 31, 2020, Navios Logistics had office lease agreements whose remaining lease terms ranged from 0.5 years to 2.8 years, respectively.</w:t>
      </w:r>
    </w:p>
    <w:p>
      <w:pPr>
        <w:spacing w:after="0" w:line="170"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Under ASC 842, leases are classified as either finance or operating arrangements, with such classification affecting the pattern and classification of expense recognition in an entity’s income statement. For operating leases, ASC 842 requires recognition in an entity’s income statement of a single lease expense, calculated so that the cost of the lease is allocated over the lease term, generally on a straight-line basis. Right-of-use assets represent a right to use an underlying asset for the lease term and the related lease liability represents an obligation to make lease payments pursuant to the contractual terms of the lease agreement.</w:t>
      </w:r>
    </w:p>
    <w:p>
      <w:pPr>
        <w:spacing w:after="0" w:line="19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Dry Bulk</w:t>
            </w:r>
          </w:p>
        </w:tc>
        <w:tc>
          <w:tcPr>
            <w:tcW w:w="120" w:type="dxa"/>
            <w:vAlign w:val="bottom"/>
          </w:tcPr>
          <w:p>
            <w:pPr>
              <w:spacing w:after="0"/>
              <w:rPr>
                <w:sz w:val="14"/>
                <w:szCs w:val="14"/>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Dry Bulk</w:t>
            </w:r>
          </w:p>
        </w:tc>
        <w:tc>
          <w:tcPr>
            <w:tcW w:w="120" w:type="dxa"/>
            <w:vAlign w:val="bottom"/>
          </w:tcPr>
          <w:p>
            <w:pPr>
              <w:spacing w:after="0"/>
              <w:rPr>
                <w:sz w:val="14"/>
                <w:szCs w:val="14"/>
                <w:color w:val="auto"/>
              </w:rPr>
            </w:pPr>
          </w:p>
        </w:tc>
        <w:tc>
          <w:tcPr>
            <w:tcW w:w="10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7"/>
              </w:rPr>
              <w:t>Logistics</w:t>
            </w:r>
          </w:p>
        </w:tc>
        <w:tc>
          <w:tcPr>
            <w:tcW w:w="120" w:type="dxa"/>
            <w:vAlign w:val="bottom"/>
          </w:tcPr>
          <w:p>
            <w:pPr>
              <w:spacing w:after="0"/>
              <w:rPr>
                <w:sz w:val="14"/>
                <w:szCs w:val="14"/>
                <w:color w:val="auto"/>
              </w:rPr>
            </w:pPr>
          </w:p>
        </w:tc>
        <w:tc>
          <w:tcPr>
            <w:tcW w:w="102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87"/>
              </w:rPr>
              <w:t>Logistics</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1"/>
              </w:rPr>
              <w:t>Vessel</w:t>
            </w:r>
          </w:p>
        </w:tc>
        <w:tc>
          <w:tcPr>
            <w:tcW w:w="120" w:type="dxa"/>
            <w:vAlign w:val="bottom"/>
          </w:tcPr>
          <w:p>
            <w:pPr>
              <w:spacing w:after="0"/>
              <w:rPr>
                <w:sz w:val="12"/>
                <w:szCs w:val="12"/>
                <w:color w:val="auto"/>
              </w:rPr>
            </w:pPr>
          </w:p>
        </w:tc>
        <w:tc>
          <w:tcPr>
            <w:tcW w:w="9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1"/>
              </w:rPr>
              <w:t>Vessel</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2"/>
                <w:szCs w:val="12"/>
                <w:color w:val="auto"/>
              </w:rPr>
            </w:pPr>
          </w:p>
        </w:tc>
        <w:tc>
          <w:tcPr>
            <w:tcW w:w="7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10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Operations</w:t>
            </w:r>
          </w:p>
        </w:tc>
        <w:tc>
          <w:tcPr>
            <w:tcW w:w="10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Operations</w:t>
            </w:r>
          </w:p>
        </w:tc>
        <w:tc>
          <w:tcPr>
            <w:tcW w:w="120" w:type="dxa"/>
            <w:vAlign w:val="bottom"/>
          </w:tcPr>
          <w:p>
            <w:pPr>
              <w:spacing w:after="0"/>
              <w:rPr>
                <w:sz w:val="12"/>
                <w:szCs w:val="12"/>
                <w:color w:val="auto"/>
              </w:rPr>
            </w:pPr>
          </w:p>
        </w:tc>
        <w:tc>
          <w:tcPr>
            <w:tcW w:w="10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3"/>
              </w:rPr>
              <w:t>Business</w:t>
            </w:r>
          </w:p>
        </w:tc>
        <w:tc>
          <w:tcPr>
            <w:tcW w:w="120" w:type="dxa"/>
            <w:vAlign w:val="bottom"/>
          </w:tcPr>
          <w:p>
            <w:pPr>
              <w:spacing w:after="0"/>
              <w:rPr>
                <w:sz w:val="12"/>
                <w:szCs w:val="12"/>
                <w:color w:val="auto"/>
              </w:rPr>
            </w:pPr>
          </w:p>
        </w:tc>
        <w:tc>
          <w:tcPr>
            <w:tcW w:w="10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3"/>
              </w:rPr>
              <w:t>Business</w:t>
            </w: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45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2020</w:t>
            </w: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2019</w:t>
            </w: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2020</w:t>
            </w:r>
          </w:p>
        </w:tc>
        <w:tc>
          <w:tcPr>
            <w:tcW w:w="3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2019</w:t>
            </w:r>
          </w:p>
        </w:tc>
        <w:tc>
          <w:tcPr>
            <w:tcW w:w="3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5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lease assets</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 xml:space="preserve">Charter-in contracts </w:t>
            </w:r>
            <w:r>
              <w:rPr>
                <w:rFonts w:ascii="Arial" w:cs="Arial" w:eastAsia="Arial" w:hAnsi="Arial"/>
                <w:sz w:val="15"/>
                <w:szCs w:val="15"/>
                <w:color w:val="auto"/>
              </w:rPr>
              <w:t>(1)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219,574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255,153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219,574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255,153</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Land lease agreements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7,878</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7,660</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7,878</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7,660</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Office lease agreements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510</w:t>
            </w:r>
          </w:p>
        </w:tc>
        <w:tc>
          <w:tcPr>
            <w:tcW w:w="1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1,192</w:t>
            </w:r>
          </w:p>
        </w:tc>
        <w:tc>
          <w:tcPr>
            <w:tcW w:w="16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510</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1,192</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219,574</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255,153</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8,388</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8,852</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227,962</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8"/>
              </w:rPr>
              <w:t>264,005</w:t>
            </w: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8"/>
                <w:szCs w:val="18"/>
                <w:b w:val="1"/>
                <w:bCs w:val="1"/>
                <w:color w:val="auto"/>
              </w:rPr>
              <w:t>Operating lease liabilities, current portion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Charter-in contracts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81,276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86,636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81,276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86,636</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Land lease agreements</w:t>
            </w:r>
          </w:p>
        </w:tc>
        <w:tc>
          <w:tcPr>
            <w:tcW w:w="1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(218)</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(199)</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Office lease agreements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338</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685</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338</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23"/>
        </w:trPr>
        <w:tc>
          <w:tcPr>
            <w:tcW w:w="45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81,276</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86,636</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467</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81,415</w:t>
            </w: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87,103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lease liabilities, net of current portion</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Charter-in contracts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185,092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217,932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185,092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217,932</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Land lease agreements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8,077</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7,878</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8,077</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7,878</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Office lease agreements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519</w:t>
            </w:r>
          </w:p>
        </w:tc>
        <w:tc>
          <w:tcPr>
            <w:tcW w:w="16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181</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185,092</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217,932</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8,258</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8,397</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193,350</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8"/>
              </w:rPr>
              <w:t>226,329</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60" w:right="2820" w:hanging="5344"/>
        <w:spacing w:after="0" w:line="731" w:lineRule="auto"/>
        <w:tabs>
          <w:tab w:leader="none" w:pos="554" w:val="left"/>
        </w:tabs>
        <w:numPr>
          <w:ilvl w:val="0"/>
          <w:numId w:val="135"/>
        </w:numPr>
        <w:rPr>
          <w:rFonts w:ascii="Arial" w:cs="Arial" w:eastAsia="Arial" w:hAnsi="Arial"/>
          <w:sz w:val="18"/>
          <w:szCs w:val="18"/>
          <w:color w:val="auto"/>
        </w:rPr>
      </w:pPr>
      <w:r>
        <w:rPr>
          <w:rFonts w:ascii="Arial" w:cs="Arial" w:eastAsia="Arial" w:hAnsi="Arial"/>
          <w:sz w:val="18"/>
          <w:szCs w:val="18"/>
          <w:color w:val="auto"/>
        </w:rPr>
        <w:t>Based on the net present value of the remaining charter-in and rental payments for existing operating leases. F-60</w:t>
      </w:r>
    </w:p>
    <w:p>
      <w:pPr>
        <w:sectPr>
          <w:pgSz w:w="11900" w:h="16838" w:orient="portrait"/>
          <w:cols w:equalWidth="0" w:num="1">
            <w:col w:w="11140"/>
          </w:cols>
          <w:pgMar w:left="320" w:top="459" w:right="4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NAVIOS MARITIME HOLDINGS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(Expressed in thousands of U.S. dollars — except share data)</w:t>
      </w:r>
    </w:p>
    <w:p>
      <w:pPr>
        <w:spacing w:after="0" w:line="143"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At lease commencement, the Company determines a discount rate to calculate the present value of the lease payments so that it can determine lease classification and measure the lease liability. In determining the discount rate to be used at lease commencement, the Company used its incremental borrowing rate as there was no implicit rate included in charter-in and bareboat-in contracts, land lease and office lease agreements that can be readily determinable. The incremental borrowing rate is the rate that reflects the interest a lessee would have to pay to borrow funds on a collateralized basis over a similar term and in a similar economic environment. The Company then applied the respective incremental borrowing rates to each lease based on the remaining lease term of the specific lease. Navios Holdings’ and Navios Logistics’ incremental borrowing rates upon adoption were 8.25% and 7.25%, respectively.</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tables below present the components of the Company’s lease expense for the years ended December 31, 2020, 2019 and 2018:</w:t>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Lease expense for charter-in contracts</w:t>
      </w:r>
    </w:p>
    <w:p>
      <w:pPr>
        <w:spacing w:after="0" w:line="3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Lease expense for land lease agreements</w:t>
      </w:r>
    </w:p>
    <w:p>
      <w:pPr>
        <w:spacing w:after="0" w:line="46" w:lineRule="exact"/>
        <w:rPr>
          <w:sz w:val="20"/>
          <w:szCs w:val="20"/>
          <w:color w:val="auto"/>
        </w:rPr>
      </w:pPr>
    </w:p>
    <w:p>
      <w:pPr>
        <w:ind w:left="1000"/>
        <w:spacing w:after="0"/>
        <w:rPr>
          <w:sz w:val="20"/>
          <w:szCs w:val="20"/>
          <w:color w:val="auto"/>
        </w:rPr>
      </w:pPr>
      <w:r>
        <w:rPr>
          <w:rFonts w:ascii="Arial" w:cs="Arial" w:eastAsia="Arial" w:hAnsi="Arial"/>
          <w:sz w:val="15"/>
          <w:szCs w:val="15"/>
          <w:color w:val="auto"/>
        </w:rPr>
        <w:t>Lease expense for office lease agreements</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jc w:val="center"/>
              <w:ind w:right="19"/>
              <w:spacing w:after="0"/>
              <w:rPr>
                <w:sz w:val="20"/>
                <w:szCs w:val="20"/>
                <w:color w:val="auto"/>
              </w:rPr>
            </w:pPr>
            <w:r>
              <w:rPr>
                <w:rFonts w:ascii="Arial" w:cs="Arial" w:eastAsia="Arial" w:hAnsi="Arial"/>
                <w:sz w:val="14"/>
                <w:szCs w:val="14"/>
                <w:b w:val="1"/>
                <w:bCs w:val="1"/>
                <w:color w:val="auto"/>
                <w:w w:val="92"/>
              </w:rPr>
              <w:t>Dry Bulk Vessel</w:t>
            </w:r>
          </w:p>
        </w:tc>
        <w:tc>
          <w:tcPr>
            <w:tcW w:w="640" w:type="dxa"/>
            <w:vAlign w:val="bottom"/>
          </w:tcPr>
          <w:p>
            <w:pPr>
              <w:spacing w:after="0"/>
              <w:rPr>
                <w:sz w:val="14"/>
                <w:szCs w:val="14"/>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6"/>
              </w:rPr>
              <w:t>Logistics Business</w:t>
            </w: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Operations</w:t>
            </w:r>
          </w:p>
        </w:tc>
        <w:tc>
          <w:tcPr>
            <w:tcW w:w="6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Year Ended</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6"/>
              </w:rPr>
              <w:t>Year Ended</w:t>
            </w:r>
          </w:p>
        </w:tc>
        <w:tc>
          <w:tcPr>
            <w:tcW w:w="640" w:type="dxa"/>
            <w:vAlign w:val="bottom"/>
          </w:tcPr>
          <w:p>
            <w:pPr>
              <w:spacing w:after="0"/>
              <w:rPr>
                <w:sz w:val="12"/>
                <w:szCs w:val="12"/>
                <w:color w:val="auto"/>
              </w:rPr>
            </w:pPr>
          </w:p>
        </w:tc>
        <w:tc>
          <w:tcPr>
            <w:tcW w:w="68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11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December 31, 2020</w:t>
            </w:r>
          </w:p>
        </w:tc>
        <w:tc>
          <w:tcPr>
            <w:tcW w:w="1800" w:type="dxa"/>
            <w:vAlign w:val="bottom"/>
            <w:gridSpan w:val="3"/>
          </w:tcPr>
          <w:p>
            <w:pPr>
              <w:jc w:val="center"/>
              <w:ind w:left="568"/>
              <w:spacing w:after="0"/>
              <w:rPr>
                <w:sz w:val="20"/>
                <w:szCs w:val="20"/>
                <w:color w:val="auto"/>
              </w:rPr>
            </w:pPr>
            <w:r>
              <w:rPr>
                <w:rFonts w:ascii="Arial" w:cs="Arial" w:eastAsia="Arial" w:hAnsi="Arial"/>
                <w:sz w:val="14"/>
                <w:szCs w:val="14"/>
                <w:b w:val="1"/>
                <w:bCs w:val="1"/>
                <w:color w:val="auto"/>
                <w:w w:val="91"/>
              </w:rPr>
              <w:t>December 31, 2020</w:t>
            </w:r>
          </w:p>
        </w:tc>
        <w:tc>
          <w:tcPr>
            <w:tcW w:w="6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94,545</w:t>
            </w:r>
          </w:p>
        </w:tc>
        <w:tc>
          <w:tcPr>
            <w:tcW w:w="64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6,587</w:t>
            </w:r>
          </w:p>
        </w:tc>
        <w:tc>
          <w:tcPr>
            <w:tcW w:w="640" w:type="dxa"/>
            <w:vAlign w:val="bottom"/>
          </w:tcPr>
          <w:p>
            <w:pPr>
              <w:spacing w:after="0"/>
              <w:rPr>
                <w:sz w:val="16"/>
                <w:szCs w:val="16"/>
                <w:color w:val="auto"/>
              </w:rPr>
            </w:pPr>
          </w:p>
        </w:tc>
        <w:tc>
          <w:tcPr>
            <w:tcW w:w="6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87"/>
              </w:rPr>
              <w:t>$101,132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564</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-3119120</wp:posOffset>
            </wp:positionH>
            <wp:positionV relativeFrom="paragraph">
              <wp:posOffset>-419100</wp:posOffset>
            </wp:positionV>
            <wp:extent cx="5871845" cy="1454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04">
                      <a:extLst>
                        <a:ext uri="{28A0092B-C50C-407E-A947-70E740481C1C}"/>
                      </a:extLst>
                    </a:blip>
                    <a:srcRect/>
                    <a:stretch>
                      <a:fillRect/>
                    </a:stretch>
                  </pic:blipFill>
                  <pic:spPr bwMode="auto">
                    <a:xfrm>
                      <a:off x="0" y="0"/>
                      <a:ext cx="5871845" cy="145415"/>
                    </a:xfrm>
                    <a:prstGeom prst="rect">
                      <a:avLst/>
                    </a:prstGeom>
                    <a:noFill/>
                  </pic:spPr>
                </pic:pic>
              </a:graphicData>
            </a:graphic>
          </wp:anchor>
        </w:drawing>
        <w:drawing>
          <wp:anchor simplePos="0" relativeHeight="251657728" behindDoc="1" locked="0" layoutInCell="0" allowOverlap="1">
            <wp:simplePos x="0" y="0"/>
            <wp:positionH relativeFrom="column">
              <wp:posOffset>-3119120</wp:posOffset>
            </wp:positionH>
            <wp:positionV relativeFrom="paragraph">
              <wp:posOffset>-136525</wp:posOffset>
            </wp:positionV>
            <wp:extent cx="5871845" cy="1454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05">
                      <a:extLst>
                        <a:ext uri="{28A0092B-C50C-407E-A947-70E740481C1C}"/>
                      </a:extLst>
                    </a:blip>
                    <a:srcRect/>
                    <a:stretch>
                      <a:fillRect/>
                    </a:stretch>
                  </pic:blipFill>
                  <pic:spPr bwMode="auto">
                    <a:xfrm>
                      <a:off x="0" y="0"/>
                      <a:ext cx="5871845" cy="145415"/>
                    </a:xfrm>
                    <a:prstGeom prst="rect">
                      <a:avLst/>
                    </a:prstGeom>
                    <a:noFill/>
                  </pic:spPr>
                </pic:pic>
              </a:graphicData>
            </a:graphic>
          </wp:anchor>
        </w:drawing>
      </w:r>
    </w:p>
    <w:p>
      <w:pPr>
        <w:spacing w:after="0" w:line="9" w:lineRule="exact"/>
        <w:rPr>
          <w:sz w:val="20"/>
          <w:szCs w:val="20"/>
          <w:color w:val="auto"/>
        </w:rPr>
      </w:pPr>
    </w:p>
    <w:p>
      <w:pPr>
        <w:sectPr>
          <w:pgSz w:w="11900" w:h="16838" w:orient="portrait"/>
          <w:cols w:equalWidth="0" w:num="2">
            <w:col w:w="5200" w:space="720"/>
            <w:col w:w="5220"/>
          </w:cols>
          <w:pgMar w:left="320" w:top="459" w:right="439" w:bottom="1440" w:gutter="0" w:footer="0" w:header="0"/>
          <w:type w:val="continuous"/>
        </w:sectPr>
      </w:pPr>
    </w:p>
    <w:p>
      <w:pPr>
        <w:ind w:left="1000"/>
        <w:spacing w:after="0"/>
        <w:tabs>
          <w:tab w:leader="none" w:pos="5900" w:val="left"/>
          <w:tab w:leader="none" w:pos="6560" w:val="left"/>
          <w:tab w:leader="none" w:pos="7680" w:val="left"/>
          <w:tab w:leader="none" w:pos="8440" w:val="left"/>
          <w:tab w:leader="none" w:pos="9480" w:val="left"/>
        </w:tabs>
        <w:rPr>
          <w:sz w:val="20"/>
          <w:szCs w:val="20"/>
          <w:color w:val="auto"/>
        </w:rPr>
      </w:pPr>
      <w:r>
        <w:rPr>
          <w:rFonts w:ascii="Arial" w:cs="Arial" w:eastAsia="Arial" w:hAnsi="Arial"/>
          <w:sz w:val="18"/>
          <w:szCs w:val="18"/>
          <w:b w:val="1"/>
          <w:bCs w:val="1"/>
          <w:color w:val="auto"/>
        </w:rPr>
        <w:t>Total</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94,545</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7,751</w:t>
      </w:r>
      <w:r>
        <w:rPr>
          <w:sz w:val="20"/>
          <w:szCs w:val="20"/>
          <w:color w:val="auto"/>
        </w:rPr>
        <w:tab/>
      </w:r>
      <w:r>
        <w:rPr>
          <w:rFonts w:ascii="Arial" w:cs="Arial" w:eastAsia="Arial" w:hAnsi="Arial"/>
          <w:sz w:val="16"/>
          <w:szCs w:val="16"/>
          <w:b w:val="1"/>
          <w:bCs w:val="1"/>
          <w:u w:val="single" w:color="auto"/>
          <w:color w:val="auto"/>
        </w:rPr>
        <w:t>$102,296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717800"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06">
                      <a:extLst>
                        <a:ext uri="{28A0092B-C50C-407E-A947-70E740481C1C}"/>
                      </a:extLst>
                    </a:blip>
                    <a:srcRect/>
                    <a:stretch>
                      <a:fillRect/>
                    </a:stretch>
                  </pic:blipFill>
                  <pic:spPr bwMode="auto">
                    <a:xfrm>
                      <a:off x="0" y="0"/>
                      <a:ext cx="2717800" cy="2540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Lease expense for charter-in contracts</w:t>
      </w:r>
    </w:p>
    <w:p>
      <w:pPr>
        <w:spacing w:after="0" w:line="3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Lease expense for land lease agreements</w:t>
      </w:r>
    </w:p>
    <w:p>
      <w:pPr>
        <w:spacing w:after="0" w:line="46" w:lineRule="exact"/>
        <w:rPr>
          <w:sz w:val="20"/>
          <w:szCs w:val="20"/>
          <w:color w:val="auto"/>
        </w:rPr>
      </w:pPr>
    </w:p>
    <w:p>
      <w:pPr>
        <w:ind w:left="1000"/>
        <w:spacing w:after="0"/>
        <w:rPr>
          <w:sz w:val="20"/>
          <w:szCs w:val="20"/>
          <w:color w:val="auto"/>
        </w:rPr>
      </w:pPr>
      <w:r>
        <w:rPr>
          <w:rFonts w:ascii="Arial" w:cs="Arial" w:eastAsia="Arial" w:hAnsi="Arial"/>
          <w:sz w:val="15"/>
          <w:szCs w:val="15"/>
          <w:color w:val="auto"/>
        </w:rPr>
        <w:t>Lease expense for office lease agreements</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center"/>
              <w:ind w:right="19"/>
              <w:spacing w:after="0"/>
              <w:rPr>
                <w:sz w:val="20"/>
                <w:szCs w:val="20"/>
                <w:color w:val="auto"/>
              </w:rPr>
            </w:pPr>
            <w:r>
              <w:rPr>
                <w:rFonts w:ascii="Arial" w:cs="Arial" w:eastAsia="Arial" w:hAnsi="Arial"/>
                <w:sz w:val="14"/>
                <w:szCs w:val="14"/>
                <w:b w:val="1"/>
                <w:bCs w:val="1"/>
                <w:color w:val="auto"/>
                <w:w w:val="92"/>
              </w:rPr>
              <w:t>Dry Bulk Vessel</w:t>
            </w:r>
          </w:p>
        </w:tc>
        <w:tc>
          <w:tcPr>
            <w:tcW w:w="640" w:type="dxa"/>
            <w:vAlign w:val="bottom"/>
          </w:tcPr>
          <w:p>
            <w:pPr>
              <w:spacing w:after="0"/>
              <w:rPr>
                <w:sz w:val="14"/>
                <w:szCs w:val="14"/>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7"/>
              </w:rPr>
              <w:t>Logistics Business</w:t>
            </w: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4"/>
              </w:rPr>
              <w:t>Operations</w:t>
            </w:r>
          </w:p>
        </w:tc>
        <w:tc>
          <w:tcPr>
            <w:tcW w:w="6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3"/>
              </w:rPr>
              <w:t>Year Ended</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3"/>
              </w:rPr>
              <w:t>Year Ended</w:t>
            </w:r>
          </w:p>
        </w:tc>
        <w:tc>
          <w:tcPr>
            <w:tcW w:w="660" w:type="dxa"/>
            <w:vAlign w:val="bottom"/>
          </w:tcPr>
          <w:p>
            <w:pPr>
              <w:spacing w:after="0"/>
              <w:rPr>
                <w:sz w:val="12"/>
                <w:szCs w:val="12"/>
                <w:color w:val="auto"/>
              </w:rPr>
            </w:pPr>
          </w:p>
        </w:tc>
        <w:tc>
          <w:tcPr>
            <w:tcW w:w="68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11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December 31, 2019</w:t>
            </w:r>
          </w:p>
        </w:tc>
        <w:tc>
          <w:tcPr>
            <w:tcW w:w="1800" w:type="dxa"/>
            <w:vAlign w:val="bottom"/>
            <w:gridSpan w:val="3"/>
          </w:tcPr>
          <w:p>
            <w:pPr>
              <w:jc w:val="center"/>
              <w:ind w:left="568"/>
              <w:spacing w:after="0"/>
              <w:rPr>
                <w:sz w:val="20"/>
                <w:szCs w:val="20"/>
                <w:color w:val="auto"/>
              </w:rPr>
            </w:pPr>
            <w:r>
              <w:rPr>
                <w:rFonts w:ascii="Arial" w:cs="Arial" w:eastAsia="Arial" w:hAnsi="Arial"/>
                <w:sz w:val="14"/>
                <w:szCs w:val="14"/>
                <w:b w:val="1"/>
                <w:bCs w:val="1"/>
                <w:color w:val="auto"/>
                <w:w w:val="91"/>
              </w:rPr>
              <w:t>December 31, 2019</w:t>
            </w:r>
          </w:p>
        </w:tc>
        <w:tc>
          <w:tcPr>
            <w:tcW w:w="6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117,562</w:t>
            </w:r>
          </w:p>
        </w:tc>
        <w:tc>
          <w:tcPr>
            <w:tcW w:w="640" w:type="dxa"/>
            <w:vAlign w:val="bottom"/>
          </w:tcPr>
          <w:p>
            <w:pPr>
              <w:spacing w:after="0"/>
              <w:rPr>
                <w:sz w:val="16"/>
                <w:szCs w:val="16"/>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3,865</w:t>
            </w:r>
          </w:p>
        </w:tc>
        <w:tc>
          <w:tcPr>
            <w:tcW w:w="660" w:type="dxa"/>
            <w:vAlign w:val="bottom"/>
          </w:tcPr>
          <w:p>
            <w:pPr>
              <w:spacing w:after="0"/>
              <w:rPr>
                <w:sz w:val="16"/>
                <w:szCs w:val="16"/>
                <w:color w:val="auto"/>
              </w:rPr>
            </w:pPr>
          </w:p>
        </w:tc>
        <w:tc>
          <w:tcPr>
            <w:tcW w:w="6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87"/>
              </w:rPr>
              <w:t>$121,427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1,825</w:t>
            </w: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676</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2,501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-419735</wp:posOffset>
            </wp:positionV>
            <wp:extent cx="5871845" cy="1454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07">
                      <a:extLst>
                        <a:ext uri="{28A0092B-C50C-407E-A947-70E740481C1C}"/>
                      </a:extLst>
                    </a:blip>
                    <a:srcRect/>
                    <a:stretch>
                      <a:fillRect/>
                    </a:stretch>
                  </pic:blipFill>
                  <pic:spPr bwMode="auto">
                    <a:xfrm>
                      <a:off x="0" y="0"/>
                      <a:ext cx="5871845" cy="145415"/>
                    </a:xfrm>
                    <a:prstGeom prst="rect">
                      <a:avLst/>
                    </a:prstGeom>
                    <a:noFill/>
                  </pic:spPr>
                </pic:pic>
              </a:graphicData>
            </a:graphic>
          </wp:anchor>
        </w:drawing>
        <w:drawing>
          <wp:anchor simplePos="0" relativeHeight="251657728" behindDoc="1" locked="0" layoutInCell="0" allowOverlap="1">
            <wp:simplePos x="0" y="0"/>
            <wp:positionH relativeFrom="column">
              <wp:posOffset>-3093720</wp:posOffset>
            </wp:positionH>
            <wp:positionV relativeFrom="paragraph">
              <wp:posOffset>-136525</wp:posOffset>
            </wp:positionV>
            <wp:extent cx="5871845" cy="1460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08">
                      <a:extLst>
                        <a:ext uri="{28A0092B-C50C-407E-A947-70E740481C1C}"/>
                      </a:extLst>
                    </a:blip>
                    <a:srcRect/>
                    <a:stretch>
                      <a:fillRect/>
                    </a:stretch>
                  </pic:blipFill>
                  <pic:spPr bwMode="auto">
                    <a:xfrm>
                      <a:off x="0" y="0"/>
                      <a:ext cx="5871845" cy="146050"/>
                    </a:xfrm>
                    <a:prstGeom prst="rect">
                      <a:avLst/>
                    </a:prstGeom>
                    <a:noFill/>
                  </pic:spPr>
                </pic:pic>
              </a:graphicData>
            </a:graphic>
          </wp:anchor>
        </w:drawing>
      </w:r>
    </w:p>
    <w:p>
      <w:pPr>
        <w:spacing w:after="0" w:line="9" w:lineRule="exact"/>
        <w:rPr>
          <w:sz w:val="20"/>
          <w:szCs w:val="20"/>
          <w:color w:val="auto"/>
        </w:rPr>
      </w:pPr>
    </w:p>
    <w:p>
      <w:pPr>
        <w:sectPr>
          <w:pgSz w:w="11900" w:h="16838" w:orient="portrait"/>
          <w:cols w:equalWidth="0" w:num="2">
            <w:col w:w="5160" w:space="720"/>
            <w:col w:w="5260"/>
          </w:cols>
          <w:pgMar w:left="320" w:top="459" w:right="439" w:bottom="1440" w:gutter="0" w:footer="0" w:header="0"/>
          <w:type w:val="continuous"/>
        </w:sectPr>
      </w:pPr>
    </w:p>
    <w:p>
      <w:pPr>
        <w:ind w:left="1000"/>
        <w:spacing w:after="0"/>
        <w:tabs>
          <w:tab w:leader="none" w:pos="5860" w:val="left"/>
          <w:tab w:leader="none" w:pos="6460" w:val="left"/>
          <w:tab w:leader="none" w:pos="7680" w:val="left"/>
          <w:tab w:leader="none" w:pos="8440" w:val="left"/>
          <w:tab w:leader="none" w:pos="9480" w:val="left"/>
        </w:tabs>
        <w:rPr>
          <w:sz w:val="20"/>
          <w:szCs w:val="20"/>
          <w:color w:val="auto"/>
        </w:rPr>
      </w:pPr>
      <w:r>
        <w:rPr>
          <w:rFonts w:ascii="Arial" w:cs="Arial" w:eastAsia="Arial" w:hAnsi="Arial"/>
          <w:sz w:val="18"/>
          <w:szCs w:val="18"/>
          <w:b w:val="1"/>
          <w:bCs w:val="1"/>
          <w:color w:val="auto"/>
        </w:rPr>
        <w:t>Total</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119,387</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5,093</w:t>
      </w:r>
      <w:r>
        <w:rPr>
          <w:sz w:val="20"/>
          <w:szCs w:val="20"/>
          <w:color w:val="auto"/>
        </w:rPr>
        <w:tab/>
      </w:r>
      <w:r>
        <w:rPr>
          <w:rFonts w:ascii="Arial" w:cs="Arial" w:eastAsia="Arial" w:hAnsi="Arial"/>
          <w:sz w:val="16"/>
          <w:szCs w:val="16"/>
          <w:b w:val="1"/>
          <w:bCs w:val="1"/>
          <w:u w:val="single" w:color="auto"/>
          <w:color w:val="auto"/>
        </w:rPr>
        <w:t>$124,480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17145</wp:posOffset>
            </wp:positionV>
            <wp:extent cx="2734945"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09">
                      <a:extLst>
                        <a:ext uri="{28A0092B-C50C-407E-A947-70E740481C1C}"/>
                      </a:extLst>
                    </a:blip>
                    <a:srcRect/>
                    <a:stretch>
                      <a:fillRect/>
                    </a:stretch>
                  </pic:blipFill>
                  <pic:spPr bwMode="auto">
                    <a:xfrm>
                      <a:off x="0" y="0"/>
                      <a:ext cx="2734945" cy="2540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Lease expense for charter-in contracts</w:t>
      </w:r>
    </w:p>
    <w:p>
      <w:pPr>
        <w:spacing w:after="0" w:line="3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Lease expense for land lease agreements</w:t>
      </w:r>
    </w:p>
    <w:p>
      <w:pPr>
        <w:spacing w:after="0" w:line="46" w:lineRule="exact"/>
        <w:rPr>
          <w:sz w:val="20"/>
          <w:szCs w:val="20"/>
          <w:color w:val="auto"/>
        </w:rPr>
      </w:pPr>
    </w:p>
    <w:p>
      <w:pPr>
        <w:ind w:left="1000"/>
        <w:spacing w:after="0"/>
        <w:rPr>
          <w:sz w:val="20"/>
          <w:szCs w:val="20"/>
          <w:color w:val="auto"/>
        </w:rPr>
      </w:pPr>
      <w:r>
        <w:rPr>
          <w:rFonts w:ascii="Arial" w:cs="Arial" w:eastAsia="Arial" w:hAnsi="Arial"/>
          <w:sz w:val="15"/>
          <w:szCs w:val="15"/>
          <w:color w:val="auto"/>
        </w:rPr>
        <w:t>Lease expense for office lease agreements</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center"/>
              <w:ind w:right="19"/>
              <w:spacing w:after="0"/>
              <w:rPr>
                <w:sz w:val="20"/>
                <w:szCs w:val="20"/>
                <w:color w:val="auto"/>
              </w:rPr>
            </w:pPr>
            <w:r>
              <w:rPr>
                <w:rFonts w:ascii="Arial" w:cs="Arial" w:eastAsia="Arial" w:hAnsi="Arial"/>
                <w:sz w:val="14"/>
                <w:szCs w:val="14"/>
                <w:b w:val="1"/>
                <w:bCs w:val="1"/>
                <w:color w:val="auto"/>
                <w:w w:val="92"/>
              </w:rPr>
              <w:t>Dry Bulk Vessel</w:t>
            </w:r>
          </w:p>
        </w:tc>
        <w:tc>
          <w:tcPr>
            <w:tcW w:w="640" w:type="dxa"/>
            <w:vAlign w:val="bottom"/>
          </w:tcPr>
          <w:p>
            <w:pPr>
              <w:spacing w:after="0"/>
              <w:rPr>
                <w:sz w:val="14"/>
                <w:szCs w:val="14"/>
                <w:color w:val="auto"/>
              </w:rPr>
            </w:pPr>
          </w:p>
        </w:tc>
        <w:tc>
          <w:tcPr>
            <w:tcW w:w="11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7"/>
              </w:rPr>
              <w:t>Logistics Business</w:t>
            </w: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4"/>
              </w:rPr>
              <w:t>Operations</w:t>
            </w:r>
          </w:p>
        </w:tc>
        <w:tc>
          <w:tcPr>
            <w:tcW w:w="6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3"/>
              </w:rPr>
              <w:t>Year Ended</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ind w:right="135"/>
              <w:spacing w:after="0" w:line="149" w:lineRule="exact"/>
              <w:rPr>
                <w:sz w:val="20"/>
                <w:szCs w:val="20"/>
                <w:color w:val="auto"/>
              </w:rPr>
            </w:pPr>
            <w:r>
              <w:rPr>
                <w:rFonts w:ascii="Arial" w:cs="Arial" w:eastAsia="Arial" w:hAnsi="Arial"/>
                <w:sz w:val="14"/>
                <w:szCs w:val="14"/>
                <w:b w:val="1"/>
                <w:bCs w:val="1"/>
                <w:color w:val="auto"/>
                <w:w w:val="98"/>
              </w:rPr>
              <w:t>Year Ended</w:t>
            </w:r>
          </w:p>
        </w:tc>
        <w:tc>
          <w:tcPr>
            <w:tcW w:w="660" w:type="dxa"/>
            <w:vAlign w:val="bottom"/>
          </w:tcPr>
          <w:p>
            <w:pPr>
              <w:spacing w:after="0"/>
              <w:rPr>
                <w:sz w:val="12"/>
                <w:szCs w:val="12"/>
                <w:color w:val="auto"/>
              </w:rPr>
            </w:pPr>
          </w:p>
        </w:tc>
        <w:tc>
          <w:tcPr>
            <w:tcW w:w="68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11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December 31, 2018</w:t>
            </w: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 2018</w:t>
            </w:r>
          </w:p>
        </w:tc>
        <w:tc>
          <w:tcPr>
            <w:tcW w:w="6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131,438</w:t>
            </w:r>
          </w:p>
        </w:tc>
        <w:tc>
          <w:tcPr>
            <w:tcW w:w="640" w:type="dxa"/>
            <w:vAlign w:val="bottom"/>
          </w:tcPr>
          <w:p>
            <w:pPr>
              <w:spacing w:after="0"/>
              <w:rPr>
                <w:sz w:val="16"/>
                <w:szCs w:val="16"/>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114</w:t>
            </w:r>
          </w:p>
        </w:tc>
        <w:tc>
          <w:tcPr>
            <w:tcW w:w="660" w:type="dxa"/>
            <w:vAlign w:val="bottom"/>
          </w:tcPr>
          <w:p>
            <w:pPr>
              <w:spacing w:after="0"/>
              <w:rPr>
                <w:sz w:val="16"/>
                <w:szCs w:val="16"/>
                <w:color w:val="auto"/>
              </w:rPr>
            </w:pPr>
          </w:p>
        </w:tc>
        <w:tc>
          <w:tcPr>
            <w:tcW w:w="6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87"/>
              </w:rPr>
              <w:t>$131,552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344</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2,174</w:t>
            </w: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2,876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-419735</wp:posOffset>
            </wp:positionV>
            <wp:extent cx="5871845" cy="1460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10">
                      <a:extLst>
                        <a:ext uri="{28A0092B-C50C-407E-A947-70E740481C1C}"/>
                      </a:extLst>
                    </a:blip>
                    <a:srcRect/>
                    <a:stretch>
                      <a:fillRect/>
                    </a:stretch>
                  </pic:blipFill>
                  <pic:spPr bwMode="auto">
                    <a:xfrm>
                      <a:off x="0" y="0"/>
                      <a:ext cx="5871845" cy="146050"/>
                    </a:xfrm>
                    <a:prstGeom prst="rect">
                      <a:avLst/>
                    </a:prstGeom>
                    <a:noFill/>
                  </pic:spPr>
                </pic:pic>
              </a:graphicData>
            </a:graphic>
          </wp:anchor>
        </w:drawing>
        <w:drawing>
          <wp:anchor simplePos="0" relativeHeight="251657728" behindDoc="1" locked="0" layoutInCell="0" allowOverlap="1">
            <wp:simplePos x="0" y="0"/>
            <wp:positionH relativeFrom="column">
              <wp:posOffset>-3093720</wp:posOffset>
            </wp:positionH>
            <wp:positionV relativeFrom="paragraph">
              <wp:posOffset>-136525</wp:posOffset>
            </wp:positionV>
            <wp:extent cx="5871845" cy="1460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11">
                      <a:extLst>
                        <a:ext uri="{28A0092B-C50C-407E-A947-70E740481C1C}"/>
                      </a:extLst>
                    </a:blip>
                    <a:srcRect/>
                    <a:stretch>
                      <a:fillRect/>
                    </a:stretch>
                  </pic:blipFill>
                  <pic:spPr bwMode="auto">
                    <a:xfrm>
                      <a:off x="0" y="0"/>
                      <a:ext cx="5871845" cy="146050"/>
                    </a:xfrm>
                    <a:prstGeom prst="rect">
                      <a:avLst/>
                    </a:prstGeom>
                    <a:noFill/>
                  </pic:spPr>
                </pic:pic>
              </a:graphicData>
            </a:graphic>
          </wp:anchor>
        </w:drawing>
      </w:r>
    </w:p>
    <w:p>
      <w:pPr>
        <w:spacing w:after="0" w:line="9" w:lineRule="exact"/>
        <w:rPr>
          <w:sz w:val="20"/>
          <w:szCs w:val="20"/>
          <w:color w:val="auto"/>
        </w:rPr>
      </w:pPr>
    </w:p>
    <w:p>
      <w:pPr>
        <w:sectPr>
          <w:pgSz w:w="11900" w:h="16838" w:orient="portrait"/>
          <w:cols w:equalWidth="0" w:num="2">
            <w:col w:w="5160" w:space="720"/>
            <w:col w:w="5260"/>
          </w:cols>
          <w:pgMar w:left="320" w:top="459" w:right="439" w:bottom="1440" w:gutter="0" w:footer="0" w:header="0"/>
          <w:type w:val="continuous"/>
        </w:sectPr>
      </w:pPr>
    </w:p>
    <w:p>
      <w:pPr>
        <w:ind w:left="1000"/>
        <w:spacing w:after="0"/>
        <w:tabs>
          <w:tab w:leader="none" w:pos="5860" w:val="left"/>
          <w:tab w:leader="none" w:pos="6440" w:val="left"/>
          <w:tab w:leader="none" w:pos="7680" w:val="left"/>
          <w:tab w:leader="none" w:pos="8440" w:val="left"/>
          <w:tab w:leader="none" w:pos="9480" w:val="left"/>
        </w:tabs>
        <w:rPr>
          <w:sz w:val="20"/>
          <w:szCs w:val="20"/>
          <w:color w:val="auto"/>
        </w:rPr>
      </w:pPr>
      <w:r>
        <w:rPr>
          <w:rFonts w:ascii="Arial" w:cs="Arial" w:eastAsia="Arial" w:hAnsi="Arial"/>
          <w:sz w:val="18"/>
          <w:szCs w:val="18"/>
          <w:b w:val="1"/>
          <w:bCs w:val="1"/>
          <w:color w:val="auto"/>
        </w:rPr>
        <w:t>Total</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133,612</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1,160</w:t>
      </w:r>
      <w:r>
        <w:rPr>
          <w:sz w:val="20"/>
          <w:szCs w:val="20"/>
          <w:color w:val="auto"/>
        </w:rPr>
        <w:tab/>
      </w:r>
      <w:r>
        <w:rPr>
          <w:rFonts w:ascii="Arial" w:cs="Arial" w:eastAsia="Arial" w:hAnsi="Arial"/>
          <w:sz w:val="16"/>
          <w:szCs w:val="16"/>
          <w:b w:val="1"/>
          <w:bCs w:val="1"/>
          <w:u w:val="single" w:color="auto"/>
          <w:color w:val="auto"/>
        </w:rPr>
        <w:t>$134,772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17145</wp:posOffset>
            </wp:positionV>
            <wp:extent cx="2734945"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12">
                      <a:extLst>
                        <a:ext uri="{28A0092B-C50C-407E-A947-70E740481C1C}"/>
                      </a:extLst>
                    </a:blip>
                    <a:srcRect/>
                    <a:stretch>
                      <a:fillRect/>
                    </a:stretch>
                  </pic:blipFill>
                  <pic:spPr bwMode="auto">
                    <a:xfrm>
                      <a:off x="0" y="0"/>
                      <a:ext cx="2734945" cy="26035"/>
                    </a:xfrm>
                    <a:prstGeom prst="rect">
                      <a:avLst/>
                    </a:prstGeom>
                    <a:noFill/>
                  </pic:spPr>
                </pic:pic>
              </a:graphicData>
            </a:graphic>
          </wp:anchor>
        </w:drawing>
      </w:r>
    </w:p>
    <w:p>
      <w:pPr>
        <w:spacing w:after="0" w:line="263"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Lease expenses for charter-in contracts (including bareboat-in contracts) are included in the consolidated statement of comprehensive (loss)/ income within the caption “Time charter, voyage and logistics business expenses”. Lease expenses for land lease agreements and office lease agreements are included in the consolidated statement of comprehensive (loss)/income within the captions “Time charter, voyage and logistics business expenses” and “General and administrative expenses”, respectively.</w:t>
      </w:r>
    </w:p>
    <w:p>
      <w:pPr>
        <w:spacing w:after="0" w:line="187"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During the years ended December 31, 2020 and 2019, Navios Holdings recorded an impairment loss of $1,361 and $38,636 for certain of its charter-in vessels, respectively.</w:t>
      </w:r>
    </w:p>
    <w:p>
      <w:pPr>
        <w:spacing w:after="0" w:line="170" w:lineRule="exact"/>
        <w:rPr>
          <w:sz w:val="20"/>
          <w:szCs w:val="20"/>
          <w:color w:val="auto"/>
        </w:rPr>
      </w:pPr>
    </w:p>
    <w:p>
      <w:pPr>
        <w:ind w:left="120" w:right="720" w:firstLine="440"/>
        <w:spacing w:after="0" w:line="277" w:lineRule="auto"/>
        <w:rPr>
          <w:sz w:val="20"/>
          <w:szCs w:val="20"/>
          <w:color w:val="auto"/>
        </w:rPr>
      </w:pPr>
      <w:r>
        <w:rPr>
          <w:rFonts w:ascii="Arial" w:cs="Arial" w:eastAsia="Arial" w:hAnsi="Arial"/>
          <w:sz w:val="18"/>
          <w:szCs w:val="18"/>
          <w:color w:val="auto"/>
        </w:rPr>
        <w:t>During the years ended December 31, 2020 and 2019, the Company entered into new lease liabilities amounting to $43,516 and $47,064, respectively.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140"/>
          </w:cols>
          <w:pgMar w:left="320" w:top="459" w:right="439" w:bottom="1440" w:gutter="0" w:footer="0" w:header="0"/>
          <w:type w:val="continuous"/>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NAVIOS MARITIME HOLDINGS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(Expressed in thousands of U.S. dollars — except share data)</w:t>
      </w:r>
    </w:p>
    <w:p>
      <w:pPr>
        <w:spacing w:after="0" w:line="143"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color w:val="auto"/>
        </w:rPr>
        <w:t>The table below provides the total amount of lease payments on an undiscounted basis on our charter-in contracts (including bareboat-in contracts), office lease agreements and land lease agreements as of December 31, 2020:</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w w:val="98"/>
              </w:rPr>
              <w:t>Charter-in</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9"/>
              </w:rPr>
              <w:t>vessels in</w:t>
            </w:r>
          </w:p>
        </w:tc>
        <w:tc>
          <w:tcPr>
            <w:tcW w:w="126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w w:val="91"/>
              </w:rPr>
              <w:t>Land Leases</w:t>
            </w:r>
          </w:p>
        </w:tc>
        <w:tc>
          <w:tcPr>
            <w:tcW w:w="1280" w:type="dxa"/>
            <w:vAlign w:val="bottom"/>
            <w:gridSpan w:val="4"/>
            <w:vMerge w:val="restart"/>
          </w:tcPr>
          <w:p>
            <w:pPr>
              <w:ind w:left="460"/>
              <w:spacing w:after="0"/>
              <w:rPr>
                <w:sz w:val="20"/>
                <w:szCs w:val="20"/>
                <w:color w:val="auto"/>
              </w:rPr>
            </w:pPr>
            <w:r>
              <w:rPr>
                <w:rFonts w:ascii="Arial" w:cs="Arial" w:eastAsia="Arial" w:hAnsi="Arial"/>
                <w:sz w:val="14"/>
                <w:szCs w:val="14"/>
                <w:b w:val="1"/>
                <w:bCs w:val="1"/>
                <w:color w:val="auto"/>
                <w:w w:val="96"/>
              </w:rPr>
              <w:t>Office space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operation</w:t>
            </w:r>
          </w:p>
        </w:tc>
        <w:tc>
          <w:tcPr>
            <w:tcW w:w="1260" w:type="dxa"/>
            <w:vAlign w:val="bottom"/>
            <w:gridSpan w:val="3"/>
            <w:vMerge w:val="continue"/>
          </w:tcPr>
          <w:p>
            <w:pPr>
              <w:spacing w:after="0"/>
              <w:rPr>
                <w:sz w:val="14"/>
                <w:szCs w:val="14"/>
                <w:color w:val="auto"/>
              </w:rPr>
            </w:pPr>
          </w:p>
        </w:tc>
        <w:tc>
          <w:tcPr>
            <w:tcW w:w="12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31, 2021</w:t>
            </w:r>
          </w:p>
        </w:tc>
        <w:tc>
          <w:tcPr>
            <w:tcW w:w="10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100,690</w:t>
            </w:r>
          </w:p>
        </w:tc>
        <w:tc>
          <w:tcPr>
            <w:tcW w:w="4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4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86"/>
              </w:rPr>
              <w:t>356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December 31, 2022</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63,995</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556</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w w:val="86"/>
              </w:rPr>
              <w:t>101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2023</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54,148</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December 31, 2024</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39,788</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556</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2025</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19,076</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December 31, 2026 and thereafter</w:t>
            </w:r>
          </w:p>
        </w:tc>
        <w:tc>
          <w:tcPr>
            <w:tcW w:w="10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45,934</w:t>
            </w:r>
          </w:p>
        </w:tc>
        <w:tc>
          <w:tcPr>
            <w:tcW w:w="4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22,446</w:t>
            </w:r>
          </w:p>
        </w:tc>
        <w:tc>
          <w:tcPr>
            <w:tcW w:w="4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20" w:type="dxa"/>
            <w:vAlign w:val="bottom"/>
            <w:gridSpan w:val="2"/>
            <w:shd w:val="clear" w:color="auto" w:fill="CCEEFF"/>
          </w:tcPr>
          <w:p>
            <w:pPr>
              <w:ind w:left="1020"/>
              <w:spacing w:after="0"/>
              <w:rPr>
                <w:sz w:val="20"/>
                <w:szCs w:val="20"/>
                <w:color w:val="auto"/>
              </w:rPr>
            </w:pPr>
            <w:r>
              <w:rPr>
                <w:rFonts w:ascii="Arial" w:cs="Arial" w:eastAsia="Arial" w:hAnsi="Arial"/>
                <w:sz w:val="18"/>
                <w:szCs w:val="18"/>
                <w:b w:val="1"/>
                <w:bCs w:val="1"/>
                <w:u w:val="single" w:color="auto"/>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323,631</w:t>
            </w:r>
          </w:p>
        </w:tc>
        <w:tc>
          <w:tcPr>
            <w:tcW w:w="660" w:type="dxa"/>
            <w:vAlign w:val="bottom"/>
            <w:gridSpan w:val="2"/>
            <w:shd w:val="clear" w:color="auto" w:fill="CCEEFF"/>
          </w:tcPr>
          <w:p>
            <w:pPr>
              <w:ind w:left="460"/>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25,226</w:t>
            </w: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w w:val="86"/>
              </w:rPr>
              <w:t>538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00" w:type="dxa"/>
            <w:vAlign w:val="bottom"/>
            <w:gridSpan w:val="2"/>
          </w:tcPr>
          <w:p>
            <w:pPr>
              <w:spacing w:after="0"/>
              <w:rPr>
                <w:sz w:val="20"/>
                <w:szCs w:val="20"/>
                <w:color w:val="auto"/>
              </w:rPr>
            </w:pPr>
            <w:r>
              <w:rPr>
                <w:rFonts w:ascii="Arial" w:cs="Arial" w:eastAsia="Arial" w:hAnsi="Arial"/>
                <w:sz w:val="18"/>
                <w:szCs w:val="18"/>
                <w:b w:val="1"/>
                <w:bCs w:val="1"/>
                <w:color w:val="auto"/>
              </w:rPr>
              <w:t>Operating lease liabilities, including current portion</w:t>
            </w:r>
          </w:p>
        </w:tc>
        <w:tc>
          <w:tcPr>
            <w:tcW w:w="10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266,367</w:t>
            </w:r>
          </w:p>
        </w:tc>
        <w:tc>
          <w:tcPr>
            <w:tcW w:w="4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7,878</w:t>
            </w:r>
          </w:p>
        </w:tc>
        <w:tc>
          <w:tcPr>
            <w:tcW w:w="46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4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b w:val="1"/>
                <w:bCs w:val="1"/>
                <w:color w:val="auto"/>
                <w:w w:val="86"/>
              </w:rPr>
              <w:t>519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Discount based on incremental borrowing rate</w:t>
            </w:r>
          </w:p>
        </w:tc>
        <w:tc>
          <w:tcPr>
            <w:tcW w:w="1120" w:type="dxa"/>
            <w:vAlign w:val="bottom"/>
            <w:gridSpan w:val="2"/>
            <w:shd w:val="clear" w:color="auto" w:fill="CCEEFF"/>
          </w:tcPr>
          <w:p>
            <w:pPr>
              <w:ind w:left="1020"/>
              <w:spacing w:after="0"/>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57,264</w:t>
            </w:r>
          </w:p>
        </w:tc>
        <w:tc>
          <w:tcPr>
            <w:tcW w:w="660" w:type="dxa"/>
            <w:vAlign w:val="bottom"/>
            <w:gridSpan w:val="2"/>
            <w:shd w:val="clear" w:color="auto" w:fill="CCEEFF"/>
          </w:tcPr>
          <w:p>
            <w:pPr>
              <w:ind w:left="460"/>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17,348</w:t>
            </w: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w w:val="79"/>
              </w:rPr>
              <w:t>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As of December 31, 2020, the weighted average remaining lease terms on our charter-in contracts (including bareboat-in contracts), office lease agreements and land leases are 4.9 years, 1.5 years and 45.3 years, respectively.</w:t>
      </w:r>
    </w:p>
    <w:p>
      <w:pPr>
        <w:spacing w:after="0" w:line="170"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As of December 31, 2019, the weighted average remaining lease terms on our charter-in contracts (including bareboat-in contracts), office lease agreements and land leases are 4.5 years, 1.9 years and 46.3 years, respectively.</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Charter-out vessels, barges and pushboats:</w:t>
      </w:r>
    </w:p>
    <w:p>
      <w:pPr>
        <w:spacing w:after="0" w:line="117"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The future minimum revenue, net of commissions, (i) for dry bulk vessels, expected to be earned on non-cancelable time charters; and (ii) for the Company’s logistics business, expected to be earned on non-cancelable time charters, COA’s with minimum guaranteed volumes and contracts with minimum guaranteed throughput in Navios Logistics’ ports expected to be earned on non-cancelable time charters, are as follows:</w:t>
      </w:r>
    </w:p>
    <w:p>
      <w:pPr>
        <w:spacing w:after="0" w:line="17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Dry bulk</w:t>
            </w:r>
          </w:p>
        </w:tc>
        <w:tc>
          <w:tcPr>
            <w:tcW w:w="200" w:type="dxa"/>
            <w:vAlign w:val="bottom"/>
          </w:tcPr>
          <w:p>
            <w:pPr>
              <w:spacing w:after="0"/>
              <w:rPr>
                <w:sz w:val="14"/>
                <w:szCs w:val="14"/>
                <w:color w:val="auto"/>
              </w:rPr>
            </w:pPr>
          </w:p>
        </w:tc>
        <w:tc>
          <w:tcPr>
            <w:tcW w:w="860" w:type="dxa"/>
            <w:vAlign w:val="bottom"/>
            <w:gridSpan w:val="2"/>
          </w:tcPr>
          <w:p>
            <w:pPr>
              <w:ind w:left="140"/>
              <w:spacing w:after="0"/>
              <w:rPr>
                <w:sz w:val="20"/>
                <w:szCs w:val="20"/>
                <w:color w:val="auto"/>
              </w:rPr>
            </w:pPr>
            <w:r>
              <w:rPr>
                <w:rFonts w:ascii="Arial" w:cs="Arial" w:eastAsia="Arial" w:hAnsi="Arial"/>
                <w:sz w:val="14"/>
                <w:szCs w:val="14"/>
                <w:b w:val="1"/>
                <w:bCs w:val="1"/>
                <w:color w:val="auto"/>
              </w:rPr>
              <w:t>Logistics</w:t>
            </w:r>
          </w:p>
        </w:tc>
      </w:tr>
      <w:tr>
        <w:trPr>
          <w:trHeight w:val="171"/>
        </w:trPr>
        <w:tc>
          <w:tcPr>
            <w:tcW w:w="49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4"/>
              </w:rPr>
              <w:t>vessels</w:t>
            </w:r>
          </w:p>
        </w:tc>
        <w:tc>
          <w:tcPr>
            <w:tcW w:w="200" w:type="dxa"/>
            <w:vAlign w:val="bottom"/>
          </w:tcPr>
          <w:p>
            <w:pPr>
              <w:spacing w:after="0"/>
              <w:rPr>
                <w:sz w:val="14"/>
                <w:szCs w:val="14"/>
                <w:color w:val="auto"/>
              </w:rPr>
            </w:pPr>
          </w:p>
        </w:tc>
        <w:tc>
          <w:tcPr>
            <w:tcW w:w="860" w:type="dxa"/>
            <w:vAlign w:val="bottom"/>
            <w:gridSpan w:val="2"/>
          </w:tcPr>
          <w:p>
            <w:pPr>
              <w:ind w:left="140"/>
              <w:spacing w:after="0"/>
              <w:rPr>
                <w:sz w:val="20"/>
                <w:szCs w:val="20"/>
                <w:color w:val="auto"/>
              </w:rPr>
            </w:pPr>
            <w:r>
              <w:rPr>
                <w:rFonts w:ascii="Arial" w:cs="Arial" w:eastAsia="Arial" w:hAnsi="Arial"/>
                <w:sz w:val="14"/>
                <w:szCs w:val="14"/>
                <w:b w:val="1"/>
                <w:bCs w:val="1"/>
                <w:color w:val="auto"/>
              </w:rPr>
              <w:t>business</w:t>
            </w:r>
          </w:p>
        </w:tc>
      </w:tr>
      <w:tr>
        <w:trPr>
          <w:trHeight w:val="210"/>
        </w:trPr>
        <w:tc>
          <w:tcPr>
            <w:tcW w:w="4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15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36,850</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119,181</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2022</w:t>
            </w:r>
          </w:p>
        </w:tc>
        <w:tc>
          <w:tcPr>
            <w:tcW w:w="15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95,041</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5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82,671</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2024</w:t>
            </w:r>
          </w:p>
        </w:tc>
        <w:tc>
          <w:tcPr>
            <w:tcW w:w="15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71,458</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5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71,427</w:t>
            </w:r>
          </w:p>
        </w:tc>
      </w:tr>
      <w:tr>
        <w:trPr>
          <w:trHeight w:val="223"/>
        </w:trPr>
        <w:tc>
          <w:tcPr>
            <w:tcW w:w="4940" w:type="dxa"/>
            <w:vAlign w:val="bottom"/>
          </w:tcPr>
          <w:p>
            <w:pPr>
              <w:spacing w:after="0"/>
              <w:rPr>
                <w:sz w:val="20"/>
                <w:szCs w:val="20"/>
                <w:color w:val="auto"/>
              </w:rPr>
            </w:pPr>
            <w:r>
              <w:rPr>
                <w:rFonts w:ascii="Arial" w:cs="Arial" w:eastAsia="Arial" w:hAnsi="Arial"/>
                <w:sz w:val="18"/>
                <w:szCs w:val="18"/>
                <w:color w:val="auto"/>
              </w:rPr>
              <w:t>2026 and thereafter</w:t>
            </w:r>
          </w:p>
        </w:tc>
        <w:tc>
          <w:tcPr>
            <w:tcW w:w="1580" w:type="dxa"/>
            <w:vAlign w:val="bottom"/>
          </w:tcPr>
          <w:p>
            <w:pPr>
              <w:spacing w:after="0"/>
              <w:rPr>
                <w:sz w:val="19"/>
                <w:szCs w:val="19"/>
                <w:color w:val="auto"/>
              </w:rPr>
            </w:pPr>
          </w:p>
        </w:tc>
        <w:tc>
          <w:tcPr>
            <w:tcW w:w="6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583,645</w:t>
            </w:r>
          </w:p>
        </w:tc>
        <w:tc>
          <w:tcPr>
            <w:tcW w:w="40" w:type="dxa"/>
            <w:vAlign w:val="bottom"/>
          </w:tcPr>
          <w:p>
            <w:pPr>
              <w:spacing w:after="0"/>
              <w:rPr>
                <w:sz w:val="19"/>
                <w:szCs w:val="19"/>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minimum revenue, net of commissions</w:t>
            </w:r>
          </w:p>
        </w:tc>
        <w:tc>
          <w:tcPr>
            <w:tcW w:w="23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36,850</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1,023,423</w:t>
            </w:r>
          </w:p>
        </w:tc>
      </w:tr>
      <w:tr>
        <w:trPr>
          <w:trHeight w:val="20"/>
        </w:trPr>
        <w:tc>
          <w:tcPr>
            <w:tcW w:w="49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Revenues from time charters are not generally received when a vessel is off-hire, which includes time required for scheduled maintenance of the vessel.</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16: TRANSACTIONS WITH RELATED PARTIES</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b w:val="1"/>
          <w:bCs w:val="1"/>
          <w:color w:val="auto"/>
        </w:rPr>
        <w:t xml:space="preserve">Sale of Management: </w:t>
      </w:r>
      <w:r>
        <w:rPr>
          <w:rFonts w:ascii="Arial" w:cs="Arial" w:eastAsia="Arial" w:hAnsi="Arial"/>
          <w:sz w:val="17"/>
          <w:szCs w:val="17"/>
          <w:color w:val="auto"/>
        </w:rPr>
        <w:t>In August 2019, Navios Holdings sold its ship management division, the general partnership interests in Navios Partners</w:t>
      </w:r>
      <w:r>
        <w:rPr>
          <w:rFonts w:ascii="Arial" w:cs="Arial" w:eastAsia="Arial" w:hAnsi="Arial"/>
          <w:sz w:val="17"/>
          <w:szCs w:val="17"/>
          <w:b w:val="1"/>
          <w:bCs w:val="1"/>
          <w:color w:val="auto"/>
        </w:rPr>
        <w:t xml:space="preserve"> </w:t>
      </w:r>
      <w:r>
        <w:rPr>
          <w:rFonts w:ascii="Arial" w:cs="Arial" w:eastAsia="Arial" w:hAnsi="Arial"/>
          <w:sz w:val="17"/>
          <w:szCs w:val="17"/>
          <w:color w:val="auto"/>
        </w:rPr>
        <w:t>(except for the incentive distribution rights) and Navios Containers GP LLC to NSM, affiliated with Company’s Chairman and Chief Executive Officer, Angeliki Frangou. The Company received aggregate consideration of $20,000 (including assumption of liabilities) and five-year service agreements under which NSM provides technical and commercial management services at a fixed rate of $3.7 per day per vessel until August 2021 which will increase thereafter by 3% annually, unless otherwise agreed, and administrative services, reimbursed at allocable cost. As a result of the Transaction the Company is a holding company owning dry bulk vessels and various investments in entities owning maritime and infrastructure assets. NSM owns all entities providing ship management services and employs all associated people. NSM owns the general partner interests in Navios Containers and Navios Partners. The Company simultaneously entered into a secured credit facility with NSM whereby the Company agreed to repay NSM a loan of $141,795 (including post-closing adjustments). See also “NSM Loan” below.</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060"/>
          </w:cols>
          <w:pgMar w:left="320" w:top="459" w:right="51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NAVIOS MARITIME HOLDINGS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(Expressed in thousands of U.S. dollars — except share data)</w:t>
      </w:r>
    </w:p>
    <w:p>
      <w:pPr>
        <w:spacing w:after="0" w:line="139"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7"/>
          <w:szCs w:val="17"/>
          <w:b w:val="1"/>
          <w:bCs w:val="1"/>
          <w:color w:val="auto"/>
        </w:rPr>
        <w:t xml:space="preserve">Office Rent: </w:t>
      </w:r>
      <w:r>
        <w:rPr>
          <w:rFonts w:ascii="Arial" w:cs="Arial" w:eastAsia="Arial" w:hAnsi="Arial"/>
          <w:sz w:val="17"/>
          <w:szCs w:val="17"/>
          <w:color w:val="auto"/>
        </w:rPr>
        <w:t>The Company had entered into lease agreements with Goldland Ktimatiki-Ikodomiki-Touristiki Xenodohiaki Anonimos Eteria,</w:t>
      </w:r>
      <w:r>
        <w:rPr>
          <w:rFonts w:ascii="Arial" w:cs="Arial" w:eastAsia="Arial" w:hAnsi="Arial"/>
          <w:sz w:val="17"/>
          <w:szCs w:val="17"/>
          <w:b w:val="1"/>
          <w:bCs w:val="1"/>
          <w:color w:val="auto"/>
        </w:rPr>
        <w:t xml:space="preserve"> </w:t>
      </w:r>
      <w:r>
        <w:rPr>
          <w:rFonts w:ascii="Arial" w:cs="Arial" w:eastAsia="Arial" w:hAnsi="Arial"/>
          <w:sz w:val="17"/>
          <w:szCs w:val="17"/>
          <w:color w:val="auto"/>
        </w:rPr>
        <w:t>Emerald Ktimatiki-Ikodomiki Touristiki Xenodohiaki Anonimos Eteria and Infraco Limited, all of which are Greek corporations that are currently majority-owned by Angeliki Frangou, Navios Holdings’ Chairman and Chief Executive Officer. The lease agreements provided for the leasing of facilities located in Piraeus, Greece to house the operations of most of the Company’s subsidiaries. Following the sale of the management division effected on August 30, 2019, outlined in Note 3, Navios Holdings has no office lease obligations.</w:t>
      </w:r>
    </w:p>
    <w:p>
      <w:pPr>
        <w:spacing w:after="0" w:line="168"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Purchase of Services: </w:t>
      </w:r>
      <w:r>
        <w:rPr>
          <w:rFonts w:ascii="Arial" w:cs="Arial" w:eastAsia="Arial" w:hAnsi="Arial"/>
          <w:sz w:val="16"/>
          <w:szCs w:val="16"/>
          <w:color w:val="auto"/>
        </w:rPr>
        <w:t>The Company utilized its former affiliate company, Acropolis, as a broker until the sale of its investment on December 6,</w:t>
      </w:r>
    </w:p>
    <w:p>
      <w:pPr>
        <w:spacing w:after="0" w:line="50" w:lineRule="exact"/>
        <w:rPr>
          <w:sz w:val="20"/>
          <w:szCs w:val="20"/>
          <w:color w:val="auto"/>
        </w:rPr>
      </w:pPr>
    </w:p>
    <w:p>
      <w:pPr>
        <w:ind w:left="120" w:right="380"/>
        <w:spacing w:after="0" w:line="260" w:lineRule="auto"/>
        <w:rPr>
          <w:sz w:val="20"/>
          <w:szCs w:val="20"/>
          <w:color w:val="auto"/>
        </w:rPr>
      </w:pPr>
      <w:r>
        <w:rPr>
          <w:rFonts w:ascii="Arial" w:cs="Arial" w:eastAsia="Arial" w:hAnsi="Arial"/>
          <w:sz w:val="18"/>
          <w:szCs w:val="18"/>
          <w:color w:val="auto"/>
        </w:rPr>
        <w:t>2018. Commissions charged from Acropolis for each of the years ended December 31, 2019, 2018 and 2017 were $0 for all periods. Included in the trade accounts payable at both December 31, 2020 and 2019 was an amount due to Acropolis of $76.</w:t>
      </w:r>
    </w:p>
    <w:p>
      <w:pPr>
        <w:spacing w:after="0" w:line="181"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b w:val="1"/>
          <w:bCs w:val="1"/>
          <w:color w:val="auto"/>
        </w:rPr>
        <w:t xml:space="preserve">Vessel Operating Expenses (management fees): </w:t>
      </w:r>
      <w:r>
        <w:rPr>
          <w:rFonts w:ascii="Arial" w:cs="Arial" w:eastAsia="Arial" w:hAnsi="Arial"/>
          <w:sz w:val="17"/>
          <w:szCs w:val="17"/>
          <w:color w:val="auto"/>
        </w:rPr>
        <w:t>Prior to the sale of the management division effected on August 30, 2019, Navios Holdings</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commercial and technical management services to the owned vessels of Navios Partners, Navios Acquisition and Navios Containers for certain contracted daily fixed fees under the existing management agreements. Drydocking and special survey expenses were reimbursed at cost. In addition, Navios Holdings provided commercial and technical management services to Navios Europe I’s and Navios Europe II’s owned vessels which under the management agreements in place were reimbursed at cost. Following the sale of the management division effected on August 30, 2019, outlined in Note 3, these services are provided by NSM. For the period from January 1, 2019 to August 30, 2019, certain extraordinary fees and costs related to regulatory requirements under the management agreements in place amounted to $15,750 (for the year ended December 31, 2018: $0) and are presented within the caption “Other income”. Total management fees for vessel operating expenses for the period from January 1, 2019 to August 30, 2019 and for the year ended December 31, 2018, amounted to $149,184 and $206,427, respectively, and are presented net within the caption “Direct vessel expenses”.</w:t>
      </w:r>
    </w:p>
    <w:p>
      <w:pPr>
        <w:spacing w:after="0" w:line="181"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Following the sale of the management division effected on August 30, 2019, outlined in Note 3, and pursuant to the Management Agreement, NSM provides commercial and technical management services to Navios Holdings’ vessels. The term of this agreement is for an initial period of five years with an automatic extension period of five years thereafter unless a notice for termination is received by either party. The fee for the ship management services provided by NSM is a daily fee of $3.7 per day per owned vessel. This rate is fixed until August 2021 and will increase thereafter by 3% annually, unless otherwise agreed. The fee for the ship management services provided by NSM is a daily fee of $0.03 per day per charter-in vessel. Drydocking expenses under this agreement will be reimbursed by Navios Holdings at cost. The agreement also provides for payment of a termination fee, equal to the fees charged for the full calendar year preceding the termination date, by Navios Holdings in the event the Management Agreement is terminated on or before August 29, 2024. Total management fees for vessel operating expenses for the year ended December 31, 2020 and for the period from August 30, 2019 to December 31, 2019 amounted to $45,487 and $14,372, respectively, and are presented within the caption “Direct vessel expenses”.</w:t>
      </w:r>
    </w:p>
    <w:p>
      <w:pPr>
        <w:spacing w:after="0" w:line="181" w:lineRule="exact"/>
        <w:rPr>
          <w:sz w:val="20"/>
          <w:szCs w:val="20"/>
          <w:color w:val="auto"/>
        </w:rPr>
      </w:pPr>
    </w:p>
    <w:p>
      <w:pPr>
        <w:ind w:left="120" w:right="40" w:firstLine="440"/>
        <w:spacing w:after="0" w:line="256" w:lineRule="auto"/>
        <w:rPr>
          <w:sz w:val="20"/>
          <w:szCs w:val="20"/>
          <w:color w:val="auto"/>
        </w:rPr>
      </w:pPr>
      <w:r>
        <w:rPr>
          <w:rFonts w:ascii="Arial" w:cs="Arial" w:eastAsia="Arial" w:hAnsi="Arial"/>
          <w:sz w:val="18"/>
          <w:szCs w:val="18"/>
          <w:b w:val="1"/>
          <w:bCs w:val="1"/>
          <w:color w:val="auto"/>
        </w:rPr>
        <w:t xml:space="preserve">Navios Partners Guarantee: </w:t>
      </w:r>
      <w:r>
        <w:rPr>
          <w:rFonts w:ascii="Arial" w:cs="Arial" w:eastAsia="Arial" w:hAnsi="Arial"/>
          <w:sz w:val="18"/>
          <w:szCs w:val="18"/>
          <w:color w:val="auto"/>
        </w:rPr>
        <w:t>In November 2012 (as amended in March 2014), the Company entered into an agreement with Navios Partners (the</w:t>
      </w:r>
      <w:r>
        <w:rPr>
          <w:rFonts w:ascii="Arial" w:cs="Arial" w:eastAsia="Arial" w:hAnsi="Arial"/>
          <w:sz w:val="18"/>
          <w:szCs w:val="18"/>
          <w:b w:val="1"/>
          <w:bCs w:val="1"/>
          <w:color w:val="auto"/>
        </w:rPr>
        <w:t xml:space="preserve"> </w:t>
      </w:r>
      <w:r>
        <w:rPr>
          <w:rFonts w:ascii="Arial" w:cs="Arial" w:eastAsia="Arial" w:hAnsi="Arial"/>
          <w:sz w:val="18"/>
          <w:szCs w:val="18"/>
          <w:color w:val="auto"/>
        </w:rPr>
        <w:t>“Navios Partners Guarantee”) to provide Navios Partners with guarantees against counterparty default on certain existing charters, which had previously been covered by the charter insurance for the same vessels, same periods and same amounts. As of December 31, 2019 the outstanding balance of the claim was $10,000. In October 2020, the Company paid an amount of $5,000 to Navios Partners. As of December 31, 2020 the outstanding balance of the claim was $5,000. In April 2021, the Company paid the amount of $5,000 to Navios Partners as the final settlement of the outstanding balance of the claim.</w:t>
      </w:r>
    </w:p>
    <w:p>
      <w:pPr>
        <w:spacing w:after="0" w:line="187" w:lineRule="exact"/>
        <w:rPr>
          <w:sz w:val="20"/>
          <w:szCs w:val="20"/>
          <w:color w:val="auto"/>
        </w:rPr>
      </w:pPr>
    </w:p>
    <w:p>
      <w:pPr>
        <w:ind w:left="120" w:right="20" w:firstLine="440"/>
        <w:spacing w:after="0" w:line="298" w:lineRule="auto"/>
        <w:rPr>
          <w:sz w:val="20"/>
          <w:szCs w:val="20"/>
          <w:color w:val="auto"/>
        </w:rPr>
      </w:pPr>
      <w:r>
        <w:rPr>
          <w:rFonts w:ascii="Arial" w:cs="Arial" w:eastAsia="Arial" w:hAnsi="Arial"/>
          <w:sz w:val="16"/>
          <w:szCs w:val="16"/>
          <w:b w:val="1"/>
          <w:bCs w:val="1"/>
          <w:color w:val="auto"/>
        </w:rPr>
        <w:t xml:space="preserve">General and Administrative Expenses incurred on behalf of affiliate companies/Administrative fee revenue from affiliate companies: </w:t>
      </w:r>
      <w:r>
        <w:rPr>
          <w:rFonts w:ascii="Arial" w:cs="Arial" w:eastAsia="Arial" w:hAnsi="Arial"/>
          <w:sz w:val="16"/>
          <w:szCs w:val="16"/>
          <w:color w:val="auto"/>
        </w:rPr>
        <w:t>Navios Holdings provided administrative services to Navios Partners, Navios Acquisition, Navios Containers, Navios Europe I and Navios Europe II. Navios Holdings was reimbursed for reasonable costs and expenses incurred in connection with the provision of these services. Following the sale of the management division effected on August 30, 2019, outlined in Note 3, these services are provided by NSM. Total general and administrative fees for the period from January 1, 2019 to August 30, 2019 and for the year ended December 31, 2018, amounted to $16,991 and $28,393, respectively.</w:t>
      </w:r>
    </w:p>
    <w:p>
      <w:pPr>
        <w:spacing w:after="0" w:line="158"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Navios Holdings provided administrative services to Navios Logistics. In April 2016, Navios Holdings extended the duration of its existing administrative services agreement with Navios Logistics until December 2021, pursuant to its existing terms. Navios Holdings was reimbursed for reasonable costs and expenses incurred in connection with the provision of these services. Following the sale of the management division effected on August 30, 2019, outlined in Note 3, these services are provided by NSM. Total general and administrative fees for the period from January 1, 2019 to August 30, 2019 and for the year ended December 31, 2018 amounted to $763 and $1,000, respectively. The general and administrative fees for these periods have been eliminated upon consolidation. Total general and administrative fees charged for the year ended December 31, 2020 and for the period from August 30, 2019 to December 31, 2019 amounted to $1,144 and $381, respectively.</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140"/>
          </w:cols>
          <w:pgMar w:left="320" w:top="459" w:right="4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NAVIOS MARITIME HOLDINGS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(Expressed in thousands of U.S. dollars — except share data)</w:t>
      </w:r>
    </w:p>
    <w:p>
      <w:pPr>
        <w:spacing w:after="0" w:line="143"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Following the sale of the management division effected on August 30, 2019, outlined in Note 3 and pursuant to the Administrative Services Agreement, NSM provides administrative services to Navios Holdings. NSM is reimbursed for reasonable costs and expenses incurred in connection with the provision of these services. The term of this agreement is for an initial period of five years with an automatic extension for a period of five years thereafter unless a notice of termination is received by either party. The agreement also provides for payment of a termination fee, equal to the fees charged for the full calendar year preceding the termination date, by Navios Holdings in the event the Administrative Services Agreement is terminated on or before August 29, 2024. Total general and administrative expenses attributable to this agreement for the year ended December 31, 2020 and for the period from August 30, 2019 to December 31, 2019, amounted to $9,371 and $2,952, respectively.</w:t>
      </w:r>
    </w:p>
    <w:p>
      <w:pPr>
        <w:spacing w:after="0" w:line="173"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Balance due to/from affiliate companies (excluding Navios Europe I and Navios Europe II): </w:t>
      </w:r>
      <w:r>
        <w:rPr>
          <w:rFonts w:ascii="Arial" w:cs="Arial" w:eastAsia="Arial" w:hAnsi="Arial"/>
          <w:sz w:val="16"/>
          <w:szCs w:val="16"/>
          <w:color w:val="auto"/>
        </w:rPr>
        <w:t>Balance due to NSM as of December 31, 2020</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amounted to $22,114 (December 31, 2019: $1,353), the Long-term receivable from NSM as of December 31, 2020 amounted to $0 (as of December 31,</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2019: $5,328). Balance due to Navios Partners as of December 31, 2020 amounted to $5,000 (December 31, 2019: $5,000) and the Long-term payable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to Navios Partners amounted to $0 (December 31, 2019: $5,000) in relation to the Navios Partners Guarantee. Balance due from Navios Acquisition as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of December 31, 2020 amounted to $243 (December 31, 2019: $1,460) and related to declared dividend.</w:t>
      </w:r>
    </w:p>
    <w:p>
      <w:pPr>
        <w:spacing w:after="0" w:line="211" w:lineRule="exact"/>
        <w:rPr>
          <w:sz w:val="20"/>
          <w:szCs w:val="20"/>
          <w:color w:val="auto"/>
        </w:rPr>
      </w:pPr>
    </w:p>
    <w:p>
      <w:pPr>
        <w:ind w:left="120" w:right="140" w:firstLine="440"/>
        <w:spacing w:after="0" w:line="342" w:lineRule="auto"/>
        <w:rPr>
          <w:sz w:val="20"/>
          <w:szCs w:val="20"/>
          <w:color w:val="auto"/>
        </w:rPr>
      </w:pPr>
      <w:r>
        <w:rPr>
          <w:rFonts w:ascii="Arial" w:cs="Arial" w:eastAsia="Arial" w:hAnsi="Arial"/>
          <w:sz w:val="16"/>
          <w:szCs w:val="16"/>
          <w:color w:val="auto"/>
        </w:rPr>
        <w:t>As of December 31, 2020 the balance mainly consisted of management fees for vessel operating expenses, payments to NSM in accordance with the Management Agreement and other amounts in connection with dry-dock, ballast water treatment system and special survey of our vessels.</w:t>
      </w:r>
    </w:p>
    <w:p>
      <w:pPr>
        <w:spacing w:after="0" w:line="120" w:lineRule="exact"/>
        <w:rPr>
          <w:sz w:val="20"/>
          <w:szCs w:val="20"/>
          <w:color w:val="auto"/>
        </w:rPr>
      </w:pPr>
    </w:p>
    <w:p>
      <w:pPr>
        <w:ind w:left="120" w:right="40" w:firstLine="440"/>
        <w:spacing w:after="0" w:line="274" w:lineRule="auto"/>
        <w:rPr>
          <w:sz w:val="20"/>
          <w:szCs w:val="20"/>
          <w:color w:val="auto"/>
        </w:rPr>
      </w:pPr>
      <w:r>
        <w:rPr>
          <w:rFonts w:ascii="Arial" w:cs="Arial" w:eastAsia="Arial" w:hAnsi="Arial"/>
          <w:sz w:val="17"/>
          <w:szCs w:val="17"/>
          <w:b w:val="1"/>
          <w:bCs w:val="1"/>
          <w:color w:val="auto"/>
        </w:rPr>
        <w:t xml:space="preserve">Omnibus Agreements: </w:t>
      </w:r>
      <w:r>
        <w:rPr>
          <w:rFonts w:ascii="Arial" w:cs="Arial" w:eastAsia="Arial" w:hAnsi="Arial"/>
          <w:sz w:val="17"/>
          <w:szCs w:val="17"/>
          <w:color w:val="auto"/>
        </w:rPr>
        <w:t>Navios Holdings has entered into an omnibus agreement with Navios Partners (the “Partners Omnibus Agreement”) in</w:t>
      </w:r>
      <w:r>
        <w:rPr>
          <w:rFonts w:ascii="Arial" w:cs="Arial" w:eastAsia="Arial" w:hAnsi="Arial"/>
          <w:sz w:val="17"/>
          <w:szCs w:val="17"/>
          <w:b w:val="1"/>
          <w:bCs w:val="1"/>
          <w:color w:val="auto"/>
        </w:rPr>
        <w:t xml:space="preserve"> </w:t>
      </w:r>
      <w:r>
        <w:rPr>
          <w:rFonts w:ascii="Arial" w:cs="Arial" w:eastAsia="Arial" w:hAnsi="Arial"/>
          <w:sz w:val="17"/>
          <w:szCs w:val="17"/>
          <w:color w:val="auto"/>
        </w:rPr>
        <w:t>connection with the closing of Navios Partners’ IPO governing, among other things, when Navios Holdings and Navios Partners may compete against each other as well as rights of first offer on certain dry bulk carriers. Pursuant to the Partners Omnibus Agreement, Navios Partners generally agreed not to acquire or own Panamax or Capesize dry bulk carriers under time charters of three or more years without the consent of an independent committee of Navios Partners. In addition, Navios Holdings has agreed to offer to Navios Partners the opportunity to purchase vessels from Navios Holdings when such vessels are fixed under time charters of three or more years.</w:t>
      </w:r>
    </w:p>
    <w:p>
      <w:pPr>
        <w:spacing w:after="0" w:line="177" w:lineRule="exact"/>
        <w:rPr>
          <w:sz w:val="20"/>
          <w:szCs w:val="20"/>
          <w:color w:val="auto"/>
        </w:rPr>
      </w:pPr>
    </w:p>
    <w:p>
      <w:pPr>
        <w:ind w:left="120" w:right="80" w:firstLine="440"/>
        <w:spacing w:after="0" w:line="269" w:lineRule="auto"/>
        <w:rPr>
          <w:sz w:val="20"/>
          <w:szCs w:val="20"/>
          <w:color w:val="auto"/>
        </w:rPr>
      </w:pPr>
      <w:r>
        <w:rPr>
          <w:rFonts w:ascii="Arial" w:cs="Arial" w:eastAsia="Arial" w:hAnsi="Arial"/>
          <w:sz w:val="17"/>
          <w:szCs w:val="17"/>
          <w:color w:val="auto"/>
        </w:rPr>
        <w:t>Navios Holdings entered into an omnibus agreement with Navios Acquisition and Navios Partners (the “Acquisition Omnibus Agreement”) in connection with the closing of Navios Acquisition’s initial vessel acquisition, pursuant to which, among other things, Navios Holdings and Navios Partners agreed not to acquire, charter-in or own liquid shipment vessels, except for containership vessels and vessels that are primarily employed in operations in South America, without the consent of an independent committee of Navios Acquisition. In addition, Navios Acquisition, under the Acquisition Omnibus Agreement, agreed to cause its subsidiaries not to acquire, own, operate or charter dry bulk carriers subject to specific exceptions. Under the Acquisition Omnibus Agreement, Navios Acquisition and its subsidiaries granted to Navios Holdings and Navios Partners, a right of first offer on any proposed sale, transfer or other disposition of any of its dry bulk carriers and related charters owned or acquired by Navios Acquisition. Likewise, Navios Holdings and Navios Partners agreed to grant a similar right of first offer to Navios Acquisition for any liquid shipment vessels it might own. These rights of first offer will not apply to a (i) sale, transfer or other disposition of vessels between any affiliated subsidiaries, or pursuant to the terms of any charter or other agreement with a counterparty, or (ii) merger with or into, or sale of substantially all of the assets to, an unaffiliated third party.</w:t>
      </w:r>
    </w:p>
    <w:p>
      <w:pPr>
        <w:spacing w:after="0" w:line="182"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Navios Holdings entered into an omnibus agreement with Navios Midstream, Navios Acquisition and Navios Partners in connection with the Navios Midstream IPO, pursuant to which Navios Acquisition, Navios Holdings, Navios Partners and their controlled affiliate companies generally have agreed not to acquire or own any VLCCs, crude oil tankers, refined petroleum product tankers, LPG tankers or chemical tankers under time charters of five or more years without the consent of Navios Midstream. The omnibus agreement contains significant exceptions that will allow Navios Acquisition, Navios Holdings, Navios Partners or any of their controlled affiliate companies to compete with Navios Midstream under specified circumstances.</w:t>
      </w:r>
    </w:p>
    <w:p>
      <w:pPr>
        <w:spacing w:after="0" w:line="161"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Navios Holdings entered into an omnibus agreement with Navios Containers, Navios Acquisition, and Navios Partners, pursuant to which Navios Acquisition, Navios Holdings, Navios Partners and their controlled affiliate companies generally have granted a right of first refusal to Navios Containers over any container vessels to be sold or acquired in the future, subject to significant exceptions that would allow Navios Acquisition, Navios Holdings and Navios Partners or any of their controlled affiliate companies to compete with Navios Containers under specified circumstances.</w:t>
      </w:r>
    </w:p>
    <w:p>
      <w:pPr>
        <w:spacing w:after="0" w:line="153" w:lineRule="exact"/>
        <w:rPr>
          <w:sz w:val="20"/>
          <w:szCs w:val="20"/>
          <w:color w:val="auto"/>
        </w:rPr>
      </w:pPr>
    </w:p>
    <w:p>
      <w:pPr>
        <w:ind w:left="120" w:right="40" w:firstLine="440"/>
        <w:spacing w:after="0" w:line="274" w:lineRule="auto"/>
        <w:rPr>
          <w:sz w:val="20"/>
          <w:szCs w:val="20"/>
          <w:color w:val="auto"/>
        </w:rPr>
      </w:pPr>
      <w:r>
        <w:rPr>
          <w:rFonts w:ascii="Arial" w:cs="Arial" w:eastAsia="Arial" w:hAnsi="Arial"/>
          <w:sz w:val="17"/>
          <w:szCs w:val="17"/>
          <w:b w:val="1"/>
          <w:bCs w:val="1"/>
          <w:color w:val="auto"/>
        </w:rPr>
        <w:t xml:space="preserve">Midstream General Partner Option Agreement: </w:t>
      </w:r>
      <w:r>
        <w:rPr>
          <w:rFonts w:ascii="Arial" w:cs="Arial" w:eastAsia="Arial" w:hAnsi="Arial"/>
          <w:sz w:val="17"/>
          <w:szCs w:val="17"/>
          <w:color w:val="auto"/>
        </w:rPr>
        <w:t>Navios Holdings entered into an option agreement, with Navios Acquisition under which</w:t>
      </w:r>
      <w:r>
        <w:rPr>
          <w:rFonts w:ascii="Arial" w:cs="Arial" w:eastAsia="Arial" w:hAnsi="Arial"/>
          <w:sz w:val="17"/>
          <w:szCs w:val="17"/>
          <w:b w:val="1"/>
          <w:bCs w:val="1"/>
          <w:color w:val="auto"/>
        </w:rPr>
        <w:t xml:space="preserve"> </w:t>
      </w:r>
      <w:r>
        <w:rPr>
          <w:rFonts w:ascii="Arial" w:cs="Arial" w:eastAsia="Arial" w:hAnsi="Arial"/>
          <w:sz w:val="17"/>
          <w:szCs w:val="17"/>
          <w:color w:val="auto"/>
        </w:rPr>
        <w:t>Navios Acquisition, which owns and controls Navios Maritime Midstream Partners GP LLC (“Midstream General Partner”), granted Navios Holdings the option to acquire a minimum of 25% of the outstanding membership interests in Midstream General Partner and the incentive distribution rights in Navios Midstream representing the right to receive an increasing percentage of the quarterly distributions when certain conditions are met. The option shall expire on November 18, 2024. The purchase price for the acquisition for all or part of the option interest shall be an amount equal to its fair market value. As of December 31, 2020, Navios Holdings had not exercised any part of that option.</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120"/>
          </w:cols>
          <w:pgMar w:left="320" w:top="459" w:right="45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NAVIOS MARITIME HOLDINGS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(Expressed in thousands of U.S. dollars — except share data)</w:t>
      </w:r>
    </w:p>
    <w:p>
      <w:pPr>
        <w:spacing w:after="0" w:line="139" w:lineRule="exact"/>
        <w:rPr>
          <w:sz w:val="20"/>
          <w:szCs w:val="20"/>
          <w:color w:val="auto"/>
        </w:rPr>
      </w:pPr>
    </w:p>
    <w:p>
      <w:pPr>
        <w:ind w:left="120" w:right="80" w:firstLine="440"/>
        <w:spacing w:after="0" w:line="289" w:lineRule="auto"/>
        <w:rPr>
          <w:sz w:val="20"/>
          <w:szCs w:val="20"/>
          <w:color w:val="auto"/>
        </w:rPr>
      </w:pPr>
      <w:r>
        <w:rPr>
          <w:rFonts w:ascii="Arial" w:cs="Arial" w:eastAsia="Arial" w:hAnsi="Arial"/>
          <w:sz w:val="16"/>
          <w:szCs w:val="16"/>
          <w:b w:val="1"/>
          <w:bCs w:val="1"/>
          <w:color w:val="auto"/>
        </w:rPr>
        <w:t xml:space="preserve">Sale of Vessels and Sale of Rights to Navios Partners: </w:t>
      </w:r>
      <w:r>
        <w:rPr>
          <w:rFonts w:ascii="Arial" w:cs="Arial" w:eastAsia="Arial" w:hAnsi="Arial"/>
          <w:sz w:val="16"/>
          <w:szCs w:val="16"/>
          <w:color w:val="auto"/>
        </w:rPr>
        <w:t>Upon the sale of vessels to Navios Partners, Navios Holdings recognized the gain</w:t>
      </w:r>
      <w:r>
        <w:rPr>
          <w:rFonts w:ascii="Arial" w:cs="Arial" w:eastAsia="Arial" w:hAnsi="Arial"/>
          <w:sz w:val="16"/>
          <w:szCs w:val="16"/>
          <w:b w:val="1"/>
          <w:bCs w:val="1"/>
          <w:color w:val="auto"/>
        </w:rPr>
        <w:t xml:space="preserve"> </w:t>
      </w:r>
      <w:r>
        <w:rPr>
          <w:rFonts w:ascii="Arial" w:cs="Arial" w:eastAsia="Arial" w:hAnsi="Arial"/>
          <w:sz w:val="16"/>
          <w:szCs w:val="16"/>
          <w:color w:val="auto"/>
        </w:rPr>
        <w:t>immediately in earnings only to the extent of the interest in Navios Partners owned by third parties and deferred recognition of the gain to the extent of its own ownership interest in Navios Partners (the “deferred gain”). Subsequently, the deferred gain was amortized to income over the remaining useful life of the vessel. The recognition of the deferred gain was accelerated in the event that (i) the vessel was subsequently sold or otherwise disposed of by Navios Partners or (ii) the Company’s ownership interest in Navios Partners was reduced. In connection with the public offerings of common units by Navios Partners and the sale of Navios Partners general partnership interest effected on August 30, 2019, referred in Note 3, a pro rata portion of the deferred gain was released to income upon dilution of the Company’s ownership interest in Navios Partners. As of January 1, 2020 the unamortized deferred gain of $6,285 was recorded as other adjustments within accumulated deficit. For the years ended December 31, 2020, 2019, and 2018, Navios Holdings recognized $0, $1,842 and $1,828 of the deferred gain, respectively, in “Equity in net losses of affiliate companies”.</w:t>
      </w:r>
    </w:p>
    <w:p>
      <w:pPr>
        <w:spacing w:after="0" w:line="170" w:lineRule="exact"/>
        <w:rPr>
          <w:sz w:val="20"/>
          <w:szCs w:val="20"/>
          <w:color w:val="auto"/>
        </w:rPr>
      </w:pPr>
    </w:p>
    <w:p>
      <w:pPr>
        <w:ind w:left="120" w:right="440" w:firstLine="440"/>
        <w:spacing w:after="0" w:line="342" w:lineRule="auto"/>
        <w:rPr>
          <w:sz w:val="20"/>
          <w:szCs w:val="20"/>
          <w:color w:val="auto"/>
        </w:rPr>
      </w:pPr>
      <w:r>
        <w:rPr>
          <w:rFonts w:ascii="Arial" w:cs="Arial" w:eastAsia="Arial" w:hAnsi="Arial"/>
          <w:sz w:val="16"/>
          <w:szCs w:val="16"/>
          <w:color w:val="auto"/>
        </w:rPr>
        <w:t>In September 2020, Navios Holdings completed the sale of the Navios Gem, a 2014-built Capesize vessel of 181,336 dwt, and of the Navios Victory, a 2014-built Panamax vessel of 77,095 dwt, to Navios Partners for a sale price of $51,000 in total including net liabilities of $4,378.</w:t>
      </w:r>
    </w:p>
    <w:p>
      <w:pPr>
        <w:spacing w:after="0" w:line="120"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b w:val="1"/>
          <w:bCs w:val="1"/>
          <w:color w:val="auto"/>
        </w:rPr>
        <w:t xml:space="preserve">Participation in Offerings of Affiliate Companies: </w:t>
      </w:r>
      <w:r>
        <w:rPr>
          <w:rFonts w:ascii="Arial" w:cs="Arial" w:eastAsia="Arial" w:hAnsi="Arial"/>
          <w:sz w:val="18"/>
          <w:szCs w:val="18"/>
          <w:color w:val="auto"/>
        </w:rPr>
        <w:t>Refer to Note 9 for Navios Holdings’ participation in Navios Acquisition’s and Navios</w:t>
      </w:r>
      <w:r>
        <w:rPr>
          <w:rFonts w:ascii="Arial" w:cs="Arial" w:eastAsia="Arial" w:hAnsi="Arial"/>
          <w:sz w:val="18"/>
          <w:szCs w:val="18"/>
          <w:b w:val="1"/>
          <w:bCs w:val="1"/>
          <w:color w:val="auto"/>
        </w:rPr>
        <w:t xml:space="preserve"> </w:t>
      </w:r>
      <w:r>
        <w:rPr>
          <w:rFonts w:ascii="Arial" w:cs="Arial" w:eastAsia="Arial" w:hAnsi="Arial"/>
          <w:sz w:val="18"/>
          <w:szCs w:val="18"/>
          <w:color w:val="auto"/>
        </w:rPr>
        <w:t>Partners’ offerings. On February 4, 2015, Navios Holdings entered into a share purchase agreement with Navios Partners pursuant to which Navios Holdings made an investment in Navios Partners by purchasing common units, and general partnership interests, in order to maintain its 20.0% partnership interest in Navios Partners following its equity offering in February 2015. In connection with this agreement, Navios Holdings entered into a registration rights agreement with Navios Partners pursuant to which Navios Partners provided Navios Holdings with certain rights relating to the registration of the common units. Navios Holdings has entered into additional share purchase agreements on December 30, 2016, March 3, 2017, March 23, 2017, March 31, 2017, January 11, 2018, February 21, 2018, December 20, 2018 and February 1, 2019 for the purchase up to a total of 1,754,981 general partnership units.</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Balance due from Navios Europe I: </w:t>
      </w:r>
      <w:r>
        <w:rPr>
          <w:rFonts w:ascii="Arial" w:cs="Arial" w:eastAsia="Arial" w:hAnsi="Arial"/>
          <w:sz w:val="16"/>
          <w:szCs w:val="16"/>
          <w:color w:val="auto"/>
        </w:rPr>
        <w:t>Following the liquidation, the balance due from Navios Europe I as of December 31, 2020 and 2019 was $0.</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a result of this liquidation, Navios Holdings received the outstanding receivable of $13,420, in December 2019.</w:t>
      </w:r>
    </w:p>
    <w:p>
      <w:pPr>
        <w:spacing w:after="0" w:line="211"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The Navios Revolving Loans I and the Navios Term Loans I earned interest and an annual preferred return, respectively, at 1,270 basis points per annum, on a quarterly compounding basis. There were no covenant requirements or stated maturity dates. As of December 31, 2019 the loan was fully received and there was no outstanding balance.</w:t>
      </w:r>
    </w:p>
    <w:p>
      <w:pPr>
        <w:spacing w:after="0" w:line="180" w:lineRule="exact"/>
        <w:rPr>
          <w:sz w:val="20"/>
          <w:szCs w:val="20"/>
          <w:color w:val="auto"/>
        </w:rPr>
      </w:pPr>
    </w:p>
    <w:p>
      <w:pPr>
        <w:ind w:left="120" w:right="460" w:firstLine="440"/>
        <w:spacing w:after="0" w:line="266" w:lineRule="auto"/>
        <w:rPr>
          <w:sz w:val="20"/>
          <w:szCs w:val="20"/>
          <w:color w:val="auto"/>
        </w:rPr>
      </w:pPr>
      <w:r>
        <w:rPr>
          <w:rFonts w:ascii="Arial" w:cs="Arial" w:eastAsia="Arial" w:hAnsi="Arial"/>
          <w:sz w:val="18"/>
          <w:szCs w:val="18"/>
          <w:b w:val="1"/>
          <w:bCs w:val="1"/>
          <w:color w:val="auto"/>
        </w:rPr>
        <w:t xml:space="preserve">Balance due from Navios Europe II: </w:t>
      </w:r>
      <w:r>
        <w:rPr>
          <w:rFonts w:ascii="Arial" w:cs="Arial" w:eastAsia="Arial" w:hAnsi="Arial"/>
          <w:sz w:val="18"/>
          <w:szCs w:val="18"/>
          <w:color w:val="auto"/>
        </w:rPr>
        <w:t>Navios Holdings, Navios Acquisition and Navios Partners had made available to Navios Europe II</w:t>
      </w:r>
      <w:r>
        <w:rPr>
          <w:rFonts w:ascii="Arial" w:cs="Arial" w:eastAsia="Arial" w:hAnsi="Arial"/>
          <w:sz w:val="18"/>
          <w:szCs w:val="18"/>
          <w:b w:val="1"/>
          <w:bCs w:val="1"/>
          <w:color w:val="auto"/>
        </w:rPr>
        <w:t xml:space="preserve"> </w:t>
      </w:r>
      <w:r>
        <w:rPr>
          <w:rFonts w:ascii="Arial" w:cs="Arial" w:eastAsia="Arial" w:hAnsi="Arial"/>
          <w:sz w:val="18"/>
          <w:szCs w:val="18"/>
          <w:color w:val="auto"/>
        </w:rPr>
        <w:t>revolving loans of up to $43,500 to fund the Navios Revolving Loans II. In March 2017, the availability under the Navios Revolving Loans II was increased by $14,000 (see Note 9).</w:t>
      </w:r>
    </w:p>
    <w:p>
      <w:pPr>
        <w:spacing w:after="0" w:line="180"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On April 21, 2020, Navios Europe II agreed with the lender to fully release the liabilities under the Junior Loan II for $5,000. Navios Europe II owned seven containership vessels and seven drybulk vessels.</w:t>
      </w:r>
    </w:p>
    <w:p>
      <w:pPr>
        <w:spacing w:after="0" w:line="170"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On May 14, 2020, an agreement was reached to liquidate Navios Europe II before its original expiration date. The transaction was completed on June 29, 2020.</w:t>
      </w:r>
    </w:p>
    <w:p>
      <w:pPr>
        <w:spacing w:after="0" w:line="170" w:lineRule="exact"/>
        <w:rPr>
          <w:sz w:val="20"/>
          <w:szCs w:val="20"/>
          <w:color w:val="auto"/>
        </w:rPr>
      </w:pPr>
    </w:p>
    <w:p>
      <w:pPr>
        <w:jc w:val="center"/>
        <w:ind w:right="40"/>
        <w:spacing w:after="0" w:line="311" w:lineRule="auto"/>
        <w:rPr>
          <w:sz w:val="20"/>
          <w:szCs w:val="20"/>
          <w:color w:val="auto"/>
        </w:rPr>
      </w:pPr>
      <w:r>
        <w:rPr>
          <w:rFonts w:ascii="Arial" w:cs="Arial" w:eastAsia="Arial" w:hAnsi="Arial"/>
          <w:sz w:val="16"/>
          <w:szCs w:val="16"/>
          <w:color w:val="auto"/>
        </w:rPr>
        <w:t>As a result of this liquidation, Navios Holdings received the total outstanding balance due from Navios Europe II, representing the Navios Revolving Loans II, the Navios Term Loans II and accrued interest thereof directly owed to Navios Holdings, previously presented within the captions “Due from affiliate companies” and “Loans receivable from affiliate companies” and acquired two Panamax vessels of Navios Europe II (see Note 5).</w:t>
      </w:r>
    </w:p>
    <w:p>
      <w:pPr>
        <w:spacing w:after="0" w:line="149"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Following the Liquidation of Navios Europe II, the balance due from Navios Europe II as of December 31, 2020 was $0. As of December 31, 2019, Navios Holdings’ balance due from Navios Europe II, amounted to $20,712, which included the net current receivable amount mainly consisting of $13,154, of accrued interest income earned under the Navios Revolving Loans II (as defined in Note 9) and the net non-current amount receivable of $7,558 related to the accrued interest income earned under the Navios Term Loans II (as defined in Note 9). The outstanding amount relating to Navios Holdings’ portion under the Navios Revolving Loans II was $16,938 as of December 31, 2019, within the caption “Loan receivable from affiliate companies”.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120"/>
          </w:cols>
          <w:pgMar w:left="320" w:top="459" w:right="45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NAVIOS MARITIME HOLDINGS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(Expressed in thousands of U.S. dollars — except share data)</w:t>
      </w:r>
    </w:p>
    <w:p>
      <w:pPr>
        <w:spacing w:after="0" w:line="143"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Navios Revolving Loans II and the Navios Term Loans II earned interest and an annual preferred return, respectively, at 1,800 basis points per annum, on a quarterly compounding basis and were repaid from free cash flow (as defined in the loan agreement) to the fullest extent possible at the end of each quarter. There were no covenant requirements or stated maturity dates.</w:t>
      </w:r>
    </w:p>
    <w:p>
      <w:pPr>
        <w:spacing w:after="0" w:line="184" w:lineRule="exact"/>
        <w:rPr>
          <w:sz w:val="20"/>
          <w:szCs w:val="20"/>
          <w:color w:val="auto"/>
        </w:rPr>
      </w:pPr>
    </w:p>
    <w:p>
      <w:pPr>
        <w:ind w:left="120" w:right="320" w:firstLine="440"/>
        <w:spacing w:after="0" w:line="279" w:lineRule="auto"/>
        <w:rPr>
          <w:sz w:val="20"/>
          <w:szCs w:val="20"/>
          <w:color w:val="auto"/>
        </w:rPr>
      </w:pPr>
      <w:r>
        <w:rPr>
          <w:rFonts w:ascii="Arial" w:cs="Arial" w:eastAsia="Arial" w:hAnsi="Arial"/>
          <w:sz w:val="17"/>
          <w:szCs w:val="17"/>
          <w:color w:val="auto"/>
        </w:rPr>
        <w:t>The decline in the fair value of the investment during the first quarter of 2020 was considered as other-than-temporary and, therefore, a loss of $6,050 was recognized and included in the accompanying consolidated statements of comprehensive (loss)/income for the year ended December 31, 2020, within the caption “Impairment of loan receivable from affiliate company”. The fair value was determined based on the liquidation value of Navios Europe II, including the individual fair values assigned to the assets and liabilities of Navios Europe II.</w:t>
      </w:r>
    </w:p>
    <w:p>
      <w:pPr>
        <w:spacing w:after="0" w:line="167"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b w:val="1"/>
          <w:bCs w:val="1"/>
          <w:color w:val="auto"/>
        </w:rPr>
        <w:t xml:space="preserve">Secured credit facility with Navios Logistics: </w:t>
      </w:r>
      <w:r>
        <w:rPr>
          <w:rFonts w:ascii="Arial" w:cs="Arial" w:eastAsia="Arial" w:hAnsi="Arial"/>
          <w:sz w:val="17"/>
          <w:szCs w:val="17"/>
          <w:color w:val="auto"/>
        </w:rPr>
        <w:t>On April 25, 2019, Navios Holdings entered into a secured credit facility of $50,000 with Navios</w:t>
      </w:r>
      <w:r>
        <w:rPr>
          <w:rFonts w:ascii="Arial" w:cs="Arial" w:eastAsia="Arial" w:hAnsi="Arial"/>
          <w:sz w:val="17"/>
          <w:szCs w:val="17"/>
          <w:b w:val="1"/>
          <w:bCs w:val="1"/>
          <w:color w:val="auto"/>
        </w:rPr>
        <w:t xml:space="preserve"> </w:t>
      </w:r>
      <w:r>
        <w:rPr>
          <w:rFonts w:ascii="Arial" w:cs="Arial" w:eastAsia="Arial" w:hAnsi="Arial"/>
          <w:sz w:val="17"/>
          <w:szCs w:val="17"/>
          <w:color w:val="auto"/>
        </w:rPr>
        <w:t>Logistics to be used for general corporate purposes, including the repurchase of 2022 Notes. This credit facility is secured by (i) any 2022 Notes purchased by Navios Holdings with these funds and (ii) equity interests in five subsidiaries of the Company that have entered into certain bareboat contracts. The credit facility is available in multiple drawings, had an arrangement fee of $500 and originally bore a fixed interest rate of 12.75% for the first year and a fixed interest rate of 14.75% for the second year, payable annually. The secured credit facility includes negative covenants substantially similar to the 2022 Notes and customary events of default. In December 2019, Navios Holdings and Navios Logistics agreed to increase the amount by $20,000 and amended the interest rate of the whole facility to 12.75% or 10.0% if certain conditions were met. Following the satisfaction of those conditions in July 2020, the credit facility now matures in December 2024 and bears interest at a rate of 10.0% per annum. As of December 31, 2020, $70,000 was drawn under this facility, of which $18,726 was used to acquire the 2022 Notes from Navios Logistics and the remaining amount was used to repurchase 2022 Notes.</w:t>
      </w:r>
    </w:p>
    <w:p>
      <w:pPr>
        <w:spacing w:after="0" w:line="181" w:lineRule="exact"/>
        <w:rPr>
          <w:sz w:val="20"/>
          <w:szCs w:val="20"/>
          <w:color w:val="auto"/>
        </w:rPr>
      </w:pPr>
    </w:p>
    <w:p>
      <w:pPr>
        <w:jc w:val="both"/>
        <w:ind w:left="120" w:right="100" w:firstLine="440"/>
        <w:spacing w:after="0" w:line="286" w:lineRule="auto"/>
        <w:rPr>
          <w:sz w:val="20"/>
          <w:szCs w:val="20"/>
          <w:color w:val="auto"/>
        </w:rPr>
      </w:pPr>
      <w:r>
        <w:rPr>
          <w:rFonts w:ascii="Arial" w:cs="Arial" w:eastAsia="Arial" w:hAnsi="Arial"/>
          <w:sz w:val="17"/>
          <w:szCs w:val="17"/>
          <w:color w:val="auto"/>
        </w:rPr>
        <w:t>On June 25, 2020, Navios Holdings and Navios Logistics amended the secured credit facility with Navios Logistics to allow a portion of the total interest payable to be effected in common shares of Navios Holdings. On July 10, 2020, Navios Holdings issued 2,414,263 shares of common stock to Navios Logistics and paid Navios Logistics $2,308 in satisfaction of the interest payable in respect of this facility.</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 xml:space="preserve">NSM Loan: </w:t>
      </w:r>
      <w:r>
        <w:rPr>
          <w:rFonts w:ascii="Arial" w:cs="Arial" w:eastAsia="Arial" w:hAnsi="Arial"/>
          <w:sz w:val="17"/>
          <w:szCs w:val="17"/>
          <w:color w:val="auto"/>
        </w:rPr>
        <w:t>On August 29, 2019, Navios Holdings entered into a secured credit facility of $141,795 (including post-closing adjustments) with</w:t>
      </w:r>
    </w:p>
    <w:p>
      <w:pPr>
        <w:spacing w:after="0" w:line="3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Navios Shipmanagement Holdings Corporation, a wholly owned subsidiary of NSM. In general, the amount owed reflects the excess of (i) the liabilities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of the ship management business (including liabilities for advances previously made by affiliate companies to the Company for ongoing operating costs,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including technical management services, supplies, dry-docking and related expenses) other than liabilities the assumption of which forms part of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consideration for the Transaction over (ii) the short term assets of the ship management business. The Company’s obligations under the NSM Loan are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guaranteed by substantially the same subsidiaries that guarantee the 2022 Notes and secured by assets of the Company that do not secure the Ship</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Mortgage Notes or the 2022 Senior Secured Notes. The credit facility is repayable over a five-year period; of the initial amount, $47,000 was repayable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2020 in equal quarterly installments, with the remaining principal repayment in equal quarterly installments over the following 48 months. In certain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cases, principal payments can be deferred provided that no more than $20,000 of deferral may be outstanding during the first or second year and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$10,000 outstanding in the third year. The loan agreement provides for interest at 5.0% annually, and 7.0% annually for deferred principal amounts.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During December 2019, Navios Holdings repaid the amount of $13,420 under the terms of this facility. During June 2020 and July 2020, Navios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Holdings repaid the amount of $31,500 and $18,500, respectively, under the terms of this facility.</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of December 31, 2020, the outstanding balance was $78,375 (December 31, 2019: $128,375) and the accrued interest was $526 (December 31,</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2019: $2,163). Of the outstanding amount and accrued interest $10,328 (December 31, 2019: $22,552) is included within the caption “Current portion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loans payable to affiliate companies”.</w:t>
      </w:r>
    </w:p>
    <w:p>
      <w:pPr>
        <w:spacing w:after="0" w:line="207" w:lineRule="exact"/>
        <w:rPr>
          <w:sz w:val="20"/>
          <w:szCs w:val="20"/>
          <w:color w:val="auto"/>
        </w:rPr>
      </w:pPr>
    </w:p>
    <w:p>
      <w:pPr>
        <w:ind w:left="120" w:right="80" w:firstLine="440"/>
        <w:spacing w:after="0" w:line="256" w:lineRule="auto"/>
        <w:rPr>
          <w:sz w:val="20"/>
          <w:szCs w:val="20"/>
          <w:color w:val="auto"/>
        </w:rPr>
      </w:pPr>
      <w:r>
        <w:rPr>
          <w:rFonts w:ascii="Arial" w:cs="Arial" w:eastAsia="Arial" w:hAnsi="Arial"/>
          <w:sz w:val="18"/>
          <w:szCs w:val="18"/>
          <w:b w:val="1"/>
          <w:bCs w:val="1"/>
          <w:color w:val="auto"/>
        </w:rPr>
        <w:t xml:space="preserve">$50.0 million NSM Loan: </w:t>
      </w:r>
      <w:r>
        <w:rPr>
          <w:rFonts w:ascii="Arial" w:cs="Arial" w:eastAsia="Arial" w:hAnsi="Arial"/>
          <w:sz w:val="18"/>
          <w:szCs w:val="18"/>
          <w:color w:val="auto"/>
        </w:rPr>
        <w:t>In June 2020, the Company entered into a secured loan agreement with Navios Shipmanagement Holdings</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a wholly owned subsidiary of NSM, for a loan of up to $50,000 to be used for general corporate purposes. The terms and conditions of the secured loan agreement were approved by a Special Committee of the Board of Directors comprised of independent directors. The loan agreement will be repayable in up to 18 equal consecutive quarterly installments. Principal payments that fall due during the first year following the initial drawdown may be deferred, at the Company’s election, in whole or in part. The loan agreement provides for interest at a rate of 5.0% annually (and 7.0% annually for deferred principal amounts).</w:t>
      </w:r>
    </w:p>
    <w:p>
      <w:pPr>
        <w:spacing w:after="0" w:line="19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of December 31, 2020, the outstanding balance was $50,000 (December 31, 2019: $0) and the accrued interest was $326 (December 31, 2019:</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$0). Of the outstanding amount and accrued interest, $16,266 is included within the caption “Current portion of loans payable to affiliate companies”.</w:t>
      </w:r>
    </w:p>
    <w:p>
      <w:pPr>
        <w:spacing w:after="0" w:line="16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120"/>
          </w:cols>
          <w:pgMar w:left="320" w:top="459" w:right="45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NAVIOS MARITIME HOLDINGS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(Expressed in thousands of U.S. dollars — except share data)</w:t>
      </w:r>
    </w:p>
    <w:p>
      <w:pPr>
        <w:spacing w:after="0" w:line="143"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The Company’s obligations under the $50.0 million NSM Loan are guaranteed by first priority security interests in a vessel, as well as pledge of certain First Priority Ship Mortgage Notes due 2022 owned by Navios Holdings and 104,069 common units in Navios Containers and second priority pledge in respect of 2022 Notes owned by Navios Holdings.</w:t>
      </w:r>
    </w:p>
    <w:p>
      <w:pPr>
        <w:spacing w:after="0" w:line="180" w:lineRule="exact"/>
        <w:rPr>
          <w:sz w:val="20"/>
          <w:szCs w:val="20"/>
          <w:color w:val="auto"/>
        </w:rPr>
      </w:pPr>
    </w:p>
    <w:p>
      <w:pPr>
        <w:ind w:left="120" w:right="20" w:firstLine="440"/>
        <w:spacing w:after="0" w:line="282" w:lineRule="auto"/>
        <w:rPr>
          <w:sz w:val="20"/>
          <w:szCs w:val="20"/>
          <w:color w:val="auto"/>
        </w:rPr>
      </w:pPr>
      <w:r>
        <w:rPr>
          <w:rFonts w:ascii="Arial" w:cs="Arial" w:eastAsia="Arial" w:hAnsi="Arial"/>
          <w:sz w:val="18"/>
          <w:szCs w:val="18"/>
          <w:b w:val="1"/>
          <w:bCs w:val="1"/>
          <w:color w:val="auto"/>
        </w:rPr>
        <w:t xml:space="preserve">Navios Logistics’ Shareholders Agreement: </w:t>
      </w:r>
      <w:r>
        <w:rPr>
          <w:rFonts w:ascii="Arial" w:cs="Arial" w:eastAsia="Arial" w:hAnsi="Arial"/>
          <w:sz w:val="18"/>
          <w:szCs w:val="18"/>
          <w:color w:val="auto"/>
        </w:rPr>
        <w:t>On November 19, 2019, Navios Holdings entered into a shareholder agreement with Peers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Inc. granting certain protections to minority shareholders in certain events.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17: PREFERRED AND COMMON STOCK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Reverse Stock Split</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On December 21, 2018, the Company’s common stockholders approved a one-for-ten reverse stock split of the Company’s outstanding shares of common stock (the “Reverse Stock Split”). The Reverse Stock Split was effective since January 3, 2019 and the common stock commenced trading on that date on a split-adjusted basis. As a result of the Reverse Stock Split, every ten shares of issued and outstanding common stock were combined into one issued and outstanding share of common stock, without any change in authorized shares or the par value per share. All issued and outstanding shares of common stock, redemption and conversion terms of preferred stock, options to purchase common stock and per share amounts contained in the consolidated financial statements have been retroactively adjusted to reflect the Reverse Stock Split for all periods presented. The retroactive application of the Reverse Stock Split reduced the number of shares of common stock outstanding from 128,434,137 shares to 12,843,414 shares as of December 31, 2018 and from 120,386,472 shares to 12,038,647 shares as of December 31, 2017. The par value of the common stock remained at $0.0001 per share.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Vested, Surrendered and Forfeited</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During 2020, 825 and 84,336 restricted stock units, issued to the Company’s employees in 2017 and 2016 vested.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During 2019, 825 and 334 restricted stock units, issued to the Company’s employees in 2017 and 2016 vested.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During 2018, 85,000 and 825 restricted stock units, issued to the Company’s employees in 2016 and 2017, vested.</w:t>
      </w:r>
    </w:p>
    <w:p>
      <w:pPr>
        <w:spacing w:after="0" w:line="225"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During the years ended December 31, 2020, 2019 and 2018, 1,345, 3,379 and 656 restricted shares of common stock, respectively, were forfeited upon termination of employment.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Conversion of Preferred Stock</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During the year ended December 31, 2020, 210 shares of convertible preferred stock were converted into 22,712 shares of common stock including 1,712 shares of common stock being unpaid dividend. Following the conversion of 210 shares, the Company cancelled the undeclared preferred dividend of the converted shares of $171. The cancelled undeclared dividend was converted to 1,712 shares of common stock with a fair value of $6 at the date of issuance (See also Note 20).</w:t>
      </w:r>
    </w:p>
    <w:p>
      <w:pPr>
        <w:spacing w:after="0" w:line="187"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During the year ended December 31, 2019, 3,289 shares of convertible preferred stock were converted into 352,770 shares of common stock including 23,870 shares of common stock being unpaid dividend. The shares of convertible preferred stock were converted pursuant to their original terms, which provided that ten years after the issuance date the then-outstanding shares of preferred stock would automatically convert into a number of fully paid and non-assessable shares of common stock determined by dividing the amount of the liquidation preference ($10,000 per share) by a conversion price equal to $10.00 per share of common stock. Following the conversion of 1,980 shares, the Company cancelled the undeclared preferred dividend of the converted shares of $1,471. The cancelled undeclared dividend was converted to 14,711 shares of common stock with a fair value of $75 at the date of issuance (See also Note 20). Following the conversion of 1,309 shares, the Company cancelled the undeclared preferred dividend of the converted shares of $916. The cancelled undeclared dividend was converted to 9,159 shares of common stock with a fair value of $41 at the date of issuance (See also Note 20).</w:t>
      </w:r>
    </w:p>
    <w:p>
      <w:pPr>
        <w:spacing w:after="0" w:line="19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During the year ended December 31, 2018, there were no conversions of preferred stock.</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Issuance of Cumulative Perpetual Preferred Stock</w:t>
      </w:r>
    </w:p>
    <w:p>
      <w:pPr>
        <w:spacing w:after="0" w:line="11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Company’s 2,000,000 American Depositary Shares, Series G and the 4,800,000 American Depositary Shares, Series H are recorded at fair market value on issuance. Each of the shares represents 1/100th of a share of the Series G and Series H, with a liquidation preference of $2,500 per share ($25.00 per American Depositary Share). Dividends are payable quarterly in arrears on the Series G at a rate of 8.75% per annum and on the Series H at a rate of 8.625% per annum of the stated liquidation preference. The Company has accounted for these shares as equity.</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F-67</w:t>
      </w:r>
    </w:p>
    <w:p>
      <w:pPr>
        <w:sectPr>
          <w:pgSz w:w="11900" w:h="16838" w:orient="portrait"/>
          <w:cols w:equalWidth="0" w:num="1">
            <w:col w:w="11120"/>
          </w:cols>
          <w:pgMar w:left="320" w:top="459" w:right="45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NAVIOS MARITIME HOLDINGS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(Expressed in thousands of U.S. dollars — except share data)</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Series G and Series H American Depositary Shares Exchange Offer</w:t>
      </w:r>
    </w:p>
    <w:p>
      <w:pPr>
        <w:spacing w:after="0" w:line="117" w:lineRule="exact"/>
        <w:rPr>
          <w:sz w:val="20"/>
          <w:szCs w:val="20"/>
          <w:color w:val="auto"/>
        </w:rPr>
      </w:pPr>
    </w:p>
    <w:p>
      <w:pPr>
        <w:ind w:left="120" w:right="900" w:firstLine="440"/>
        <w:spacing w:after="0" w:line="308" w:lineRule="auto"/>
        <w:rPr>
          <w:sz w:val="20"/>
          <w:szCs w:val="20"/>
          <w:color w:val="auto"/>
        </w:rPr>
      </w:pPr>
      <w:r>
        <w:rPr>
          <w:rFonts w:ascii="Arial" w:cs="Arial" w:eastAsia="Arial" w:hAnsi="Arial"/>
          <w:sz w:val="17"/>
          <w:szCs w:val="17"/>
          <w:color w:val="auto"/>
        </w:rPr>
        <w:t>On December 21, 2018, Navios Holdings announced that it commenced an offer to exchange cash and/or newly issued 2024 Notes for approximately 66 2/3% of each of the outstanding Series G Depositary Shares and Series H Depositary Shares.</w:t>
      </w:r>
    </w:p>
    <w:p>
      <w:pPr>
        <w:spacing w:after="0" w:line="146" w:lineRule="exact"/>
        <w:rPr>
          <w:sz w:val="20"/>
          <w:szCs w:val="20"/>
          <w:color w:val="auto"/>
        </w:rPr>
      </w:pPr>
    </w:p>
    <w:p>
      <w:pPr>
        <w:ind w:left="120" w:right="260" w:firstLine="440"/>
        <w:spacing w:after="0" w:line="257" w:lineRule="auto"/>
        <w:rPr>
          <w:sz w:val="20"/>
          <w:szCs w:val="20"/>
          <w:color w:val="auto"/>
        </w:rPr>
      </w:pPr>
      <w:r>
        <w:rPr>
          <w:rFonts w:ascii="Arial" w:cs="Arial" w:eastAsia="Arial" w:hAnsi="Arial"/>
          <w:sz w:val="18"/>
          <w:szCs w:val="18"/>
          <w:color w:val="auto"/>
        </w:rPr>
        <w:t>As of March 21, 2019, a total of 10,930 Series H were validly tendered representing a net aggregate nominal value of approximately $26,297. Navios Holdings paid $997 for tender offer expenses, approximately $4,188 as cash consideration and a total of approximately $4,747 in aggregate principal amount of 2024 Notes. The difference between the carrying amount of the preferred shares redeemed and the fair value of the consideration transferred amounting to $16,365 was recorded in accumulated deficit. Following the completion of the offer, the Company cancelled the undeclared preferred dividend of Series H of $7,678.</w:t>
      </w:r>
    </w:p>
    <w:p>
      <w:pPr>
        <w:spacing w:after="0" w:line="188"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As of April 18, 2019, a total of 8,841 Series G were validly tendered representing a net aggregate nominal value of approximately $21,271. Navios Holdings paid $620 for tender offer expenses, approximately $4,423 cash consideration and issued a total of approximately $3,879 principal amount of 2024 Notes. The difference between the carrying amount of the preferred shares redeemed and the fair value of the consideration transferred amounting to $12,568 was recorded in accumulated deficit. Following the completion of the offer, the company cancelled the undeclared preferred dividend of series G of $6,798.</w:t>
      </w:r>
    </w:p>
    <w:p>
      <w:pPr>
        <w:spacing w:after="0" w:line="188"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In February 2016, Navios Holdings announced the suspension of payment of quarterly dividends on its preferred stock, including the Series G and Series H. Total undeclared preferred dividends as of December 31, 2020 were $25,222 (net of cancelled dividends).</w:t>
      </w:r>
    </w:p>
    <w:p>
      <w:pPr>
        <w:spacing w:after="0" w:line="170"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On July 15, 2017, the Company reached six quarterly dividend payments in arrears relating to its Series G and Series H and as a result the respective dividend rate increased by 0.25%.</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Issuances to Employees, Officers and Directors</w:t>
      </w:r>
    </w:p>
    <w:p>
      <w:pPr>
        <w:spacing w:after="0" w:line="117" w:lineRule="exact"/>
        <w:rPr>
          <w:sz w:val="20"/>
          <w:szCs w:val="20"/>
          <w:color w:val="auto"/>
        </w:rPr>
      </w:pPr>
    </w:p>
    <w:p>
      <w:pPr>
        <w:ind w:left="120" w:right="460" w:firstLine="440"/>
        <w:spacing w:after="0" w:line="308" w:lineRule="auto"/>
        <w:rPr>
          <w:sz w:val="20"/>
          <w:szCs w:val="20"/>
          <w:color w:val="auto"/>
        </w:rPr>
      </w:pPr>
      <w:r>
        <w:rPr>
          <w:rFonts w:ascii="Arial" w:cs="Arial" w:eastAsia="Arial" w:hAnsi="Arial"/>
          <w:sz w:val="17"/>
          <w:szCs w:val="17"/>
          <w:color w:val="auto"/>
        </w:rPr>
        <w:t>On July 10, 2020, Navios Logistics declared and paid a $6,381 dividend in cash or in Navios Holdings shares of common stock, from which Navios Holdings received 2,414,263 shares and the amount of $2,308 was paid to Navios Logistics’ noncontrolling shareholders.</w:t>
      </w:r>
    </w:p>
    <w:p>
      <w:pPr>
        <w:spacing w:after="0" w:line="146"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On February 21, 2020, Navios Logistics’ board of directors declared and paid a $27,500 dividend, out of which the amount of $17,552 was paid to Navios Holdings and the amount of $9,948 to Navios Logistics’ noncontrolling shareholders.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During the year ended December 31, 2020, no stock was granted to Navios Holdings’ employees, officers and directors.</w:t>
      </w:r>
    </w:p>
    <w:p>
      <w:pPr>
        <w:spacing w:after="0" w:line="225"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On December 18, 2019, pursuant to the stock plan approved by the Board of Directors, 16,000 common stock was granted to Navios Holdings officers and directors and issued on December 18, 2019.</w:t>
      </w:r>
    </w:p>
    <w:p>
      <w:pPr>
        <w:spacing w:after="0" w:line="170"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On February 1, 2019, pursuant to the stock plan approved by the Board of Directors, 151,515 common stock was granted to Navios Holdings employees, officers and directors.</w:t>
      </w:r>
    </w:p>
    <w:p>
      <w:pPr>
        <w:spacing w:after="0" w:line="170"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On December 10, 2018, pursuant to the stock plan approved by the Board of Directors, 287,500 common stock was granted to Navios Holdings employees, officers and directors and issued on December 27, 2018.</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Acquisition of Treasury Stock</w:t>
      </w:r>
    </w:p>
    <w:p>
      <w:pPr>
        <w:spacing w:after="0" w:line="117"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In November 2015, the Board of Directors approved a share repurchase program for up to $25,000 of the Navios Holdings’ common stock. Share repurchases were made pursuant to a program adopted under Rule 10b5-1 under the Securities Exchange Act. Repurchases were subject to restrictions under the terms of the Company’s credit facilities and indenture. The program did not require any minimum purchase or any specific number or amount of shares and may be suspended or reinstated at any time in the Company’s discretion and without notice. In particular, Navios Holdings, pursuant to the terms of its Series G and Series H, may not redeem, repurchase or otherwise acquire its common stock or preferred shares, including the Series G and Series H (other than through an offer made to all holders of Series G and Series H) unless full cumulative dividends on Series G and Series H, when payable, have been paid. As of December 31, 2016, 94,858 shares, were repurchased under this program, for a total consideration of $818. In total, up until February 2016, 114,791 shares were repurchased under this program, for a total consideration of $1,070. Since that time, this program has been suspended by the Company.</w:t>
      </w:r>
    </w:p>
    <w:p>
      <w:pPr>
        <w:spacing w:after="0" w:line="181" w:lineRule="exact"/>
        <w:rPr>
          <w:sz w:val="20"/>
          <w:szCs w:val="20"/>
          <w:color w:val="auto"/>
        </w:rPr>
      </w:pPr>
    </w:p>
    <w:p>
      <w:pPr>
        <w:ind w:left="120" w:right="240" w:firstLine="440"/>
        <w:spacing w:after="0" w:line="279" w:lineRule="auto"/>
        <w:rPr>
          <w:sz w:val="20"/>
          <w:szCs w:val="20"/>
          <w:color w:val="auto"/>
        </w:rPr>
      </w:pPr>
      <w:r>
        <w:rPr>
          <w:rFonts w:ascii="Arial" w:cs="Arial" w:eastAsia="Arial" w:hAnsi="Arial"/>
          <w:sz w:val="17"/>
          <w:szCs w:val="17"/>
          <w:color w:val="auto"/>
        </w:rPr>
        <w:t>Navios Holdings had outstanding as of December 31, 2020, 15,881,147 shares, from which 2,414,263 shares are held by Navios Corporation, a subsidiary of Navios Holdings, and are considered as treasury shares and as of December 31, 2019, had outstanding 13,360,356 shares of common stock. Preferred stock was 23,032 (5,350 Series G shares and 17,682 Series H shares) and 23,242 (5,350 Series G shares, 17,682 Series H shares and 210 shares of convertible preferred stock) as of December 31, 2020 and 2019, respectively.</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120"/>
          </w:cols>
          <w:pgMar w:left="320" w:top="459" w:right="45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NAVIOS MARITIME HOLDINGS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(Expressed in thousands of U.S. dollars — except share data)</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18: INTEREST EXPENSE AND FINANCE COST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Interest expense and finance cost consisted of the following:</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For the Year</w:t>
            </w:r>
          </w:p>
        </w:tc>
        <w:tc>
          <w:tcPr>
            <w:tcW w:w="48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For the Year</w:t>
            </w:r>
          </w:p>
        </w:tc>
        <w:tc>
          <w:tcPr>
            <w:tcW w:w="460" w:type="dxa"/>
            <w:vAlign w:val="bottom"/>
          </w:tcPr>
          <w:p>
            <w:pPr>
              <w:spacing w:after="0"/>
              <w:rPr>
                <w:sz w:val="14"/>
                <w:szCs w:val="14"/>
                <w:color w:val="auto"/>
              </w:rPr>
            </w:pPr>
          </w:p>
        </w:tc>
        <w:tc>
          <w:tcPr>
            <w:tcW w:w="9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For the Year</w:t>
            </w:r>
          </w:p>
        </w:tc>
      </w:tr>
      <w:tr>
        <w:trPr>
          <w:trHeight w:val="149"/>
        </w:trPr>
        <w:tc>
          <w:tcPr>
            <w:tcW w:w="5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93"/>
              </w:rPr>
              <w:t>Ended</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93"/>
              </w:rPr>
              <w:t>Ended</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48"/>
        </w:trPr>
        <w:tc>
          <w:tcPr>
            <w:tcW w:w="5740" w:type="dxa"/>
            <w:vAlign w:val="bottom"/>
          </w:tcPr>
          <w:p>
            <w:pPr>
              <w:spacing w:after="0"/>
              <w:rPr>
                <w:sz w:val="12"/>
                <w:szCs w:val="12"/>
                <w:color w:val="auto"/>
              </w:rPr>
            </w:pPr>
          </w:p>
        </w:tc>
        <w:tc>
          <w:tcPr>
            <w:tcW w:w="8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320" w:type="dxa"/>
            <w:vAlign w:val="bottom"/>
            <w:gridSpan w:val="3"/>
          </w:tcPr>
          <w:p>
            <w:pPr>
              <w:jc w:val="center"/>
              <w:ind w:left="368"/>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360" w:type="dxa"/>
            <w:vAlign w:val="bottom"/>
            <w:gridSpan w:val="4"/>
          </w:tcPr>
          <w:p>
            <w:pPr>
              <w:jc w:val="center"/>
              <w:ind w:left="328"/>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57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9"/>
              </w:rPr>
              <w:t>2020</w:t>
            </w:r>
          </w:p>
        </w:tc>
        <w:tc>
          <w:tcPr>
            <w:tcW w:w="4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9"/>
              </w:rPr>
              <w:t>2019</w:t>
            </w:r>
          </w:p>
        </w:tc>
        <w:tc>
          <w:tcPr>
            <w:tcW w:w="4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9"/>
              </w:rPr>
              <w:t>2018</w:t>
            </w:r>
          </w:p>
        </w:tc>
        <w:tc>
          <w:tcPr>
            <w:tcW w:w="60" w:type="dxa"/>
            <w:vAlign w:val="bottom"/>
            <w:tcBorders>
              <w:bottom w:val="single" w:sz="8" w:color="CCEEFF"/>
            </w:tcBorders>
          </w:tcPr>
          <w:p>
            <w:pPr>
              <w:spacing w:after="0"/>
              <w:rPr>
                <w:sz w:val="14"/>
                <w:szCs w:val="14"/>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ind w:right="22"/>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128,696</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125,496</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129,941</w:t>
            </w:r>
          </w:p>
        </w:tc>
        <w:tc>
          <w:tcPr>
            <w:tcW w:w="6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Amortization and write-off of deferred financing costs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7,863</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7,746</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7,866</w:t>
            </w:r>
          </w:p>
        </w:tc>
        <w:tc>
          <w:tcPr>
            <w:tcW w:w="6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60" w:type="dxa"/>
            <w:vAlign w:val="bottom"/>
            <w:shd w:val="clear" w:color="auto" w:fill="CCEEFF"/>
          </w:tcPr>
          <w:p>
            <w:pPr>
              <w:spacing w:after="0"/>
              <w:rPr>
                <w:sz w:val="18"/>
                <w:szCs w:val="18"/>
                <w:color w:val="auto"/>
              </w:rPr>
            </w:pPr>
          </w:p>
        </w:tc>
      </w:tr>
      <w:tr>
        <w:trPr>
          <w:trHeight w:val="223"/>
        </w:trPr>
        <w:tc>
          <w:tcPr>
            <w:tcW w:w="5740" w:type="dxa"/>
            <w:vAlign w:val="bottom"/>
          </w:tcPr>
          <w:p>
            <w:pPr>
              <w:spacing w:after="0"/>
              <w:rPr>
                <w:sz w:val="20"/>
                <w:szCs w:val="20"/>
                <w:color w:val="auto"/>
              </w:rPr>
            </w:pPr>
            <w:r>
              <w:rPr>
                <w:rFonts w:ascii="Arial" w:cs="Arial" w:eastAsia="Arial" w:hAnsi="Arial"/>
                <w:sz w:val="18"/>
                <w:szCs w:val="18"/>
                <w:b w:val="1"/>
                <w:bCs w:val="1"/>
                <w:color w:val="auto"/>
              </w:rPr>
              <w:t>Interest expense and financing cost</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ind w:right="22"/>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136,559</w:t>
            </w:r>
          </w:p>
        </w:tc>
        <w:tc>
          <w:tcPr>
            <w:tcW w:w="4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133,479</w:t>
            </w:r>
          </w:p>
        </w:tc>
        <w:tc>
          <w:tcPr>
            <w:tcW w:w="46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137,916</w:t>
            </w:r>
          </w:p>
        </w:tc>
        <w:tc>
          <w:tcPr>
            <w:tcW w:w="60" w:type="dxa"/>
            <w:vAlign w:val="bottom"/>
          </w:tcPr>
          <w:p>
            <w:pPr>
              <w:spacing w:after="0"/>
              <w:rPr>
                <w:sz w:val="19"/>
                <w:szCs w:val="19"/>
                <w:color w:val="auto"/>
              </w:rPr>
            </w:pPr>
          </w:p>
        </w:tc>
      </w:tr>
      <w:tr>
        <w:trPr>
          <w:trHeight w:val="20"/>
        </w:trPr>
        <w:tc>
          <w:tcPr>
            <w:tcW w:w="5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19: SEGMENT INFORMATION</w:t>
      </w:r>
    </w:p>
    <w:p>
      <w:pPr>
        <w:spacing w:after="0" w:line="121"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The Company through August 30, 2019 had three reportable segments from which it derived its revenues: Dry Bulk Vessel Operations, Logistics Business and Containers Business. The Containers Business became a reportable segment as a result of the consolidation of Navios Containers from November 30, 2018 (date of obtaining control) and ceased to be a reportable segment on August 30, 2019 (date of loss of control) (see also Note 3). Following the reclassification of the results of Navios Containers as discontinued operations (see also Note 3), the Company currently has two reportable segments from which it derives its revenues: Dry Bulk Vessel Operations and Logistics Business. The reportable segments reflect the internal organization of the Company and are strategic businesses that offer different products and services. The Dry Bulk Vessel Operations consists of the transportation and handling of bulk cargoes through the ownership, operation, and trading of vessels. The Logistics Business consists of operating ports and transfer station terminals, handling of vessels, barges and pushboats as well as upriver transport facilities in the Hidrovia region.</w:t>
      </w:r>
    </w:p>
    <w:p>
      <w:pPr>
        <w:spacing w:after="0" w:line="165"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The Company measures segment performance based on net (loss)/income attributable to Navios Holdings common stockholders. Inter-segment sales and transfers are not significant and have been eliminated and are not included in the following tables. Summarized financial information concerning each of the Company’s reportable segments is as follows:</w:t>
      </w:r>
    </w:p>
    <w:p>
      <w:pPr>
        <w:spacing w:after="0" w:line="19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2160" w:type="dxa"/>
            <w:vAlign w:val="bottom"/>
            <w:gridSpan w:val="4"/>
          </w:tcPr>
          <w:p>
            <w:pPr>
              <w:jc w:val="center"/>
              <w:ind w:left="456"/>
              <w:spacing w:after="0"/>
              <w:rPr>
                <w:sz w:val="20"/>
                <w:szCs w:val="20"/>
                <w:color w:val="auto"/>
              </w:rPr>
            </w:pPr>
            <w:r>
              <w:rPr>
                <w:rFonts w:ascii="Arial" w:cs="Arial" w:eastAsia="Arial" w:hAnsi="Arial"/>
                <w:sz w:val="14"/>
                <w:szCs w:val="14"/>
                <w:b w:val="1"/>
                <w:bCs w:val="1"/>
                <w:color w:val="auto"/>
                <w:w w:val="92"/>
              </w:rPr>
              <w:t>Dry Bulk Vessel</w:t>
            </w:r>
          </w:p>
        </w:tc>
        <w:tc>
          <w:tcPr>
            <w:tcW w:w="1700" w:type="dxa"/>
            <w:vAlign w:val="bottom"/>
            <w:gridSpan w:val="4"/>
            <w:vMerge w:val="restart"/>
          </w:tcPr>
          <w:p>
            <w:pPr>
              <w:jc w:val="center"/>
              <w:ind w:right="60"/>
              <w:spacing w:after="0"/>
              <w:rPr>
                <w:sz w:val="20"/>
                <w:szCs w:val="20"/>
                <w:color w:val="auto"/>
              </w:rPr>
            </w:pPr>
            <w:r>
              <w:rPr>
                <w:rFonts w:ascii="Arial" w:cs="Arial" w:eastAsia="Arial" w:hAnsi="Arial"/>
                <w:sz w:val="14"/>
                <w:szCs w:val="14"/>
                <w:b w:val="1"/>
                <w:bCs w:val="1"/>
                <w:color w:val="auto"/>
                <w:w w:val="87"/>
              </w:rPr>
              <w:t>Logistics Business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Operations</w:t>
            </w:r>
          </w:p>
        </w:tc>
        <w:tc>
          <w:tcPr>
            <w:tcW w:w="1700" w:type="dxa"/>
            <w:vAlign w:val="bottom"/>
            <w:gridSpan w:val="4"/>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for the</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for the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for the</w:t>
            </w:r>
          </w:p>
        </w:tc>
        <w:tc>
          <w:tcPr>
            <w:tcW w:w="0" w:type="dxa"/>
            <w:vAlign w:val="bottom"/>
          </w:tcPr>
          <w:p>
            <w:pPr>
              <w:spacing w:after="0"/>
              <w:rPr>
                <w:sz w:val="1"/>
                <w:szCs w:val="1"/>
                <w:color w:val="auto"/>
              </w:rPr>
            </w:pPr>
          </w:p>
        </w:tc>
      </w:tr>
      <w:tr>
        <w:trPr>
          <w:trHeight w:val="148"/>
        </w:trPr>
        <w:tc>
          <w:tcPr>
            <w:tcW w:w="4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Year Ended</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Year Ended</w:t>
            </w:r>
          </w:p>
        </w:tc>
        <w:tc>
          <w:tcPr>
            <w:tcW w:w="260" w:type="dxa"/>
            <w:vAlign w:val="bottom"/>
          </w:tcPr>
          <w:p>
            <w:pPr>
              <w:spacing w:after="0"/>
              <w:rPr>
                <w:sz w:val="12"/>
                <w:szCs w:val="12"/>
                <w:color w:val="auto"/>
              </w:rPr>
            </w:pPr>
          </w:p>
        </w:tc>
        <w:tc>
          <w:tcPr>
            <w:tcW w:w="9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0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220" w:type="dxa"/>
            <w:vAlign w:val="bottom"/>
            <w:gridSpan w:val="4"/>
          </w:tcPr>
          <w:p>
            <w:pPr>
              <w:jc w:val="center"/>
              <w:ind w:left="68"/>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418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6"/>
              </w:rPr>
              <w:t>2020</w:t>
            </w:r>
          </w:p>
        </w:tc>
        <w:tc>
          <w:tcPr>
            <w:tcW w:w="3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2020</w:t>
            </w:r>
          </w:p>
        </w:tc>
        <w:tc>
          <w:tcPr>
            <w:tcW w:w="3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200,794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215,924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416,718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Interest income</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209</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and financing cost</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(88,237)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(48,322)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(136,559)</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(42,076)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(28,939)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(71,015)</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Equity in net losses of affiliate companies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(1,293)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(1,293)</w:t>
            </w:r>
          </w:p>
        </w:tc>
        <w:tc>
          <w:tcPr>
            <w:tcW w:w="0" w:type="dxa"/>
            <w:vAlign w:val="bottom"/>
          </w:tcPr>
          <w:p>
            <w:pPr>
              <w:spacing w:after="0"/>
              <w:rPr>
                <w:sz w:val="1"/>
                <w:szCs w:val="1"/>
                <w:color w:val="auto"/>
              </w:rPr>
            </w:pPr>
          </w:p>
        </w:tc>
      </w:tr>
      <w:tr>
        <w:trPr>
          <w:trHeight w:val="202"/>
        </w:trPr>
        <w:tc>
          <w:tcPr>
            <w:tcW w:w="4180" w:type="dxa"/>
            <w:vAlign w:val="bottom"/>
          </w:tcPr>
          <w:p>
            <w:pPr>
              <w:spacing w:after="0" w:line="201" w:lineRule="exact"/>
              <w:rPr>
                <w:sz w:val="20"/>
                <w:szCs w:val="20"/>
                <w:color w:val="auto"/>
              </w:rPr>
            </w:pPr>
            <w:r>
              <w:rPr>
                <w:rFonts w:ascii="Arial" w:cs="Arial" w:eastAsia="Arial" w:hAnsi="Arial"/>
                <w:sz w:val="18"/>
                <w:szCs w:val="18"/>
                <w:color w:val="auto"/>
              </w:rPr>
              <w:t>Net loss attributable to Navios Holdings common</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80" w:type="dxa"/>
            <w:vAlign w:val="bottom"/>
          </w:tcPr>
          <w:p>
            <w:pPr>
              <w:ind w:left="180"/>
              <w:spacing w:after="0"/>
              <w:rPr>
                <w:sz w:val="20"/>
                <w:szCs w:val="20"/>
                <w:color w:val="auto"/>
              </w:rPr>
            </w:pPr>
            <w:r>
              <w:rPr>
                <w:rFonts w:ascii="Arial" w:cs="Arial" w:eastAsia="Arial" w:hAnsi="Arial"/>
                <w:sz w:val="18"/>
                <w:szCs w:val="18"/>
                <w:color w:val="auto"/>
              </w:rPr>
              <w:t>stockholders</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(192,207)</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(754)</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(192,961)</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1,316,936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654,389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1,971,325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Goodwill</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56,240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104,096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160,336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(99,068)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(8,441)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(107,509)</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Investment in affiliate companies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56,988</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56,988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74,870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Restricted cash</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16,303</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16,303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Long-term debt, net (including current and noncurrent</w:t>
            </w: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portion)</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1,043,839</w:t>
            </w:r>
          </w:p>
        </w:tc>
        <w:tc>
          <w:tcPr>
            <w:tcW w:w="32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540,590</w:t>
            </w: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1,584,429</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4180" w:type="dxa"/>
            <w:vAlign w:val="bottom"/>
          </w:tcPr>
          <w:p>
            <w:pPr>
              <w:spacing w:after="0"/>
              <w:rPr>
                <w:sz w:val="24"/>
                <w:szCs w:val="24"/>
                <w:color w:val="auto"/>
              </w:rPr>
            </w:pPr>
          </w:p>
        </w:tc>
        <w:tc>
          <w:tcPr>
            <w:tcW w:w="960" w:type="dxa"/>
            <w:vAlign w:val="bottom"/>
            <w:gridSpan w:val="2"/>
          </w:tcPr>
          <w:p>
            <w:pPr>
              <w:jc w:val="right"/>
              <w:ind w:right="267"/>
              <w:spacing w:after="0"/>
              <w:rPr>
                <w:sz w:val="20"/>
                <w:szCs w:val="20"/>
                <w:color w:val="auto"/>
              </w:rPr>
            </w:pPr>
            <w:r>
              <w:rPr>
                <w:rFonts w:ascii="Arial" w:cs="Arial" w:eastAsia="Arial" w:hAnsi="Arial"/>
                <w:sz w:val="18"/>
                <w:szCs w:val="18"/>
                <w:color w:val="auto"/>
              </w:rPr>
              <w:t>F-69</w:t>
            </w: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NAVIOS MARITIME HOLDINGS INC.</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(Expressed in thousands of U.S. dollars — except share data)</w:t>
      </w:r>
    </w:p>
    <w:p>
      <w:pPr>
        <w:spacing w:after="0" w:line="122"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7"/>
          </w:tcPr>
          <w:p>
            <w:pPr>
              <w:jc w:val="center"/>
              <w:ind w:right="500"/>
              <w:spacing w:after="0"/>
              <w:rPr>
                <w:sz w:val="20"/>
                <w:szCs w:val="20"/>
                <w:color w:val="auto"/>
              </w:rPr>
            </w:pPr>
            <w:r>
              <w:rPr>
                <w:rFonts w:ascii="Arial" w:cs="Arial" w:eastAsia="Arial" w:hAnsi="Arial"/>
                <w:sz w:val="14"/>
                <w:szCs w:val="14"/>
                <w:b w:val="1"/>
                <w:bCs w:val="1"/>
                <w:color w:val="auto"/>
                <w:w w:val="92"/>
              </w:rPr>
              <w:t>Dry Bulk Vessel</w:t>
            </w:r>
          </w:p>
        </w:tc>
        <w:tc>
          <w:tcPr>
            <w:tcW w:w="1720" w:type="dxa"/>
            <w:vAlign w:val="bottom"/>
            <w:gridSpan w:val="6"/>
            <w:vMerge w:val="restart"/>
          </w:tcPr>
          <w:p>
            <w:pPr>
              <w:jc w:val="center"/>
              <w:ind w:right="560"/>
              <w:spacing w:after="0"/>
              <w:rPr>
                <w:sz w:val="20"/>
                <w:szCs w:val="20"/>
                <w:color w:val="auto"/>
              </w:rPr>
            </w:pPr>
            <w:r>
              <w:rPr>
                <w:rFonts w:ascii="Arial" w:cs="Arial" w:eastAsia="Arial" w:hAnsi="Arial"/>
                <w:sz w:val="14"/>
                <w:szCs w:val="14"/>
                <w:b w:val="1"/>
                <w:bCs w:val="1"/>
                <w:color w:val="auto"/>
                <w:w w:val="87"/>
              </w:rPr>
              <w:t>Logistics Business</w:t>
            </w:r>
          </w:p>
        </w:tc>
        <w:tc>
          <w:tcPr>
            <w:tcW w:w="1380" w:type="dxa"/>
            <w:vAlign w:val="bottom"/>
            <w:gridSpan w:val="5"/>
            <w:vMerge w:val="restart"/>
          </w:tcPr>
          <w:p>
            <w:pPr>
              <w:jc w:val="center"/>
              <w:ind w:right="5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5"/>
          </w:tcPr>
          <w:p>
            <w:pPr>
              <w:jc w:val="center"/>
              <w:ind w:right="660"/>
              <w:spacing w:after="0" w:line="149" w:lineRule="exact"/>
              <w:rPr>
                <w:sz w:val="20"/>
                <w:szCs w:val="20"/>
                <w:color w:val="auto"/>
              </w:rPr>
            </w:pPr>
            <w:r>
              <w:rPr>
                <w:rFonts w:ascii="Arial" w:cs="Arial" w:eastAsia="Arial" w:hAnsi="Arial"/>
                <w:sz w:val="14"/>
                <w:szCs w:val="14"/>
                <w:b w:val="1"/>
                <w:bCs w:val="1"/>
                <w:color w:val="auto"/>
                <w:w w:val="94"/>
              </w:rPr>
              <w:t>Operations</w:t>
            </w:r>
          </w:p>
        </w:tc>
        <w:tc>
          <w:tcPr>
            <w:tcW w:w="1720" w:type="dxa"/>
            <w:vAlign w:val="bottom"/>
            <w:gridSpan w:val="6"/>
            <w:vMerge w:val="continue"/>
          </w:tcPr>
          <w:p>
            <w:pPr>
              <w:spacing w:after="0"/>
              <w:rPr>
                <w:sz w:val="12"/>
                <w:szCs w:val="12"/>
                <w:color w:val="auto"/>
              </w:rPr>
            </w:pPr>
          </w:p>
        </w:tc>
        <w:tc>
          <w:tcPr>
            <w:tcW w:w="138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5"/>
          </w:tcPr>
          <w:p>
            <w:pPr>
              <w:jc w:val="center"/>
              <w:ind w:right="660"/>
              <w:spacing w:after="0" w:line="149" w:lineRule="exact"/>
              <w:rPr>
                <w:sz w:val="20"/>
                <w:szCs w:val="20"/>
                <w:color w:val="auto"/>
              </w:rPr>
            </w:pPr>
            <w:r>
              <w:rPr>
                <w:rFonts w:ascii="Arial" w:cs="Arial" w:eastAsia="Arial" w:hAnsi="Arial"/>
                <w:sz w:val="14"/>
                <w:szCs w:val="14"/>
                <w:b w:val="1"/>
                <w:bCs w:val="1"/>
                <w:color w:val="auto"/>
                <w:w w:val="96"/>
              </w:rPr>
              <w:t>for the</w:t>
            </w:r>
          </w:p>
        </w:tc>
        <w:tc>
          <w:tcPr>
            <w:tcW w:w="20" w:type="dxa"/>
            <w:vAlign w:val="bottom"/>
          </w:tcPr>
          <w:p>
            <w:pPr>
              <w:spacing w:after="0"/>
              <w:rPr>
                <w:sz w:val="12"/>
                <w:szCs w:val="12"/>
                <w:color w:val="auto"/>
              </w:rPr>
            </w:pPr>
          </w:p>
        </w:tc>
        <w:tc>
          <w:tcPr>
            <w:tcW w:w="1700" w:type="dxa"/>
            <w:vAlign w:val="bottom"/>
            <w:gridSpan w:val="5"/>
          </w:tcPr>
          <w:p>
            <w:pPr>
              <w:jc w:val="center"/>
              <w:ind w:right="580"/>
              <w:spacing w:after="0" w:line="149" w:lineRule="exact"/>
              <w:rPr>
                <w:sz w:val="20"/>
                <w:szCs w:val="20"/>
                <w:color w:val="auto"/>
              </w:rPr>
            </w:pPr>
            <w:r>
              <w:rPr>
                <w:rFonts w:ascii="Arial" w:cs="Arial" w:eastAsia="Arial" w:hAnsi="Arial"/>
                <w:sz w:val="14"/>
                <w:szCs w:val="14"/>
                <w:b w:val="1"/>
                <w:bCs w:val="1"/>
                <w:color w:val="auto"/>
                <w:w w:val="91"/>
              </w:rPr>
              <w:t>for the</w:t>
            </w:r>
          </w:p>
        </w:tc>
        <w:tc>
          <w:tcPr>
            <w:tcW w:w="1380" w:type="dxa"/>
            <w:vAlign w:val="bottom"/>
            <w:gridSpan w:val="5"/>
          </w:tcPr>
          <w:p>
            <w:pPr>
              <w:jc w:val="center"/>
              <w:ind w:right="540"/>
              <w:spacing w:after="0" w:line="149" w:lineRule="exact"/>
              <w:rPr>
                <w:sz w:val="20"/>
                <w:szCs w:val="20"/>
                <w:color w:val="auto"/>
              </w:rPr>
            </w:pPr>
            <w:r>
              <w:rPr>
                <w:rFonts w:ascii="Arial" w:cs="Arial" w:eastAsia="Arial" w:hAnsi="Arial"/>
                <w:sz w:val="14"/>
                <w:szCs w:val="14"/>
                <w:b w:val="1"/>
                <w:bCs w:val="1"/>
                <w:color w:val="auto"/>
                <w:w w:val="91"/>
              </w:rPr>
              <w:t>for the</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5"/>
          </w:tcPr>
          <w:p>
            <w:pPr>
              <w:jc w:val="center"/>
              <w:ind w:right="660"/>
              <w:spacing w:after="0" w:line="149" w:lineRule="exact"/>
              <w:rPr>
                <w:sz w:val="20"/>
                <w:szCs w:val="20"/>
                <w:color w:val="auto"/>
              </w:rPr>
            </w:pPr>
            <w:r>
              <w:rPr>
                <w:rFonts w:ascii="Arial" w:cs="Arial" w:eastAsia="Arial" w:hAnsi="Arial"/>
                <w:sz w:val="14"/>
                <w:szCs w:val="14"/>
                <w:b w:val="1"/>
                <w:bCs w:val="1"/>
                <w:color w:val="auto"/>
                <w:w w:val="96"/>
              </w:rPr>
              <w:t>Year Ended</w:t>
            </w:r>
          </w:p>
        </w:tc>
        <w:tc>
          <w:tcPr>
            <w:tcW w:w="20" w:type="dxa"/>
            <w:vAlign w:val="bottom"/>
          </w:tcPr>
          <w:p>
            <w:pPr>
              <w:spacing w:after="0"/>
              <w:rPr>
                <w:sz w:val="12"/>
                <w:szCs w:val="12"/>
                <w:color w:val="auto"/>
              </w:rPr>
            </w:pPr>
          </w:p>
        </w:tc>
        <w:tc>
          <w:tcPr>
            <w:tcW w:w="1700" w:type="dxa"/>
            <w:vAlign w:val="bottom"/>
            <w:gridSpan w:val="5"/>
          </w:tcPr>
          <w:p>
            <w:pPr>
              <w:jc w:val="center"/>
              <w:ind w:right="580"/>
              <w:spacing w:after="0" w:line="149" w:lineRule="exact"/>
              <w:rPr>
                <w:sz w:val="20"/>
                <w:szCs w:val="20"/>
                <w:color w:val="auto"/>
              </w:rPr>
            </w:pPr>
            <w:r>
              <w:rPr>
                <w:rFonts w:ascii="Arial" w:cs="Arial" w:eastAsia="Arial" w:hAnsi="Arial"/>
                <w:sz w:val="14"/>
                <w:szCs w:val="14"/>
                <w:b w:val="1"/>
                <w:bCs w:val="1"/>
                <w:color w:val="auto"/>
                <w:w w:val="93"/>
              </w:rPr>
              <w:t>Year Ended</w:t>
            </w:r>
          </w:p>
        </w:tc>
        <w:tc>
          <w:tcPr>
            <w:tcW w:w="1380" w:type="dxa"/>
            <w:vAlign w:val="bottom"/>
            <w:gridSpan w:val="5"/>
          </w:tcPr>
          <w:p>
            <w:pPr>
              <w:jc w:val="center"/>
              <w:ind w:right="540"/>
              <w:spacing w:after="0" w:line="149" w:lineRule="exact"/>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40" w:type="dxa"/>
            <w:vAlign w:val="bottom"/>
            <w:gridSpan w:val="6"/>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20" w:type="dxa"/>
            <w:vAlign w:val="bottom"/>
          </w:tcPr>
          <w:p>
            <w:pPr>
              <w:spacing w:after="0"/>
              <w:rPr>
                <w:sz w:val="12"/>
                <w:szCs w:val="12"/>
                <w:color w:val="auto"/>
              </w:rPr>
            </w:pPr>
          </w:p>
        </w:tc>
        <w:tc>
          <w:tcPr>
            <w:tcW w:w="1700" w:type="dxa"/>
            <w:vAlign w:val="bottom"/>
            <w:gridSpan w:val="5"/>
          </w:tcPr>
          <w:p>
            <w:pPr>
              <w:jc w:val="center"/>
              <w:ind w:right="5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380" w:type="dxa"/>
            <w:vAlign w:val="bottom"/>
            <w:gridSpan w:val="5"/>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jc w:val="center"/>
              <w:ind w:right="13"/>
              <w:spacing w:after="0"/>
              <w:rPr>
                <w:sz w:val="20"/>
                <w:szCs w:val="20"/>
                <w:color w:val="auto"/>
              </w:rPr>
            </w:pPr>
            <w:r>
              <w:rPr>
                <w:rFonts w:ascii="Arial" w:cs="Arial" w:eastAsia="Arial" w:hAnsi="Arial"/>
                <w:sz w:val="14"/>
                <w:szCs w:val="14"/>
                <w:b w:val="1"/>
                <w:bCs w:val="1"/>
                <w:color w:val="auto"/>
                <w:w w:val="96"/>
              </w:rPr>
              <w:t>2019</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2019</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254,178</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04"/>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228,271</w:t>
            </w:r>
          </w:p>
        </w:tc>
        <w:tc>
          <w:tcPr>
            <w:tcW w:w="5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6"/>
              </w:rPr>
              <w:t>$  482,449</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w w:val="93"/>
              </w:rPr>
              <w:t>Administrative fee revenue from affiliate companies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16,991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16,991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10,662</w:t>
            </w:r>
          </w:p>
        </w:tc>
        <w:tc>
          <w:tcPr>
            <w:tcW w:w="120" w:type="dxa"/>
            <w:vAlign w:val="bottom"/>
            <w:shd w:val="clear" w:color="auto" w:fill="CCEEFF"/>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Interest expense and financing cost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10"/>
              <w:spacing w:after="0"/>
              <w:rPr>
                <w:sz w:val="20"/>
                <w:szCs w:val="20"/>
                <w:color w:val="auto"/>
              </w:rPr>
            </w:pPr>
            <w:r>
              <w:rPr>
                <w:rFonts w:ascii="Arial" w:cs="Arial" w:eastAsia="Arial" w:hAnsi="Arial"/>
                <w:sz w:val="18"/>
                <w:szCs w:val="18"/>
                <w:color w:val="auto"/>
                <w:w w:val="89"/>
              </w:rPr>
              <w:t>(92,948)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70"/>
              <w:spacing w:after="0"/>
              <w:rPr>
                <w:sz w:val="20"/>
                <w:szCs w:val="20"/>
                <w:color w:val="auto"/>
              </w:rPr>
            </w:pPr>
            <w:r>
              <w:rPr>
                <w:rFonts w:ascii="Arial" w:cs="Arial" w:eastAsia="Arial" w:hAnsi="Arial"/>
                <w:sz w:val="18"/>
                <w:szCs w:val="18"/>
                <w:color w:val="auto"/>
                <w:w w:val="98"/>
              </w:rPr>
              <w:t>(40,531)</w:t>
            </w:r>
          </w:p>
        </w:tc>
        <w:tc>
          <w:tcPr>
            <w:tcW w:w="60" w:type="dxa"/>
            <w:vAlign w:val="bottom"/>
          </w:tcPr>
          <w:p>
            <w:pPr>
              <w:spacing w:after="0"/>
              <w:rPr>
                <w:sz w:val="18"/>
                <w:szCs w:val="18"/>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(133,479)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w w:val="89"/>
              </w:rPr>
              <w:t>(52,288)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w w:val="98"/>
              </w:rPr>
              <w:t>(29,435)</w:t>
            </w:r>
          </w:p>
        </w:tc>
        <w:tc>
          <w:tcPr>
            <w:tcW w:w="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(81,723)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Equity in net losses of affiliate companies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10"/>
              <w:spacing w:after="0"/>
              <w:rPr>
                <w:sz w:val="20"/>
                <w:szCs w:val="20"/>
                <w:color w:val="auto"/>
              </w:rPr>
            </w:pPr>
            <w:r>
              <w:rPr>
                <w:rFonts w:ascii="Arial" w:cs="Arial" w:eastAsia="Arial" w:hAnsi="Arial"/>
                <w:sz w:val="18"/>
                <w:szCs w:val="18"/>
                <w:color w:val="auto"/>
              </w:rPr>
              <w:t>(9,185)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(9,185)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0" w:type="dxa"/>
            <w:vAlign w:val="bottom"/>
          </w:tcPr>
          <w:p>
            <w:pPr>
              <w:spacing w:after="0"/>
              <w:rPr>
                <w:sz w:val="17"/>
                <w:szCs w:val="17"/>
                <w:color w:val="auto"/>
              </w:rPr>
            </w:pPr>
          </w:p>
        </w:tc>
        <w:tc>
          <w:tcPr>
            <w:tcW w:w="498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color w:val="auto"/>
              </w:rPr>
              <w:t>Net (loss)/ income attributable to Navios Holdings common</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stockholders</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gridSpan w:val="4"/>
            <w:shd w:val="clear" w:color="auto" w:fill="CCEEFF"/>
          </w:tcPr>
          <w:p>
            <w:pPr>
              <w:jc w:val="right"/>
              <w:ind w:right="310"/>
              <w:spacing w:after="0"/>
              <w:rPr>
                <w:sz w:val="20"/>
                <w:szCs w:val="20"/>
                <w:color w:val="auto"/>
              </w:rPr>
            </w:pPr>
            <w:r>
              <w:rPr>
                <w:rFonts w:ascii="Arial" w:cs="Arial" w:eastAsia="Arial" w:hAnsi="Arial"/>
                <w:sz w:val="18"/>
                <w:szCs w:val="18"/>
                <w:color w:val="auto"/>
              </w:rPr>
              <w:t>(209,096)</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16,986</w:t>
            </w:r>
          </w:p>
        </w:tc>
        <w:tc>
          <w:tcPr>
            <w:tcW w:w="5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(192,110)</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Total assets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1,511,517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631,338</w:t>
            </w: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2,142,855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56,240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104,096</w:t>
            </w: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160,336</w:t>
            </w:r>
          </w:p>
        </w:tc>
        <w:tc>
          <w:tcPr>
            <w:tcW w:w="120" w:type="dxa"/>
            <w:vAlign w:val="bottom"/>
            <w:shd w:val="clear" w:color="auto" w:fill="CCEEFF"/>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Capital expenditures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10"/>
              <w:spacing w:after="0"/>
              <w:rPr>
                <w:sz w:val="20"/>
                <w:szCs w:val="20"/>
                <w:color w:val="auto"/>
              </w:rPr>
            </w:pPr>
            <w:r>
              <w:rPr>
                <w:rFonts w:ascii="Arial" w:cs="Arial" w:eastAsia="Arial" w:hAnsi="Arial"/>
                <w:sz w:val="18"/>
                <w:szCs w:val="18"/>
                <w:color w:val="auto"/>
                <w:w w:val="89"/>
              </w:rPr>
              <w:t>(36,628)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70"/>
              <w:spacing w:after="0"/>
              <w:rPr>
                <w:sz w:val="20"/>
                <w:szCs w:val="20"/>
                <w:color w:val="auto"/>
              </w:rPr>
            </w:pPr>
            <w:r>
              <w:rPr>
                <w:rFonts w:ascii="Arial" w:cs="Arial" w:eastAsia="Arial" w:hAnsi="Arial"/>
                <w:sz w:val="18"/>
                <w:szCs w:val="18"/>
                <w:color w:val="auto"/>
              </w:rPr>
              <w:t>(7,943)</w:t>
            </w:r>
          </w:p>
        </w:tc>
        <w:tc>
          <w:tcPr>
            <w:tcW w:w="60" w:type="dxa"/>
            <w:vAlign w:val="bottom"/>
          </w:tcPr>
          <w:p>
            <w:pPr>
              <w:spacing w:after="0"/>
              <w:rPr>
                <w:sz w:val="18"/>
                <w:szCs w:val="18"/>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(44,571)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Investment in affiliate companies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64,352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64,352</w:t>
            </w:r>
          </w:p>
        </w:tc>
        <w:tc>
          <w:tcPr>
            <w:tcW w:w="120" w:type="dxa"/>
            <w:vAlign w:val="bottom"/>
            <w:shd w:val="clear" w:color="auto" w:fill="CCEEFF"/>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32,386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45,605</w:t>
            </w: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77,991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120" w:type="dxa"/>
            <w:vAlign w:val="bottom"/>
            <w:shd w:val="clear" w:color="auto" w:fill="CCEEFF"/>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0" w:type="dxa"/>
            <w:vAlign w:val="bottom"/>
          </w:tcPr>
          <w:p>
            <w:pPr>
              <w:spacing w:after="0"/>
              <w:rPr>
                <w:sz w:val="17"/>
                <w:szCs w:val="17"/>
                <w:color w:val="auto"/>
              </w:rPr>
            </w:pPr>
          </w:p>
        </w:tc>
        <w:tc>
          <w:tcPr>
            <w:tcW w:w="4000" w:type="dxa"/>
            <w:vAlign w:val="bottom"/>
            <w:gridSpan w:val="3"/>
          </w:tcPr>
          <w:p>
            <w:pPr>
              <w:spacing w:after="0" w:line="201" w:lineRule="exact"/>
              <w:rPr>
                <w:sz w:val="20"/>
                <w:szCs w:val="20"/>
                <w:color w:val="auto"/>
              </w:rPr>
            </w:pPr>
            <w:r>
              <w:rPr>
                <w:rFonts w:ascii="Arial" w:cs="Arial" w:eastAsia="Arial" w:hAnsi="Arial"/>
                <w:sz w:val="18"/>
                <w:szCs w:val="18"/>
                <w:color w:val="auto"/>
                <w:w w:val="93"/>
              </w:rPr>
              <w:t>Long-term debt, net (including current and noncurrent</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3820" w:type="dxa"/>
            <w:vAlign w:val="bottom"/>
          </w:tcPr>
          <w:p>
            <w:pPr>
              <w:ind w:left="180"/>
              <w:spacing w:after="0"/>
              <w:rPr>
                <w:sz w:val="20"/>
                <w:szCs w:val="20"/>
                <w:color w:val="auto"/>
              </w:rPr>
            </w:pPr>
            <w:r>
              <w:rPr>
                <w:rFonts w:ascii="Arial" w:cs="Arial" w:eastAsia="Arial" w:hAnsi="Arial"/>
                <w:sz w:val="18"/>
                <w:szCs w:val="18"/>
                <w:color w:val="auto"/>
              </w:rPr>
              <w:t>portion)</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1,048,318</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gridSpan w:val="2"/>
          </w:tcPr>
          <w:p>
            <w:pPr>
              <w:jc w:val="right"/>
              <w:ind w:right="204"/>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514,929</w:t>
            </w: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1,563,247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4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Dry Bulk Vessel</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4"/>
            <w:vMerge w:val="restart"/>
          </w:tcPr>
          <w:p>
            <w:pPr>
              <w:jc w:val="center"/>
              <w:ind w:right="80"/>
              <w:spacing w:after="0"/>
              <w:rPr>
                <w:sz w:val="20"/>
                <w:szCs w:val="20"/>
                <w:color w:val="auto"/>
              </w:rPr>
            </w:pPr>
            <w:r>
              <w:rPr>
                <w:rFonts w:ascii="Arial" w:cs="Arial" w:eastAsia="Arial" w:hAnsi="Arial"/>
                <w:sz w:val="14"/>
                <w:szCs w:val="14"/>
                <w:b w:val="1"/>
                <w:bCs w:val="1"/>
                <w:color w:val="auto"/>
                <w:w w:val="86"/>
              </w:rPr>
              <w:t>Logistics Business</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gridSpan w:val="4"/>
            <w:vMerge w:val="restart"/>
          </w:tcPr>
          <w:p>
            <w:pPr>
              <w:jc w:val="center"/>
              <w:ind w:right="40"/>
              <w:spacing w:after="0"/>
              <w:rPr>
                <w:sz w:val="20"/>
                <w:szCs w:val="20"/>
                <w:color w:val="auto"/>
              </w:rPr>
            </w:pPr>
            <w:r>
              <w:rPr>
                <w:rFonts w:ascii="Arial" w:cs="Arial" w:eastAsia="Arial" w:hAnsi="Arial"/>
                <w:sz w:val="14"/>
                <w:szCs w:val="14"/>
                <w:b w:val="1"/>
                <w:bCs w:val="1"/>
                <w:color w:val="auto"/>
                <w:w w:val="89"/>
              </w:rPr>
              <w:t>Containers Business</w:t>
            </w:r>
          </w:p>
        </w:tc>
        <w:tc>
          <w:tcPr>
            <w:tcW w:w="440" w:type="dxa"/>
            <w:vAlign w:val="bottom"/>
          </w:tcPr>
          <w:p>
            <w:pPr>
              <w:spacing w:after="0"/>
              <w:rPr>
                <w:sz w:val="24"/>
                <w:szCs w:val="24"/>
                <w:color w:val="auto"/>
              </w:rPr>
            </w:pPr>
          </w:p>
        </w:tc>
        <w:tc>
          <w:tcPr>
            <w:tcW w:w="94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Operations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gridSpan w:val="4"/>
            <w:vMerge w:val="continue"/>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for the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for the</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for the</w:t>
            </w:r>
          </w:p>
        </w:tc>
        <w:tc>
          <w:tcPr>
            <w:tcW w:w="440" w:type="dxa"/>
            <w:vAlign w:val="bottom"/>
          </w:tcPr>
          <w:p>
            <w:pPr>
              <w:spacing w:after="0"/>
              <w:rPr>
                <w:sz w:val="12"/>
                <w:szCs w:val="12"/>
                <w:color w:val="auto"/>
              </w:rPr>
            </w:pPr>
          </w:p>
        </w:tc>
        <w:tc>
          <w:tcPr>
            <w:tcW w:w="94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for the</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Year Ended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Year Ended</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Year Ended</w:t>
            </w:r>
          </w:p>
        </w:tc>
        <w:tc>
          <w:tcPr>
            <w:tcW w:w="440" w:type="dxa"/>
            <w:vAlign w:val="bottom"/>
          </w:tcPr>
          <w:p>
            <w:pPr>
              <w:spacing w:after="0"/>
              <w:rPr>
                <w:sz w:val="12"/>
                <w:szCs w:val="12"/>
                <w:color w:val="auto"/>
              </w:rPr>
            </w:pPr>
          </w:p>
        </w:tc>
        <w:tc>
          <w:tcPr>
            <w:tcW w:w="94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440" w:type="dxa"/>
            <w:vAlign w:val="bottom"/>
          </w:tcPr>
          <w:p>
            <w:pPr>
              <w:spacing w:after="0"/>
              <w:rPr>
                <w:sz w:val="12"/>
                <w:szCs w:val="12"/>
                <w:color w:val="auto"/>
              </w:rPr>
            </w:pPr>
          </w:p>
        </w:tc>
        <w:tc>
          <w:tcPr>
            <w:tcW w:w="94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ind w:right="14"/>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ind w:left="380"/>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c>
          <w:tcPr>
            <w:tcW w:w="1280" w:type="dxa"/>
            <w:vAlign w:val="bottom"/>
            <w:gridSpan w:val="4"/>
          </w:tcPr>
          <w:p>
            <w:pPr>
              <w:jc w:val="center"/>
              <w:ind w:left="353"/>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2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298,052</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207,634</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12,053</w:t>
            </w:r>
          </w:p>
        </w:tc>
        <w:tc>
          <w:tcPr>
            <w:tcW w:w="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6"/>
              </w:rPr>
              <w:t>$  517,739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Administrative fee revenue from affiliate companies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28,972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(579)</w:t>
            </w:r>
          </w:p>
        </w:tc>
        <w:tc>
          <w:tcPr>
            <w:tcW w:w="1380" w:type="dxa"/>
            <w:vAlign w:val="bottom"/>
            <w:gridSpan w:val="5"/>
          </w:tcPr>
          <w:p>
            <w:pPr>
              <w:jc w:val="right"/>
              <w:ind w:right="100"/>
              <w:spacing w:after="0"/>
              <w:rPr>
                <w:sz w:val="20"/>
                <w:szCs w:val="20"/>
                <w:color w:val="auto"/>
              </w:rPr>
            </w:pPr>
            <w:r>
              <w:rPr>
                <w:rFonts w:ascii="Arial" w:cs="Arial" w:eastAsia="Arial" w:hAnsi="Arial"/>
                <w:sz w:val="18"/>
                <w:szCs w:val="18"/>
                <w:color w:val="auto"/>
              </w:rPr>
              <w:t>28,393</w:t>
            </w: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8,231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517</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8,748</w:t>
            </w: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Interest expense and financing cost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(98,247)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(39,669)</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(1,204)</w:t>
            </w:r>
          </w:p>
        </w:tc>
        <w:tc>
          <w:tcPr>
            <w:tcW w:w="1380" w:type="dxa"/>
            <w:vAlign w:val="bottom"/>
            <w:gridSpan w:val="5"/>
          </w:tcPr>
          <w:p>
            <w:pPr>
              <w:jc w:val="right"/>
              <w:ind w:right="40"/>
              <w:spacing w:after="0"/>
              <w:rPr>
                <w:sz w:val="20"/>
                <w:szCs w:val="20"/>
                <w:color w:val="auto"/>
              </w:rPr>
            </w:pPr>
            <w:r>
              <w:rPr>
                <w:rFonts w:ascii="Arial" w:cs="Arial" w:eastAsia="Arial" w:hAnsi="Arial"/>
                <w:sz w:val="18"/>
                <w:szCs w:val="18"/>
                <w:color w:val="auto"/>
              </w:rPr>
              <w:t>(139,120)</w:t>
            </w: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(70,472)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(29,307)</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(3,060)</w:t>
            </w:r>
          </w:p>
        </w:tc>
        <w:tc>
          <w:tcPr>
            <w:tcW w:w="138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(102,839)</w:t>
            </w: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Equity in net losses of affiliate companies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(80,205)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5"/>
          </w:tcPr>
          <w:p>
            <w:pPr>
              <w:jc w:val="right"/>
              <w:ind w:right="40"/>
              <w:spacing w:after="0"/>
              <w:rPr>
                <w:sz w:val="20"/>
                <w:szCs w:val="20"/>
                <w:color w:val="auto"/>
              </w:rPr>
            </w:pPr>
            <w:r>
              <w:rPr>
                <w:rFonts w:ascii="Arial" w:cs="Arial" w:eastAsia="Arial" w:hAnsi="Arial"/>
                <w:sz w:val="18"/>
                <w:szCs w:val="18"/>
                <w:color w:val="auto"/>
              </w:rPr>
              <w:t>(80,205)</w:t>
            </w:r>
          </w:p>
        </w:tc>
        <w:tc>
          <w:tcPr>
            <w:tcW w:w="0" w:type="dxa"/>
            <w:vAlign w:val="bottom"/>
          </w:tcPr>
          <w:p>
            <w:pPr>
              <w:spacing w:after="0"/>
              <w:rPr>
                <w:sz w:val="1"/>
                <w:szCs w:val="1"/>
                <w:color w:val="auto"/>
              </w:rPr>
            </w:pPr>
          </w:p>
        </w:tc>
      </w:tr>
      <w:tr>
        <w:trPr>
          <w:trHeight w:val="202"/>
        </w:trPr>
        <w:tc>
          <w:tcPr>
            <w:tcW w:w="42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Net (loss)/ income attributable to Navios Holdings</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common stockholders</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(273,125)</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4,380</w:t>
            </w: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138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(268,718)</w:t>
            </w: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1,558,581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677,343</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446,572</w:t>
            </w:r>
          </w:p>
        </w:tc>
        <w:tc>
          <w:tcPr>
            <w:tcW w:w="1380" w:type="dxa"/>
            <w:vAlign w:val="bottom"/>
            <w:gridSpan w:val="5"/>
          </w:tcPr>
          <w:p>
            <w:pPr>
              <w:jc w:val="right"/>
              <w:ind w:right="100"/>
              <w:spacing w:after="0"/>
              <w:rPr>
                <w:sz w:val="20"/>
                <w:szCs w:val="20"/>
                <w:color w:val="auto"/>
              </w:rPr>
            </w:pPr>
            <w:r>
              <w:rPr>
                <w:rFonts w:ascii="Arial" w:cs="Arial" w:eastAsia="Arial" w:hAnsi="Arial"/>
                <w:sz w:val="18"/>
                <w:szCs w:val="18"/>
                <w:color w:val="auto"/>
              </w:rPr>
              <w:t>2,682,496</w:t>
            </w: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56,240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104,096</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160,336</w:t>
            </w: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(41,003)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(19,879)</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(24,763)</w:t>
            </w:r>
          </w:p>
        </w:tc>
        <w:tc>
          <w:tcPr>
            <w:tcW w:w="1380" w:type="dxa"/>
            <w:vAlign w:val="bottom"/>
            <w:gridSpan w:val="5"/>
          </w:tcPr>
          <w:p>
            <w:pPr>
              <w:jc w:val="right"/>
              <w:ind w:right="40"/>
              <w:spacing w:after="0"/>
              <w:rPr>
                <w:sz w:val="20"/>
                <w:szCs w:val="20"/>
                <w:color w:val="auto"/>
              </w:rPr>
            </w:pPr>
            <w:r>
              <w:rPr>
                <w:rFonts w:ascii="Arial" w:cs="Arial" w:eastAsia="Arial" w:hAnsi="Arial"/>
                <w:sz w:val="18"/>
                <w:szCs w:val="18"/>
                <w:color w:val="auto"/>
              </w:rPr>
              <w:t>(85,645)</w:t>
            </w: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 affiliate companies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91,111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91,111</w:t>
            </w: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44,452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76,472</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16,958</w:t>
            </w:r>
          </w:p>
        </w:tc>
        <w:tc>
          <w:tcPr>
            <w:tcW w:w="1380" w:type="dxa"/>
            <w:vAlign w:val="bottom"/>
            <w:gridSpan w:val="5"/>
          </w:tcPr>
          <w:p>
            <w:pPr>
              <w:jc w:val="right"/>
              <w:ind w:right="100"/>
              <w:spacing w:after="0"/>
              <w:rPr>
                <w:sz w:val="20"/>
                <w:szCs w:val="20"/>
                <w:color w:val="auto"/>
              </w:rPr>
            </w:pPr>
            <w:r>
              <w:rPr>
                <w:rFonts w:ascii="Arial" w:cs="Arial" w:eastAsia="Arial" w:hAnsi="Arial"/>
                <w:sz w:val="18"/>
                <w:szCs w:val="18"/>
                <w:color w:val="auto"/>
              </w:rPr>
              <w:t>137,882</w:t>
            </w: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10,958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1,934</w:t>
            </w:r>
          </w:p>
        </w:tc>
        <w:tc>
          <w:tcPr>
            <w:tcW w:w="13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12,892</w:t>
            </w:r>
          </w:p>
        </w:tc>
        <w:tc>
          <w:tcPr>
            <w:tcW w:w="0" w:type="dxa"/>
            <w:vAlign w:val="bottom"/>
          </w:tcPr>
          <w:p>
            <w:pPr>
              <w:spacing w:after="0"/>
              <w:rPr>
                <w:sz w:val="1"/>
                <w:szCs w:val="1"/>
                <w:color w:val="auto"/>
              </w:rPr>
            </w:pPr>
          </w:p>
        </w:tc>
      </w:tr>
      <w:tr>
        <w:trPr>
          <w:trHeight w:val="202"/>
        </w:trPr>
        <w:tc>
          <w:tcPr>
            <w:tcW w:w="4260" w:type="dxa"/>
            <w:vAlign w:val="bottom"/>
            <w:gridSpan w:val="2"/>
          </w:tcPr>
          <w:p>
            <w:pPr>
              <w:spacing w:after="0" w:line="201" w:lineRule="exact"/>
              <w:rPr>
                <w:sz w:val="20"/>
                <w:szCs w:val="20"/>
                <w:color w:val="auto"/>
              </w:rPr>
            </w:pPr>
            <w:r>
              <w:rPr>
                <w:rFonts w:ascii="Arial" w:cs="Arial" w:eastAsia="Arial" w:hAnsi="Arial"/>
                <w:sz w:val="18"/>
                <w:szCs w:val="18"/>
                <w:color w:val="auto"/>
              </w:rPr>
              <w:t>Long-term debt, net (including current and</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60" w:type="dxa"/>
            <w:vAlign w:val="bottom"/>
            <w:gridSpan w:val="2"/>
          </w:tcPr>
          <w:p>
            <w:pPr>
              <w:ind w:left="180"/>
              <w:spacing w:after="0"/>
              <w:rPr>
                <w:sz w:val="20"/>
                <w:szCs w:val="20"/>
                <w:color w:val="auto"/>
              </w:rPr>
            </w:pPr>
            <w:r>
              <w:rPr>
                <w:rFonts w:ascii="Arial" w:cs="Arial" w:eastAsia="Arial" w:hAnsi="Arial"/>
                <w:sz w:val="18"/>
                <w:szCs w:val="18"/>
                <w:color w:val="auto"/>
              </w:rPr>
              <w:t>noncurrent portion)</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1,063,762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530,186</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222,059</w:t>
            </w:r>
          </w:p>
        </w:tc>
        <w:tc>
          <w:tcPr>
            <w:tcW w:w="1380" w:type="dxa"/>
            <w:vAlign w:val="bottom"/>
            <w:gridSpan w:val="5"/>
          </w:tcPr>
          <w:p>
            <w:pPr>
              <w:jc w:val="right"/>
              <w:ind w:right="100"/>
              <w:spacing w:after="0"/>
              <w:rPr>
                <w:sz w:val="20"/>
                <w:szCs w:val="20"/>
                <w:color w:val="auto"/>
              </w:rPr>
            </w:pPr>
            <w:r>
              <w:rPr>
                <w:rFonts w:ascii="Arial" w:cs="Arial" w:eastAsia="Arial" w:hAnsi="Arial"/>
                <w:sz w:val="18"/>
                <w:szCs w:val="18"/>
                <w:color w:val="auto"/>
              </w:rPr>
              <w:t>$ 1,816,007</w:t>
            </w:r>
          </w:p>
        </w:tc>
        <w:tc>
          <w:tcPr>
            <w:tcW w:w="0" w:type="dxa"/>
            <w:vAlign w:val="bottom"/>
          </w:tcPr>
          <w:p>
            <w:pPr>
              <w:spacing w:after="0"/>
              <w:rPr>
                <w:sz w:val="1"/>
                <w:szCs w:val="1"/>
                <w:color w:val="auto"/>
              </w:rPr>
            </w:pPr>
          </w:p>
        </w:tc>
      </w:tr>
      <w:tr>
        <w:trPr>
          <w:trHeight w:val="365"/>
        </w:trPr>
        <w:tc>
          <w:tcPr>
            <w:tcW w:w="4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F-70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80"/>
          </w:cols>
          <w:pgMar w:left="320" w:top="459" w:right="89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NAVIOS MARITIME HOLDINGS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(Expressed in thousands of U.S. dollars — except share data)</w:t>
      </w:r>
    </w:p>
    <w:p>
      <w:pPr>
        <w:spacing w:after="0" w:line="143"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following table sets out the Company’s revenue by geographic region. Dry Bulk Vessel Operations (excluding administrative fee revenue from affiliate companies) and Logistics Business revenue are allocated on the basis of the geographic region in which the customer is located. Dry bulk vessels and containership vessels operate worldwide. Logistics Business operates different types of tanker vessels, pushboats, and wet and dry barges for delivering a wide range of products between ports in the Paraná, Paraguay and Uruguay River systems in South America (commonly known as the “Hidrovia” or the “waterway”).</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Revenues from specific geographic regions which contribute over 10% of revenue are disclosed separately.</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Revenue by Geographic Region</w:t>
      </w:r>
    </w:p>
    <w:p>
      <w:pPr>
        <w:spacing w:after="0" w:line="235"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Year ended</w:t>
            </w:r>
          </w:p>
        </w:tc>
        <w:tc>
          <w:tcPr>
            <w:tcW w:w="48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Year ended</w:t>
            </w:r>
          </w:p>
        </w:tc>
        <w:tc>
          <w:tcPr>
            <w:tcW w:w="460" w:type="dxa"/>
            <w:vAlign w:val="bottom"/>
          </w:tcPr>
          <w:p>
            <w:pPr>
              <w:spacing w:after="0"/>
              <w:rPr>
                <w:sz w:val="14"/>
                <w:szCs w:val="14"/>
                <w:color w:val="auto"/>
              </w:rPr>
            </w:pPr>
          </w:p>
        </w:tc>
        <w:tc>
          <w:tcPr>
            <w:tcW w:w="90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 ended</w:t>
            </w:r>
          </w:p>
        </w:tc>
      </w:tr>
      <w:tr>
        <w:trPr>
          <w:trHeight w:val="148"/>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3160" w:type="dxa"/>
            <w:vAlign w:val="bottom"/>
            <w:gridSpan w:val="3"/>
          </w:tcPr>
          <w:p>
            <w:pPr>
              <w:ind w:left="232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1320" w:type="dxa"/>
            <w:vAlign w:val="bottom"/>
            <w:gridSpan w:val="3"/>
          </w:tcPr>
          <w:p>
            <w:pPr>
              <w:jc w:val="center"/>
              <w:ind w:left="359"/>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360" w:type="dxa"/>
            <w:vAlign w:val="bottom"/>
            <w:gridSpan w:val="4"/>
          </w:tcPr>
          <w:p>
            <w:pPr>
              <w:ind w:left="460"/>
              <w:spacing w:after="0" w:line="149" w:lineRule="exact"/>
              <w:rPr>
                <w:sz w:val="20"/>
                <w:szCs w:val="20"/>
                <w:color w:val="auto"/>
              </w:rPr>
            </w:pPr>
            <w:r>
              <w:rPr>
                <w:rFonts w:ascii="Arial" w:cs="Arial" w:eastAsia="Arial" w:hAnsi="Arial"/>
                <w:sz w:val="14"/>
                <w:szCs w:val="14"/>
                <w:b w:val="1"/>
                <w:bCs w:val="1"/>
                <w:color w:val="auto"/>
                <w:w w:val="96"/>
              </w:rPr>
              <w:t>December 31,</w:t>
            </w:r>
          </w:p>
        </w:tc>
      </w:tr>
      <w:tr>
        <w:trPr>
          <w:trHeight w:val="171"/>
        </w:trPr>
        <w:tc>
          <w:tcPr>
            <w:tcW w:w="20" w:type="dxa"/>
            <w:vAlign w:val="bottom"/>
          </w:tcPr>
          <w:p>
            <w:pPr>
              <w:spacing w:after="0"/>
              <w:rPr>
                <w:sz w:val="14"/>
                <w:szCs w:val="14"/>
                <w:color w:val="auto"/>
              </w:rPr>
            </w:pPr>
          </w:p>
        </w:tc>
        <w:tc>
          <w:tcPr>
            <w:tcW w:w="3400" w:type="dxa"/>
            <w:vAlign w:val="bottom"/>
            <w:tcBorders>
              <w:bottom w:val="single" w:sz="8" w:color="CCEEFF"/>
            </w:tcBorders>
          </w:tcPr>
          <w:p>
            <w:pPr>
              <w:spacing w:after="0"/>
              <w:rPr>
                <w:sz w:val="14"/>
                <w:szCs w:val="14"/>
                <w:color w:val="auto"/>
              </w:rPr>
            </w:pPr>
          </w:p>
        </w:tc>
        <w:tc>
          <w:tcPr>
            <w:tcW w:w="23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89"/>
              </w:rPr>
              <w:t>2019</w:t>
            </w:r>
          </w:p>
        </w:tc>
        <w:tc>
          <w:tcPr>
            <w:tcW w:w="4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2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2,259</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Australia</w:t>
            </w:r>
          </w:p>
        </w:tc>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2,055</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2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132,582</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179,009</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142,688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Asia</w:t>
            </w:r>
          </w:p>
        </w:tc>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63,610</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67,468</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135,614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South America</w:t>
            </w:r>
          </w:p>
        </w:tc>
        <w:tc>
          <w:tcPr>
            <w:tcW w:w="2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218,442</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232,394</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208,751</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Other</w:t>
            </w:r>
          </w:p>
        </w:tc>
        <w:tc>
          <w:tcPr>
            <w:tcW w:w="2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4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1,319</w:t>
            </w: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26,438</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480" w:type="dxa"/>
            <w:vAlign w:val="bottom"/>
            <w:gridSpan w:val="2"/>
            <w:shd w:val="clear" w:color="auto" w:fill="CCEEFF"/>
          </w:tcPr>
          <w:p>
            <w:pPr>
              <w:ind w:left="2320"/>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416,718</w:t>
            </w:r>
          </w:p>
        </w:tc>
        <w:tc>
          <w:tcPr>
            <w:tcW w:w="6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482,449</w:t>
            </w:r>
          </w:p>
        </w:tc>
        <w:tc>
          <w:tcPr>
            <w:tcW w:w="620" w:type="dxa"/>
            <w:vAlign w:val="bottom"/>
            <w:gridSpan w:val="2"/>
            <w:shd w:val="clear" w:color="auto" w:fill="CCEEFF"/>
          </w:tcPr>
          <w:p>
            <w:pPr>
              <w:ind w:left="460"/>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517,739</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Vessels operate on a worldwide basis and are not restricted to specific locations. Accordingly, it is not possible to allocate the assets of these operations to specific countries. The total net book value of long-lived assets for dry bulk vessels amounted to $627,569 and $741,347 at December 31, 2020 and 2019, respectively. For the Logistics Business, all long-lived assets are located in South America. The total net book value of long-lived assets for the Logistics Business amounted to $509,283 and $536,342 (including constructions in progress of $4,046, referred to in Note 7) at December 31, 2020 and 2019, respectively.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20: LOSS PER COMMON SHARE</w:t>
      </w:r>
    </w:p>
    <w:p>
      <w:pPr>
        <w:spacing w:after="0" w:line="121"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Loss per share is calculated by dividing net loss attributable to Navios Holdings common stockholders by the weighted average number of shares of Navios Holdings outstanding during the periods presented. Net (loss)/income attributable to Navios Holdings common stockholders is calculated by adding to (if a discount) or deducting from (if a premium) net (loss)/ income attributable to Navios Holdings common stockholders the difference between the fair value of the consideration paid upon redemption and the carrying value of the preferred stock, including the unamortized issuance costs of the preferred stock, and the amount of any undeclared dividend cancelled.</w:t>
      </w:r>
    </w:p>
    <w:p>
      <w:pPr>
        <w:spacing w:after="0" w:line="176"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For the year ended December 31, 2020, 569,998 potential common shares and 1,549 potential shares of convertible preferred stock have an anti-dilutive effect (i.e. those that increase income per share or decrease loss per share) and are therefore excluded from the calculation of diluted net loss per share.</w:t>
      </w:r>
    </w:p>
    <w:p>
      <w:pPr>
        <w:spacing w:after="0" w:line="184" w:lineRule="exact"/>
        <w:rPr>
          <w:sz w:val="20"/>
          <w:szCs w:val="20"/>
          <w:color w:val="auto"/>
        </w:rPr>
      </w:pPr>
    </w:p>
    <w:p>
      <w:pPr>
        <w:jc w:val="both"/>
        <w:ind w:left="120" w:right="300" w:firstLine="440"/>
        <w:spacing w:after="0" w:line="263" w:lineRule="auto"/>
        <w:rPr>
          <w:sz w:val="20"/>
          <w:szCs w:val="20"/>
          <w:color w:val="auto"/>
        </w:rPr>
      </w:pPr>
      <w:r>
        <w:rPr>
          <w:rFonts w:ascii="Arial" w:cs="Arial" w:eastAsia="Arial" w:hAnsi="Arial"/>
          <w:sz w:val="18"/>
          <w:szCs w:val="18"/>
          <w:color w:val="auto"/>
        </w:rPr>
        <w:t>For the year ended December 31, 2019, 843,097 potential common shares and 227,496 potential shares of convertible preferred stock have an anti-dilutive effect (i.e. those that increase income per share or decrease loss per share) and are therefore excluded from the calculation of diluted net loss per share.</w:t>
      </w:r>
    </w:p>
    <w:p>
      <w:pPr>
        <w:spacing w:after="0" w:line="184"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On December 21, 2018 the Company’s common stockholders approved a one-for-ten reverse stock split of the Company’s outstanding shares of common stock. Following the effectiveness of the reverse stock split, as of January 3, 2019, any historical per share information has been adjusted to reflect the Reverse Stock Split.</w:t>
      </w:r>
    </w:p>
    <w:p>
      <w:pPr>
        <w:spacing w:after="0" w:line="184" w:lineRule="exact"/>
        <w:rPr>
          <w:sz w:val="20"/>
          <w:szCs w:val="20"/>
          <w:color w:val="auto"/>
        </w:rPr>
      </w:pPr>
    </w:p>
    <w:p>
      <w:pPr>
        <w:jc w:val="both"/>
        <w:ind w:left="120" w:right="300" w:firstLine="440"/>
        <w:spacing w:after="0" w:line="263" w:lineRule="auto"/>
        <w:rPr>
          <w:sz w:val="20"/>
          <w:szCs w:val="20"/>
          <w:color w:val="auto"/>
        </w:rPr>
      </w:pPr>
      <w:r>
        <w:rPr>
          <w:rFonts w:ascii="Arial" w:cs="Arial" w:eastAsia="Arial" w:hAnsi="Arial"/>
          <w:sz w:val="18"/>
          <w:szCs w:val="18"/>
          <w:color w:val="auto"/>
        </w:rPr>
        <w:t>For the year ended December 31, 2018, 664,709 potential common shares and 349,900 potential shares of convertible preferred stock have an anti-dilutive effect (i.e. those that increase income per share or decrease loss per share) and are therefore excluded from the calculation of diluted net loss per share.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F-71</w:t>
      </w:r>
    </w:p>
    <w:p>
      <w:pPr>
        <w:sectPr>
          <w:pgSz w:w="11900" w:h="16838" w:orient="portrait"/>
          <w:cols w:equalWidth="0" w:num="1">
            <w:col w:w="11120"/>
          </w:cols>
          <w:pgMar w:left="320" w:top="459" w:right="45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NAVIOS MARITIME HOLDINGS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(Expressed in thousands of U.S. dollars — except share data)</w:t>
      </w:r>
    </w:p>
    <w:p>
      <w:pPr>
        <w:spacing w:after="0" w:line="122"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Year ended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Year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Year ended</w:t>
            </w:r>
          </w:p>
        </w:tc>
      </w:tr>
      <w:tr>
        <w:trPr>
          <w:trHeight w:val="148"/>
        </w:trPr>
        <w:tc>
          <w:tcPr>
            <w:tcW w:w="5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2"/>
                <w:szCs w:val="12"/>
                <w:color w:val="auto"/>
              </w:rPr>
            </w:pPr>
          </w:p>
        </w:tc>
        <w:tc>
          <w:tcPr>
            <w:tcW w:w="11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2"/>
                <w:szCs w:val="12"/>
                <w:color w:val="auto"/>
              </w:rPr>
            </w:pPr>
          </w:p>
        </w:tc>
        <w:tc>
          <w:tcPr>
            <w:tcW w:w="10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53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2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9"/>
              </w:rPr>
              <w:t>2019</w:t>
            </w: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CCEEFF"/>
            </w:tcBorders>
          </w:tcPr>
          <w:p>
            <w:pPr>
              <w:spacing w:after="0"/>
              <w:rPr>
                <w:sz w:val="14"/>
                <w:szCs w:val="14"/>
                <w:color w:val="auto"/>
              </w:rPr>
            </w:pPr>
          </w:p>
        </w:tc>
      </w:tr>
      <w:tr>
        <w:trPr>
          <w:trHeight w:val="196"/>
        </w:trPr>
        <w:tc>
          <w:tcPr>
            <w:tcW w:w="53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Net loss attributable to Navios Holdings common stockholders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(192,961)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(192,110)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(268,718)</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Less: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5320" w:type="dxa"/>
            <w:vAlign w:val="bottom"/>
          </w:tcPr>
          <w:p>
            <w:pPr>
              <w:spacing w:after="0" w:line="201" w:lineRule="exact"/>
              <w:rPr>
                <w:sz w:val="20"/>
                <w:szCs w:val="20"/>
                <w:color w:val="auto"/>
              </w:rPr>
            </w:pPr>
            <w:r>
              <w:rPr>
                <w:rFonts w:ascii="Arial" w:cs="Arial" w:eastAsia="Arial" w:hAnsi="Arial"/>
                <w:sz w:val="18"/>
                <w:szCs w:val="18"/>
                <w:color w:val="auto"/>
                <w:w w:val="99"/>
              </w:rPr>
              <w:t>Undeclared dividend on preferred stock and on unvested restricted</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5320" w:type="dxa"/>
            <w:vAlign w:val="bottom"/>
          </w:tcPr>
          <w:p>
            <w:pPr>
              <w:ind w:left="180"/>
              <w:spacing w:after="0"/>
              <w:rPr>
                <w:sz w:val="20"/>
                <w:szCs w:val="20"/>
                <w:color w:val="auto"/>
              </w:rPr>
            </w:pPr>
            <w:r>
              <w:rPr>
                <w:rFonts w:ascii="Arial" w:cs="Arial" w:eastAsia="Arial" w:hAnsi="Arial"/>
                <w:sz w:val="18"/>
                <w:szCs w:val="18"/>
                <w:color w:val="auto"/>
              </w:rPr>
              <w:t>shares</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(5,144)</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(7,178)</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(10,241)</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Plus: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5320" w:type="dxa"/>
            <w:vAlign w:val="bottom"/>
          </w:tcPr>
          <w:p>
            <w:pPr>
              <w:spacing w:after="0" w:line="201" w:lineRule="exact"/>
              <w:rPr>
                <w:sz w:val="20"/>
                <w:szCs w:val="20"/>
                <w:color w:val="auto"/>
              </w:rPr>
            </w:pPr>
            <w:r>
              <w:rPr>
                <w:rFonts w:ascii="Arial" w:cs="Arial" w:eastAsia="Arial" w:hAnsi="Arial"/>
                <w:sz w:val="18"/>
                <w:szCs w:val="18"/>
                <w:color w:val="auto"/>
              </w:rPr>
              <w:t>Tender Offer — Redemption of preferred stock Series G and H</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5320" w:type="dxa"/>
            <w:vAlign w:val="bottom"/>
          </w:tcPr>
          <w:p>
            <w:pPr>
              <w:ind w:left="180"/>
              <w:spacing w:after="0"/>
              <w:rPr>
                <w:sz w:val="20"/>
                <w:szCs w:val="20"/>
                <w:color w:val="auto"/>
              </w:rPr>
            </w:pPr>
            <w:r>
              <w:rPr>
                <w:rFonts w:ascii="Arial" w:cs="Arial" w:eastAsia="Arial" w:hAnsi="Arial"/>
                <w:sz w:val="18"/>
                <w:szCs w:val="18"/>
                <w:color w:val="auto"/>
              </w:rPr>
              <w:t>including $16,863 of undeclared preferred dividend cancelled</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45,680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w w:val="99"/>
              </w:rPr>
              <w:t>Gain from eliminated dividend on preferred stock due to conversion</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02"/>
        </w:trPr>
        <w:tc>
          <w:tcPr>
            <w:tcW w:w="5320" w:type="dxa"/>
            <w:vAlign w:val="bottom"/>
          </w:tcPr>
          <w:p>
            <w:pPr>
              <w:spacing w:after="0" w:line="201" w:lineRule="exact"/>
              <w:rPr>
                <w:sz w:val="20"/>
                <w:szCs w:val="20"/>
                <w:color w:val="auto"/>
              </w:rPr>
            </w:pPr>
            <w:r>
              <w:rPr>
                <w:rFonts w:ascii="Arial" w:cs="Arial" w:eastAsia="Arial" w:hAnsi="Arial"/>
                <w:sz w:val="18"/>
                <w:szCs w:val="18"/>
                <w:color w:val="auto"/>
                <w:w w:val="95"/>
              </w:rPr>
              <w:t>Loss attributable to Navios Holdings common stockholders, basic and</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5320" w:type="dxa"/>
            <w:vAlign w:val="bottom"/>
          </w:tcPr>
          <w:p>
            <w:pPr>
              <w:ind w:left="180"/>
              <w:spacing w:after="0"/>
              <w:rPr>
                <w:sz w:val="20"/>
                <w:szCs w:val="20"/>
                <w:color w:val="auto"/>
              </w:rPr>
            </w:pPr>
            <w:r>
              <w:rPr>
                <w:rFonts w:ascii="Arial" w:cs="Arial" w:eastAsia="Arial" w:hAnsi="Arial"/>
                <w:sz w:val="18"/>
                <w:szCs w:val="18"/>
                <w:color w:val="auto"/>
              </w:rPr>
              <w:t>diluted</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(197,939)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(153,608)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(278,959)</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5320" w:type="dxa"/>
            <w:vAlign w:val="bottom"/>
          </w:tcPr>
          <w:p>
            <w:pPr>
              <w:spacing w:after="0" w:line="201" w:lineRule="exact"/>
              <w:rPr>
                <w:sz w:val="20"/>
                <w:szCs w:val="20"/>
                <w:color w:val="auto"/>
              </w:rPr>
            </w:pPr>
            <w:r>
              <w:rPr>
                <w:rFonts w:ascii="Arial" w:cs="Arial" w:eastAsia="Arial" w:hAnsi="Arial"/>
                <w:sz w:val="18"/>
                <w:szCs w:val="18"/>
                <w:color w:val="auto"/>
                <w:w w:val="99"/>
              </w:rPr>
              <w:t>Denominator for basic and diluted net loss per share attributable to</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5320" w:type="dxa"/>
            <w:vAlign w:val="bottom"/>
          </w:tcPr>
          <w:p>
            <w:pPr>
              <w:ind w:left="180"/>
              <w:spacing w:after="0"/>
              <w:rPr>
                <w:sz w:val="20"/>
                <w:szCs w:val="20"/>
                <w:color w:val="auto"/>
              </w:rPr>
            </w:pPr>
            <w:r>
              <w:rPr>
                <w:rFonts w:ascii="Arial" w:cs="Arial" w:eastAsia="Arial" w:hAnsi="Arial"/>
                <w:sz w:val="18"/>
                <w:szCs w:val="18"/>
                <w:color w:val="auto"/>
                <w:w w:val="94"/>
              </w:rPr>
              <w:t>Navios Holdings common stockholders — adjusted weighted shares</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12,896,568</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6"/>
              </w:rPr>
              <w:t>12,356,024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11,958,959</w:t>
            </w:r>
          </w:p>
        </w:tc>
        <w:tc>
          <w:tcPr>
            <w:tcW w:w="120" w:type="dxa"/>
            <w:vAlign w:val="bottom"/>
          </w:tcPr>
          <w:p>
            <w:pPr>
              <w:spacing w:after="0"/>
              <w:rPr>
                <w:sz w:val="20"/>
                <w:szCs w:val="20"/>
                <w:color w:val="auto"/>
              </w:rPr>
            </w:pPr>
          </w:p>
        </w:tc>
      </w:tr>
      <w:tr>
        <w:trPr>
          <w:trHeight w:val="202"/>
        </w:trPr>
        <w:tc>
          <w:tcPr>
            <w:tcW w:w="5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Basic and diluted net loss per share attributable to Navios Holdings</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stockholders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(15.35)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(23.33)</w:t>
            </w: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21: INCOME TAXES</w:t>
      </w:r>
    </w:p>
    <w:p>
      <w:pPr>
        <w:spacing w:after="0" w:line="121" w:lineRule="exact"/>
        <w:rPr>
          <w:sz w:val="20"/>
          <w:szCs w:val="20"/>
          <w:color w:val="auto"/>
        </w:rPr>
      </w:pPr>
    </w:p>
    <w:p>
      <w:pPr>
        <w:ind w:left="120" w:right="260" w:firstLine="440"/>
        <w:spacing w:after="0" w:line="286" w:lineRule="auto"/>
        <w:rPr>
          <w:sz w:val="20"/>
          <w:szCs w:val="20"/>
          <w:color w:val="auto"/>
        </w:rPr>
      </w:pPr>
      <w:r>
        <w:rPr>
          <w:rFonts w:ascii="Arial" w:cs="Arial" w:eastAsia="Arial" w:hAnsi="Arial"/>
          <w:sz w:val="17"/>
          <w:szCs w:val="17"/>
          <w:color w:val="auto"/>
        </w:rPr>
        <w:t>Marshall Islands, Liberia, Panama and Malta do not impose a tax on international shipping income. Under the laws of Marshall Islands, Malta, Liberia and Panama, the countries of incorporation of the Company and its subsidiaries and the vessels’ registration, the companies are subject to registration and tonnage taxes in the accompanying consolidated statements of comprehensive (loss)/income.</w:t>
      </w:r>
    </w:p>
    <w:p>
      <w:pPr>
        <w:spacing w:after="0" w:line="165"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Certain of the Company’s subsidiaries have registered offices in Greece under Greek Law 27/75 as amended and in force (former law 89/67). These companies are allowed to conduct the specific business activities provided in their license and the provisions of the above legislation. Same law (27/75) provides that these companies are exempted in Greece from any tax, duty, levy, contribution or deduction in respect of income.</w:t>
      </w:r>
    </w:p>
    <w:p>
      <w:pPr>
        <w:spacing w:after="0" w:line="149"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In accordance with the currently applicable Greek law, ship owning companies of foreign-flagged vessels that are managed by Greek or foreign ship management companies having established an office/branch in Greece under law 27/75 are subject to duties towards the Greek state which are calculated on the basis of the relevant vessel’s tonnage. In case that tonnage tax and/or similar taxes/duties are paid by the shipowning companies to the vessel’s flag state, these are deducted from the amount of the duty to be paid in Greece by the ship owner. The payment of said duties exhausts the tax liability of the foreign ship owning company and as of 2020 the relevant bareboat charterer/lessee against any tax, duty, charge or contribution payable on income from the exploitation of the foreign-flagged vessel.</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 Belgium, taxation on ocean shipping is based on the tonnage of the sea-going vessels from which the profit is obtained (“tonnage tax”).</w:t>
      </w:r>
    </w:p>
    <w:p>
      <w:pPr>
        <w:spacing w:after="0" w:line="23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Pursuant to Section 883 of the Internal Revenue Code of the United States (the “Code”), U.S. source income from the international operation of ships is generally exempt from U.S. federal income tax if the company that is treated for U.S. federal income tax purposes as earning such income meets certain requirements set forth in Section 883 of the Code and the U.S. Treasury regulations thereunder. Among other things, in order to qualify for this exemption, each relevant company must be incorporated in a country outside the United States which grants an “equivalent exemption” from income taxes to U.S. corporations. In addition, either (i) the stock of each relevant company must be treated under Section 883 of the Code and the U.S. Treasury regulations thereunder as “primarily traded” and “regularly traded” on an “established securities market” in the United States or in another country that grants an “equivalent exemption” or (ii) more than 50% of the value of the stock of each relevant company must be owned, directly or indirectly, by (a) individuals who are residents in countries that grant an “equivalent exemption,” (b) foreign corporations organized in countries that grant an “equivalent exemption” and that meet the test described in (i) and/or (c) certain other shareholders described in Section 883 of the Code and the U.S. Treasury regulations thereunder. The management of the Company believes that the Company and each of its relevant subsidiaries qualifies for the tax exemption under Section 883 of the Code, provided that the Company’s common stock continues to be listed on the NYSE and represents more than 50% of the total combined voting power of all classes of the Company’s stock entitled to vote and of the total value of the Company’s stock, and less than 50% of the Company’s common stock is owned, actually or constructively under specified stock attribution rules, on more than half the number of days in the relevant year by persons who each own 5% or more of the vote and value of the Company’s common stock, but no assurance can be given that the Company will satisfy these requirements or qualify for this exemption.</w:t>
      </w:r>
    </w:p>
    <w:p>
      <w:pPr>
        <w:spacing w:after="0" w:line="1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F-72</w:t>
      </w:r>
    </w:p>
    <w:p>
      <w:pPr>
        <w:sectPr>
          <w:pgSz w:w="11900" w:h="16838" w:orient="portrait"/>
          <w:cols w:equalWidth="0" w:num="1">
            <w:col w:w="11100"/>
          </w:cols>
          <w:pgMar w:left="320" w:top="459" w:right="47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NAVIOS MARITIME HOLDINGS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(Expressed in thousands of U.S. dollars — except share data)</w:t>
      </w:r>
    </w:p>
    <w:p>
      <w:pPr>
        <w:spacing w:after="0" w:line="143"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income tax (expense)/ benefit reflected in the Company’s consolidated financial statements for the years ended December 31, 2020, 2019, and 2018 is mainly attributable to Navios Holdings’ subsidiaries in South America, which are subject to the Argentinean, Brazilian and Paraguayan income tax regime.</w:t>
      </w:r>
    </w:p>
    <w:p>
      <w:pPr>
        <w:spacing w:after="0" w:line="184"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CNSA and Corporacion Navios Granos S.A. (“CNGSA”) are located in a tax free zone and are not liable to income tax. Navios Logistics’ current port operations in Uruguay are exempted from income taxes.</w:t>
      </w:r>
    </w:p>
    <w:p>
      <w:pPr>
        <w:spacing w:after="0" w:line="170"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As a result of the tax reform voted by the Argentinean Parliament in December 2017, and the Law 27,541 voted in December 2019, the corporate income tax rate has decreased from 35% in 2017 to 30% for the period from 2018 to 2021, and will further decrease to 25% for the period from 2022 onwards. Tax rates and tax laws used to assess the income tax liability are those that are effective on the close of the fiscal period. Additionally, at the end of the fiscal year, local companies in Argentina had to calculate an assets tax (Minimum Presumed Income Tax) by applying the effective tax rate of 1.0% over the gross value of the corporate assets (based on tax law criteria). Following the tax reform voted by the Argentinean Parliament in December 2017, and the subsequent resolution in-force since May 2018, this tax does not longer apply as of the fiscal year 2019.</w:t>
      </w:r>
    </w:p>
    <w:p>
      <w:pPr>
        <w:spacing w:after="0" w:line="164"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Under the tax laws of Argentina, the subsidiaries of the Company in that country are subject to taxes levied on gross revenues. Rates differ depending on the jurisdiction where revenues are earned for tax purposes. Average rates were approximately 2.0% for the year ended December 31, 2020 (2.0% for 2019 and 3.0% for 2018, respectively). Until the fiscal year ended December 31, 2019, there were two possible options to determine the income tax liability of Paraguayan subsidiaries. Under the first option income tax liabilities for the current and prior periods were measured at the amount expected to be paid to the taxation authorities, by applying the tax rate of 10% on the fiscal profit and loss. 50% of revenues derived from international freights were considered Paraguayan sourced (and therefore taxed) if carried between Paraguay and Argentina, Bolivia, Brazil or Uruguay, with destination Paraguay. Alternatively, only 30% of revenues derived from international freights carried between other countries with destination Paraguay were considered Paraguayan sourced. Companies whose operations were considered international freights could choose to pay income taxes on their revenues at an effective tax rate of 1% on such revenues, without considering any other kind of adjustments. Fiscal losses, if any, were neither deducted nor carried forward.</w:t>
      </w:r>
    </w:p>
    <w:p>
      <w:pPr>
        <w:spacing w:after="0" w:line="185"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As per the tax reform in Paraguay that is in force since January 1, 2020 (Law 6,380 from September 25, 2019 confirmed by Decree 3182 from December 30, 2019), there are still two possible options to determine the income tax liability of Paraguayan companies. Under the first option income tax liabilities for the current and prior periods are measured at the amount expected to be paid to the taxation authorities, by applying the tax rate of 10% on the fiscal profit and loss. The 100% of revenues derived from freights carried between other countries with destination Paraguay are considered Paraguayan sourced, and therefore taxed. The tax reform also states that any fiscal losses generated as of the fiscal year starting January 1, 2020, will be carried forward for up to five years, with the possibility to deduct each year the 20% from future years fiscal years taxable income. Companies whose operations are considered international freights can alternatively choose to pay income taxes on their revenues at an effective tax rate of 3% of such revenues, without considering any other kind of adjustments. Once the methodology is chosen, the Paraguayan companies have to keep it for at least five years. The corporate income tax rate in Brazil and Paraguay is 34% and 10%, respectively, for the year ended December 31, 2020. The Company’s deferred taxes as of December 31, 2020 and 2019, relate primarily to deferred tax liabilities on acquired intangible assets recognized in connection with Navios Logistics. As of January 1, 2007, the Company adopted the provisions of FASB for Accounting for Uncertainty in Income Taxes. This guidance requires application of a more likely than not threshold to the recognition and derecognition of uncertain tax positions. This guidance permits the Company to recognize the amount of tax benefit that has a greater that 50% likelihood of being ultimately realized upon settlement. It further requires that a change in judgment related to the expected ultimate resolution of uncertain tax positions be recognized in earnings in the quarter of such change. Kleimar’s open tax years are 2019 and onwards. Argentinean companies have open tax years ranging from 2014 and onwards and Paraguayan and Brazilian companies have open tax years ranging from 2016 and onwards. In relation to these open tax years, the Company believes that there are no material uncertain tax positions.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22: OTHER INCOME — OTHER EXPENSE</w:t>
      </w:r>
    </w:p>
    <w:p>
      <w:pPr>
        <w:spacing w:after="0" w:line="121" w:lineRule="exact"/>
        <w:rPr>
          <w:sz w:val="20"/>
          <w:szCs w:val="20"/>
          <w:color w:val="auto"/>
        </w:rPr>
      </w:pPr>
    </w:p>
    <w:p>
      <w:pPr>
        <w:ind w:left="120" w:right="160" w:firstLine="440"/>
        <w:spacing w:after="0" w:line="308" w:lineRule="auto"/>
        <w:rPr>
          <w:sz w:val="20"/>
          <w:szCs w:val="20"/>
          <w:color w:val="auto"/>
        </w:rPr>
      </w:pPr>
      <w:r>
        <w:rPr>
          <w:rFonts w:ascii="Arial" w:cs="Arial" w:eastAsia="Arial" w:hAnsi="Arial"/>
          <w:sz w:val="17"/>
          <w:szCs w:val="17"/>
          <w:color w:val="auto"/>
        </w:rPr>
        <w:t>During the years ended December 31, 2020, 2019 and 2018, taxes other-than-income taxes of Navios Logistics amounted to $5,762, $7,745, and $7,056, respectively, and were included in the statements of comprehensive (loss)/income within the caption “Other expense”.</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23: SUBSEQUENT EVENTS</w:t>
      </w:r>
    </w:p>
    <w:p>
      <w:pPr>
        <w:spacing w:after="0" w:line="135" w:lineRule="exact"/>
        <w:rPr>
          <w:sz w:val="20"/>
          <w:szCs w:val="20"/>
          <w:color w:val="auto"/>
        </w:rPr>
      </w:pPr>
    </w:p>
    <w:p>
      <w:pPr>
        <w:ind w:left="1080" w:right="20" w:hanging="424"/>
        <w:spacing w:after="0" w:line="263" w:lineRule="auto"/>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In April 2021, Navios Holdings agreed to sell to Navios Partners, a 2011-built Capesize vessel for a price of $28,500. The vessel, currently chartered-in by Navios Holdings, will be delivered to the new owners upon acquisition, which is expected within the second quarter of 2021.</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F-73</w:t>
      </w:r>
    </w:p>
    <w:p>
      <w:pPr>
        <w:sectPr>
          <w:pgSz w:w="11900" w:h="16838" w:orient="portrait"/>
          <w:cols w:equalWidth="0" w:num="1">
            <w:col w:w="11120"/>
          </w:cols>
          <w:pgMar w:left="320" w:top="459" w:right="45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NAVIOS MARITIME HOLDINGS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(Expressed in thousands of U.S. dollars — except share data)</w:t>
      </w:r>
    </w:p>
    <w:p>
      <w:pPr>
        <w:spacing w:after="0" w:line="143" w:lineRule="exact"/>
        <w:rPr>
          <w:sz w:val="20"/>
          <w:szCs w:val="20"/>
          <w:color w:val="auto"/>
        </w:rPr>
      </w:pPr>
    </w:p>
    <w:p>
      <w:pPr>
        <w:ind w:left="1080" w:hanging="424"/>
        <w:spacing w:after="0"/>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On March 31, 2021, Navios Partners completed the acquisition of Navios Containers (Refer to Note 9).</w:t>
      </w:r>
    </w:p>
    <w:p>
      <w:pPr>
        <w:spacing w:after="0" w:line="130" w:lineRule="exact"/>
        <w:rPr>
          <w:rFonts w:ascii="Arial" w:cs="Arial" w:eastAsia="Arial" w:hAnsi="Arial"/>
          <w:sz w:val="18"/>
          <w:szCs w:val="18"/>
          <w:color w:val="auto"/>
        </w:rPr>
      </w:pPr>
    </w:p>
    <w:p>
      <w:pPr>
        <w:ind w:left="1080" w:right="140" w:hanging="424"/>
        <w:spacing w:after="0" w:line="263" w:lineRule="auto"/>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On March 22, 2021, Navios Logistics completed the acquisition of the Navios Logistics’ 2020 Fleet, operating in the Hidrovia Waterway, for a purchase price of $30,000. The acquisition was funded with $15,000 from existing cash paid at closing and sellers’ financing of $15,000, bearing interest at a fixed rate of 5% per annum, payable in three equal annual installments.</w:t>
      </w:r>
    </w:p>
    <w:p>
      <w:pPr>
        <w:spacing w:after="0" w:line="89" w:lineRule="exact"/>
        <w:rPr>
          <w:rFonts w:ascii="Arial" w:cs="Arial" w:eastAsia="Arial" w:hAnsi="Arial"/>
          <w:sz w:val="18"/>
          <w:szCs w:val="18"/>
          <w:color w:val="auto"/>
        </w:rPr>
      </w:pPr>
    </w:p>
    <w:p>
      <w:pPr>
        <w:ind w:left="1080" w:hanging="424"/>
        <w:spacing w:after="0" w:line="342" w:lineRule="auto"/>
        <w:tabs>
          <w:tab w:leader="none" w:pos="108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In March 2021, the Company entered into supplemental agreements with Alpha Bank A.E. concerning the two existing facility agreements, according to which certain covenants and the repayment schedules have been amended. The maturity of the facilities is due in June 2021.</w:t>
      </w:r>
    </w:p>
    <w:p>
      <w:pPr>
        <w:spacing w:after="0" w:line="29" w:lineRule="exact"/>
        <w:rPr>
          <w:rFonts w:ascii="Arial" w:cs="Arial" w:eastAsia="Arial" w:hAnsi="Arial"/>
          <w:sz w:val="16"/>
          <w:szCs w:val="16"/>
          <w:color w:val="auto"/>
        </w:rPr>
      </w:pPr>
    </w:p>
    <w:p>
      <w:pPr>
        <w:jc w:val="both"/>
        <w:ind w:left="1080" w:right="240" w:hanging="424"/>
        <w:spacing w:after="0" w:line="263" w:lineRule="auto"/>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In March 2021, the Company agreed to sell to an unrelated third party the Navios Serenity, a 2011 built Handysize vessel of 34,690 dwt, for a net sale price of $10,388. The vessel is expected to be delivered to the buyers in the second quarter of 2021. The loss due to sale is expected to be approximately $6,958.</w:t>
      </w:r>
    </w:p>
    <w:p>
      <w:pPr>
        <w:spacing w:after="0" w:line="89" w:lineRule="exact"/>
        <w:rPr>
          <w:rFonts w:ascii="Arial" w:cs="Arial" w:eastAsia="Arial" w:hAnsi="Arial"/>
          <w:sz w:val="18"/>
          <w:szCs w:val="18"/>
          <w:color w:val="auto"/>
        </w:rPr>
      </w:pPr>
    </w:p>
    <w:p>
      <w:pPr>
        <w:ind w:left="1080" w:right="140" w:hanging="424"/>
        <w:spacing w:after="0" w:line="301" w:lineRule="auto"/>
        <w:tabs>
          <w:tab w:leader="none" w:pos="108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In March 2021, the Company completed the sale to Navios Partners of the Navios Centaurus, a 2012 built Panamax vessel of 81,472 dwt, and the Navios Avior, a 2012 built Panamax vessel of 81,355 dwt, for a sale price of $39,250, including working capital adjustments and the Company repaid in full the outstanding loan balances of $22,500 in total under the Credit Agricole Facilities dated December and August 2011, respectively. The loss due to sale is expected to be approximately $13,498. Please see also Note 11 above.</w:t>
      </w:r>
    </w:p>
    <w:p>
      <w:pPr>
        <w:spacing w:after="0" w:line="62" w:lineRule="exact"/>
        <w:rPr>
          <w:rFonts w:ascii="Arial" w:cs="Arial" w:eastAsia="Arial" w:hAnsi="Arial"/>
          <w:sz w:val="16"/>
          <w:szCs w:val="16"/>
          <w:color w:val="auto"/>
        </w:rPr>
      </w:pPr>
    </w:p>
    <w:p>
      <w:pPr>
        <w:jc w:val="both"/>
        <w:ind w:left="1080" w:right="60" w:hanging="424"/>
        <w:spacing w:after="0" w:line="263" w:lineRule="auto"/>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In February 2021, the Company completed the sale to an unrelated third party of the Navios Astra, a 2006-built Ultra Handymax vessel of 53,468 dwt, for a net sale price of approximately $6,445 and repaid in full the outstanding loan balance of $4,504 under the DVB Bank SE Facility dated March 23, 2012. Please see also Note 7 and Note 11 above.</w:t>
      </w:r>
    </w:p>
    <w:p>
      <w:pPr>
        <w:spacing w:after="0" w:line="89"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In January 2021, the Company repaid in full the outstanding balance of $9,945 under the Hamburg Commercial Bank AG Facility. Please see also Note 11 above.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In January 2021, the last barge of the six liquid barges was delivered to Navios Logistics.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F-74</w:t>
      </w:r>
    </w:p>
    <w:p>
      <w:pPr>
        <w:sectPr>
          <w:pgSz w:w="11900" w:h="16838" w:orient="portrait"/>
          <w:cols w:equalWidth="0" w:num="1">
            <w:col w:w="11140"/>
          </w:cols>
          <w:pgMar w:left="320" w:top="459" w:right="439" w:bottom="1440" w:gutter="0" w:footer="0" w:header="0"/>
        </w:sectPr>
      </w:pPr>
    </w:p>
    <w:bookmarkStart w:id="237" w:name="page238"/>
    <w:bookmarkEnd w:id="237"/>
    <w:p>
      <w:pPr>
        <w:jc w:val="right"/>
        <w:spacing w:after="0"/>
        <w:rPr>
          <w:sz w:val="20"/>
          <w:szCs w:val="20"/>
          <w:color w:val="auto"/>
        </w:rPr>
      </w:pPr>
      <w:r>
        <w:rPr>
          <w:rFonts w:ascii="Arial" w:cs="Arial" w:eastAsia="Arial" w:hAnsi="Arial"/>
          <w:sz w:val="18"/>
          <w:szCs w:val="18"/>
          <w:b w:val="1"/>
          <w:bCs w:val="1"/>
          <w:color w:val="auto"/>
        </w:rPr>
        <w:t>Exhibit 1.2</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AMENDED AND RESTATED BYLAWS OF</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NAVIOS MARITIME HOLDINGS INC.</w:t>
      </w:r>
    </w:p>
    <w:p>
      <w:pPr>
        <w:spacing w:after="0" w:line="20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OFFICES</w:t>
      </w:r>
    </w:p>
    <w:p>
      <w:pPr>
        <w:spacing w:after="0" w:line="211" w:lineRule="exact"/>
        <w:rPr>
          <w:sz w:val="20"/>
          <w:szCs w:val="20"/>
          <w:color w:val="auto"/>
        </w:rPr>
      </w:pPr>
    </w:p>
    <w:p>
      <w:pPr>
        <w:ind w:left="4" w:right="220"/>
        <w:spacing w:after="0" w:line="263"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i w:val="1"/>
          <w:iCs w:val="1"/>
          <w:color w:val="auto"/>
        </w:rPr>
        <w:t>Registered Office</w:t>
      </w:r>
      <w:r>
        <w:rPr>
          <w:rFonts w:ascii="Arial" w:cs="Arial" w:eastAsia="Arial" w:hAnsi="Arial"/>
          <w:sz w:val="18"/>
          <w:szCs w:val="18"/>
          <w:color w:val="auto"/>
        </w:rPr>
        <w:t>. The registered office of Navios Maritime Holdings Inc. (the “Corporation”) in the Republic of Marshall Islands shall be established and maintained at Trust Company Complex, Ajeltake Island, P.O. Box 1405, Majuro, Marshall Islands, MH 96960, and Trust Company of the Marshall Islands, Inc. shall be the registered agent of the Corporation in the Republic of the Marshall Islands.</w:t>
      </w:r>
    </w:p>
    <w:p>
      <w:pPr>
        <w:spacing w:after="0" w:line="76" w:lineRule="exact"/>
        <w:rPr>
          <w:sz w:val="20"/>
          <w:szCs w:val="20"/>
          <w:color w:val="auto"/>
        </w:rPr>
      </w:pPr>
    </w:p>
    <w:p>
      <w:pPr>
        <w:ind w:left="4" w:right="80"/>
        <w:spacing w:after="0" w:line="308"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i w:val="1"/>
          <w:iCs w:val="1"/>
          <w:color w:val="auto"/>
        </w:rPr>
        <w:t>Other Offices</w:t>
      </w:r>
      <w:r>
        <w:rPr>
          <w:rFonts w:ascii="Arial" w:cs="Arial" w:eastAsia="Arial" w:hAnsi="Arial"/>
          <w:sz w:val="17"/>
          <w:szCs w:val="17"/>
          <w:color w:val="auto"/>
        </w:rPr>
        <w:t>. The Corporation may also have offices at such other places both within and without the Republic of the Marshall Islands as the board of directors of the Corporation (the “Board of Directors”) may from time to time determine or the business of the Corporation may require.</w:t>
      </w:r>
    </w:p>
    <w:p>
      <w:pPr>
        <w:spacing w:after="0" w:line="358"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6"/>
        <w:spacing w:after="0"/>
        <w:rPr>
          <w:sz w:val="20"/>
          <w:szCs w:val="20"/>
          <w:color w:val="auto"/>
        </w:rPr>
      </w:pPr>
      <w:r>
        <w:rPr>
          <w:rFonts w:ascii="Arial" w:cs="Arial" w:eastAsia="Arial" w:hAnsi="Arial"/>
          <w:sz w:val="18"/>
          <w:szCs w:val="18"/>
          <w:b w:val="1"/>
          <w:bCs w:val="1"/>
          <w:color w:val="auto"/>
        </w:rPr>
        <w:t>MEETINGS OF SHAREHOLDERS</w:t>
      </w:r>
    </w:p>
    <w:p>
      <w:pPr>
        <w:spacing w:after="0" w:line="211" w:lineRule="exact"/>
        <w:rPr>
          <w:sz w:val="20"/>
          <w:szCs w:val="20"/>
          <w:color w:val="auto"/>
        </w:rPr>
      </w:pPr>
    </w:p>
    <w:p>
      <w:pPr>
        <w:ind w:left="4" w:right="120"/>
        <w:spacing w:after="0" w:line="263"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i w:val="1"/>
          <w:iCs w:val="1"/>
          <w:color w:val="auto"/>
        </w:rPr>
        <w:t>Place of Meetings</w:t>
      </w:r>
      <w:r>
        <w:rPr>
          <w:rFonts w:ascii="Arial" w:cs="Arial" w:eastAsia="Arial" w:hAnsi="Arial"/>
          <w:sz w:val="18"/>
          <w:szCs w:val="18"/>
          <w:color w:val="auto"/>
        </w:rPr>
        <w:t>. All meetings of the shareholders shall be held at such time and place, either within or without the Republic of the Marshall Islands, as shall be designated from time to time by the Board of Directors and stated in the notice of the meeting or in a duly executed waiver of notice thereof.</w:t>
      </w:r>
    </w:p>
    <w:p>
      <w:pPr>
        <w:spacing w:after="0" w:line="76" w:lineRule="exact"/>
        <w:rPr>
          <w:sz w:val="20"/>
          <w:szCs w:val="20"/>
          <w:color w:val="auto"/>
        </w:rPr>
      </w:pPr>
    </w:p>
    <w:p>
      <w:pPr>
        <w:ind w:left="4" w:right="140"/>
        <w:spacing w:after="0" w:line="263"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i w:val="1"/>
          <w:iCs w:val="1"/>
          <w:color w:val="auto"/>
        </w:rPr>
        <w:t>Annual Meetings</w:t>
      </w:r>
      <w:r>
        <w:rPr>
          <w:rFonts w:ascii="Arial" w:cs="Arial" w:eastAsia="Arial" w:hAnsi="Arial"/>
          <w:sz w:val="18"/>
          <w:szCs w:val="18"/>
          <w:color w:val="auto"/>
        </w:rPr>
        <w:t>. The annual meeting of shareholders shall be held on such date and at such time as may be fixed by the Board of Directors and stated in the notice of the meeting, for the purpose of electing directors and for the transaction of only such other business as is properly brought before the meeting in accordance with these Bylaws (the “Bylaws”).</w:t>
      </w:r>
    </w:p>
    <w:p>
      <w:pPr>
        <w:spacing w:after="0" w:line="184" w:lineRule="exact"/>
        <w:rPr>
          <w:sz w:val="20"/>
          <w:szCs w:val="20"/>
          <w:color w:val="auto"/>
        </w:rPr>
      </w:pPr>
    </w:p>
    <w:p>
      <w:pPr>
        <w:ind w:left="4" w:right="240"/>
        <w:spacing w:after="0" w:line="277" w:lineRule="auto"/>
        <w:rPr>
          <w:sz w:val="20"/>
          <w:szCs w:val="20"/>
          <w:color w:val="auto"/>
        </w:rPr>
      </w:pPr>
      <w:r>
        <w:rPr>
          <w:rFonts w:ascii="Arial" w:cs="Arial" w:eastAsia="Arial" w:hAnsi="Arial"/>
          <w:sz w:val="18"/>
          <w:szCs w:val="18"/>
          <w:color w:val="auto"/>
        </w:rPr>
        <w:t>Written notice of an annual meeting stating the place, date and hour of the meeting, shall be given to each shareholder entitled to vote at such meeting not less than fifteen (15) nor more than sixty (60) days before the date of the annual meeting.</w:t>
      </w:r>
    </w:p>
    <w:p>
      <w:pPr>
        <w:spacing w:after="0" w:line="170" w:lineRule="exact"/>
        <w:rPr>
          <w:sz w:val="20"/>
          <w:szCs w:val="20"/>
          <w:color w:val="auto"/>
        </w:rPr>
      </w:pPr>
    </w:p>
    <w:p>
      <w:pPr>
        <w:ind w:left="4" w:right="120"/>
        <w:spacing w:after="0" w:line="273" w:lineRule="auto"/>
        <w:rPr>
          <w:sz w:val="20"/>
          <w:szCs w:val="20"/>
          <w:color w:val="auto"/>
        </w:rPr>
      </w:pPr>
      <w:r>
        <w:rPr>
          <w:rFonts w:ascii="Arial" w:cs="Arial" w:eastAsia="Arial" w:hAnsi="Arial"/>
          <w:sz w:val="17"/>
          <w:szCs w:val="17"/>
          <w:color w:val="auto"/>
        </w:rPr>
        <w:t>To be properly brought before the annual meeting, business must be either (i) specified in the notice of annual meeting (or any supplement or amendment thereto) given by or at the direction of the Board of Directors, (ii) otherwise brought before the annual meeting by or at the direction of the Board of Directors, or (iii) otherwise properly brought before the annual meeting by a shareholder. In addition to any other applicable requirements, for business to be properly brought before an annual meeting by a shareholder, the shareholder must have given timely notice thereof in writing to the Secretary of the Corporation. To be timely, a shareholder’s notice must be delivered to or mailed and received at the principal executive offices of the Corporation not less than ninety (90) nor more than one hundred twenty (120) days prior to such meeting.</w:t>
      </w:r>
    </w:p>
    <w:p>
      <w:pPr>
        <w:spacing w:after="0" w:line="178" w:lineRule="exact"/>
        <w:rPr>
          <w:sz w:val="20"/>
          <w:szCs w:val="20"/>
          <w:color w:val="auto"/>
        </w:rPr>
      </w:pPr>
    </w:p>
    <w:p>
      <w:pPr>
        <w:ind w:left="4" w:right="400"/>
        <w:spacing w:after="0" w:line="291" w:lineRule="auto"/>
        <w:rPr>
          <w:sz w:val="20"/>
          <w:szCs w:val="20"/>
          <w:color w:val="auto"/>
        </w:rPr>
      </w:pPr>
      <w:r>
        <w:rPr>
          <w:rFonts w:ascii="Arial" w:cs="Arial" w:eastAsia="Arial" w:hAnsi="Arial"/>
          <w:sz w:val="16"/>
          <w:szCs w:val="16"/>
          <w:color w:val="auto"/>
        </w:rPr>
        <w:t>A shareholder’s notice to the Secretary shall set forth (a) as to each matter the shareholder proposes to bring before the annual meeting (i) a brief description of the business desired to be brought before the annual meeting and the reasons for conducting such business at the annual meeting, and</w:t>
      </w:r>
    </w:p>
    <w:p>
      <w:pPr>
        <w:ind w:left="4" w:right="420" w:hanging="4"/>
        <w:spacing w:after="0" w:line="290" w:lineRule="auto"/>
        <w:tabs>
          <w:tab w:leader="none" w:pos="269" w:val="left"/>
        </w:tabs>
        <w:numPr>
          <w:ilvl w:val="0"/>
          <w:numId w:val="138"/>
        </w:numPr>
        <w:rPr>
          <w:rFonts w:ascii="Arial" w:cs="Arial" w:eastAsia="Arial" w:hAnsi="Arial"/>
          <w:sz w:val="16"/>
          <w:szCs w:val="16"/>
          <w:color w:val="auto"/>
        </w:rPr>
      </w:pPr>
      <w:r>
        <w:rPr>
          <w:rFonts w:ascii="Arial" w:cs="Arial" w:eastAsia="Arial" w:hAnsi="Arial"/>
          <w:sz w:val="16"/>
          <w:szCs w:val="16"/>
          <w:color w:val="auto"/>
        </w:rPr>
        <w:t>any material interest of the shareholder in such business, and (b) as to the shareholder giving the notice (i) the name and record address of the shareholder and (ii) the class, series and number of shares of capital stock of the Corporation which are beneficially owned by the shareholder. Notwithstanding anything in these Bylaws to the contrary, no business shall be conducted at the annual meeting except in accordance with the procedures set forth in this Article II, Section 2.2. If the officer of the Corporation presiding at an annual meeting determines that business was not properly brought before the annual meeting in accordance with the provisions of this Article II, Section 2.2, then such officer shall so declare to the annual meeting and any such business not properly brought before the meeting shall not be transacted.</w:t>
      </w:r>
    </w:p>
    <w:p>
      <w:pPr>
        <w:sectPr>
          <w:pgSz w:w="11900" w:h="16838" w:orient="portrait"/>
          <w:cols w:equalWidth="0" w:num="1">
            <w:col w:w="11024"/>
          </w:cols>
          <w:pgMar w:left="436" w:top="121" w:right="439" w:bottom="1440" w:gutter="0" w:footer="0" w:header="0"/>
        </w:sectPr>
      </w:pPr>
    </w:p>
    <w:bookmarkStart w:id="238" w:name="page239"/>
    <w:bookmarkEnd w:id="238"/>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2.3 </w:t>
      </w:r>
      <w:r>
        <w:rPr>
          <w:rFonts w:ascii="Arial" w:cs="Arial" w:eastAsia="Arial" w:hAnsi="Arial"/>
          <w:sz w:val="18"/>
          <w:szCs w:val="18"/>
          <w:i w:val="1"/>
          <w:iCs w:val="1"/>
          <w:color w:val="auto"/>
        </w:rPr>
        <w:t>Special Meetings. Special meetings of the shareholders, for any purpose or purposes, unless otherwise prescribed by the Business Corporations Act</w:t>
      </w:r>
      <w:r>
        <w:rPr>
          <w:rFonts w:ascii="Arial" w:cs="Arial" w:eastAsia="Arial" w:hAnsi="Arial"/>
          <w:sz w:val="18"/>
          <w:szCs w:val="18"/>
          <w:color w:val="auto"/>
        </w:rPr>
        <w:t xml:space="preserve"> </w:t>
      </w:r>
      <w:r>
        <w:rPr>
          <w:rFonts w:ascii="Arial" w:cs="Arial" w:eastAsia="Arial" w:hAnsi="Arial"/>
          <w:sz w:val="18"/>
          <w:szCs w:val="18"/>
          <w:i w:val="1"/>
          <w:iCs w:val="1"/>
          <w:color w:val="auto"/>
        </w:rPr>
        <w:t>of the Associations Law of the Republic of the Marshall Islands (the “BCA”) or by the Articles of Incorporation of the Corporation (the “Articles of Incorporation”), may only be called by a majority of the entire Board of Directors, or the Chief Executive Officer or the Chairman. Such request shall state the purpose or purposes of the proposed meeting.</w:t>
      </w:r>
    </w:p>
    <w:p>
      <w:pPr>
        <w:spacing w:after="0" w:line="187"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Unless otherwise provided by law, written notice of a special meeting of shareholders, stating the time, place and purpose or purposes thereof, shall be given to each shareholder entitled to vote at such meeting, not less than fifteen (15) or more than sixty (60) days before the date fixed for the meeting. Business transacted at any special meeting of shareholders shall be limited to the purposes stated in the notice.</w:t>
      </w:r>
    </w:p>
    <w:p>
      <w:pPr>
        <w:spacing w:after="0" w:line="5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i w:val="1"/>
          <w:iCs w:val="1"/>
          <w:color w:val="auto"/>
        </w:rPr>
        <w:t>Quorum</w:t>
      </w:r>
      <w:r>
        <w:rPr>
          <w:rFonts w:ascii="Arial" w:cs="Arial" w:eastAsia="Arial" w:hAnsi="Arial"/>
          <w:sz w:val="18"/>
          <w:szCs w:val="18"/>
          <w:color w:val="auto"/>
        </w:rPr>
        <w:t>. The holders of no fewer than one-third (1/3) of the capital stock issued and outstanding and entitled to vote thereat, present in person or represented by proxy, shall constitute a quorum at all meetings of the shareholders for the transaction of business except as otherwise provided by the BCA or by the Articles of Incorporation. If, however, such quorum shall not be present or represented at any meeting of the shareholders, the holders of a majority of the votes entitled to be cast by the shareholders entitled to vote thereat, present in person or represented by proxy, shall have power to adjourn the meeting from time to time, without notice other than announcement at the meeting, until a quorum shall be present or represented. At such adjourned meeting at which a quorum shall be present or represented, any business may be transacted which might have been transacted at the meeting as originally noticed.</w:t>
      </w:r>
    </w:p>
    <w:p>
      <w:pPr>
        <w:spacing w:after="0" w:line="8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i w:val="1"/>
          <w:iCs w:val="1"/>
          <w:color w:val="auto"/>
        </w:rPr>
        <w:t>Organization</w:t>
      </w:r>
      <w:r>
        <w:rPr>
          <w:rFonts w:ascii="Arial" w:cs="Arial" w:eastAsia="Arial" w:hAnsi="Arial"/>
          <w:sz w:val="16"/>
          <w:szCs w:val="16"/>
          <w:color w:val="auto"/>
        </w:rPr>
        <w:t>. The Board of Directors may designate any officer or director of the Corporation to act as chairman of any meeting of the shareholders, and the Board of Directors may further provide for determining who shall act as chairman of any shareholders meeting in the absence of such designee.</w:t>
      </w:r>
    </w:p>
    <w:p>
      <w:pPr>
        <w:spacing w:after="0" w:line="1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Secretary of the Corporation shall act as secretary of all meetings of the shareholders, but in the absence of the Secretary the presiding officer may appoint any other person to act as secretary of any meeting.</w:t>
      </w:r>
    </w:p>
    <w:p>
      <w:pPr>
        <w:spacing w:after="0" w:line="62"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i w:val="1"/>
          <w:iCs w:val="1"/>
          <w:color w:val="auto"/>
        </w:rPr>
        <w:t>Voting</w:t>
      </w:r>
      <w:r>
        <w:rPr>
          <w:rFonts w:ascii="Arial" w:cs="Arial" w:eastAsia="Arial" w:hAnsi="Arial"/>
          <w:sz w:val="16"/>
          <w:szCs w:val="16"/>
          <w:color w:val="auto"/>
        </w:rPr>
        <w:t>. Unless otherwise required by law, the Articles of Incorporation or these Bylaws, any question (other than the election of directors) brought before any meeting of shareholders shall be decided by the vote of the holders of a majority of the stock represented and entitled to vote thereat. At all meetings of shareholders for the election of directors, a plurality of the votes cast shall be sufficient to elect a director. Each shareholder represented at a meeting of shareholders shall be entitled to cast one vote for each share of the capital stock entitled to vote thereat held by such shareholder, unless otherwise provided by the Articles of Incorporation. Each shareholder entitled to vote at a meeting of shareholders or to express consent or dissent to corporate action in writing without a meeting may authorize any person or persons to act for him by proxy. All proxies shall be executed in writing and shall be filed with the Secretary of the Corporation not later than the day on which any such vote is exercised. No proxy shall be voted or acted upon after eleven months (11) months from its date, unless the proxy provides for a longer period. The Board of Directors, in its discretion, or the officer of the Corporation presiding at a meeting of shareholders, in his discretion, may require that any votes cast at such meeting shall be cast by written ballot.</w:t>
      </w:r>
    </w:p>
    <w:p>
      <w:pPr>
        <w:sectPr>
          <w:pgSz w:w="11900" w:h="16838" w:orient="portrait"/>
          <w:cols w:equalWidth="0" w:num="1">
            <w:col w:w="11000"/>
          </w:cols>
          <w:pgMar w:left="440" w:top="274" w:right="459" w:bottom="1440" w:gutter="0" w:footer="0" w:header="0"/>
        </w:sectPr>
      </w:pPr>
    </w:p>
    <w:bookmarkStart w:id="239" w:name="page240"/>
    <w:bookmarkEnd w:id="239"/>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2.7 </w:t>
      </w:r>
      <w:r>
        <w:rPr>
          <w:rFonts w:ascii="Arial" w:cs="Arial" w:eastAsia="Arial" w:hAnsi="Arial"/>
          <w:sz w:val="18"/>
          <w:szCs w:val="18"/>
          <w:i w:val="1"/>
          <w:iCs w:val="1"/>
          <w:color w:val="auto"/>
        </w:rPr>
        <w:t>Action of Shareholders Without Meeting</w:t>
      </w:r>
      <w:r>
        <w:rPr>
          <w:rFonts w:ascii="Arial" w:cs="Arial" w:eastAsia="Arial" w:hAnsi="Arial"/>
          <w:sz w:val="18"/>
          <w:szCs w:val="18"/>
          <w:color w:val="auto"/>
        </w:rPr>
        <w:t>. Any action required to be taken at any annual or special meeting of shareholders, or any action which may be taken at any annual or special meeting of such shareholders, may be taken without a meeting, without prior notice and without a vote, if a consent in writing, setting forth the action so taken, shall be signed by all of the holders of outstanding stock entitled to vote with respect to the subject matter thereof.</w:t>
      </w:r>
    </w:p>
    <w:p>
      <w:pPr>
        <w:spacing w:after="0" w:line="7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i w:val="1"/>
          <w:iCs w:val="1"/>
          <w:color w:val="auto"/>
        </w:rPr>
        <w:t>Adjournment</w:t>
      </w:r>
      <w:r>
        <w:rPr>
          <w:rFonts w:ascii="Arial" w:cs="Arial" w:eastAsia="Arial" w:hAnsi="Arial"/>
          <w:sz w:val="18"/>
          <w:szCs w:val="18"/>
          <w:color w:val="auto"/>
        </w:rPr>
        <w:t>. Any meeting of the shareholders, including one at which directors are to be elected, may be adjourned for such periods as the presiding officer of the meeting or the shareholders present in person or by proxy and entitled to vote shall direct.</w:t>
      </w:r>
    </w:p>
    <w:p>
      <w:pPr>
        <w:spacing w:after="0" w:line="62"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 xml:space="preserve">2.9 </w:t>
      </w:r>
      <w:r>
        <w:rPr>
          <w:rFonts w:ascii="Arial" w:cs="Arial" w:eastAsia="Arial" w:hAnsi="Arial"/>
          <w:sz w:val="16"/>
          <w:szCs w:val="16"/>
          <w:i w:val="1"/>
          <w:iCs w:val="1"/>
          <w:color w:val="auto"/>
        </w:rPr>
        <w:t>Ratification</w:t>
      </w:r>
      <w:r>
        <w:rPr>
          <w:rFonts w:ascii="Arial" w:cs="Arial" w:eastAsia="Arial" w:hAnsi="Arial"/>
          <w:sz w:val="16"/>
          <w:szCs w:val="16"/>
          <w:color w:val="auto"/>
        </w:rPr>
        <w:t>. Any transaction questioned in any shareholders’ derivative suit, or any other suit to enforce alleged rights of the Corporation or any of its shareholders, on the ground of lack of authority, defective or irregular execution, adverse interest of any director, officer or shareholder, nondisclosure, miscomputation or the application of improper principles or practices of accounting may be approved, ratified and confirmed before or after judgment by the Board of Directors or by the shareholders and, if so approved, ratified or confirmed, shall have the same force and effect as if the questioned transaction had been originally duly authorized, and said approval, ratification or confirmation shall be binding upon the Corporation and all of its shareholders and shall constitute a bar to any claim or execution of any judgment in respect of such questioned transaction.</w:t>
      </w:r>
    </w:p>
    <w:p>
      <w:pPr>
        <w:spacing w:after="0" w:line="376"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DIRECTORS</w:t>
      </w:r>
    </w:p>
    <w:p>
      <w:pPr>
        <w:spacing w:after="0" w:line="211"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i w:val="1"/>
          <w:iCs w:val="1"/>
          <w:color w:val="auto"/>
        </w:rPr>
        <w:t>Powers; Number; Qualifications</w:t>
      </w:r>
      <w:r>
        <w:rPr>
          <w:rFonts w:ascii="Arial" w:cs="Arial" w:eastAsia="Arial" w:hAnsi="Arial"/>
          <w:sz w:val="17"/>
          <w:szCs w:val="17"/>
          <w:color w:val="auto"/>
        </w:rPr>
        <w:t>. The business and affairs of the Corporation shall be managed by or under the direction of the Board of Directors, except as may be otherwise provided by law or in the Articles of Incorporation. The number of directors which shall constitute the Board of Directors shall be not less than one (1) or more than nine (9). The exact number of directors shall be fixed from time to time, within the limits specified in this Article III, Section 3.1, or in the Articles of Incorporation, by the Board of Directors [or by the shareholders]. Directors need not be shareholders of the Corporation. The Board may be divided into classes as more fully described in the Articles of Incorporation.</w:t>
      </w:r>
    </w:p>
    <w:p>
      <w:pPr>
        <w:spacing w:after="0" w:line="6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i w:val="1"/>
          <w:iCs w:val="1"/>
          <w:color w:val="auto"/>
        </w:rPr>
        <w:t>Election; Term of Office; Resignation; Removal; Vacancies</w:t>
      </w:r>
      <w:r>
        <w:rPr>
          <w:rFonts w:ascii="Arial" w:cs="Arial" w:eastAsia="Arial" w:hAnsi="Arial"/>
          <w:sz w:val="18"/>
          <w:szCs w:val="18"/>
          <w:color w:val="auto"/>
        </w:rPr>
        <w:t>. Each director shall hold office until the next annual meeting of shareholders at which his class stands for election or until such director’s earlier resignation, removal from office, death or incapacity. Unless otherwise provided in the Articles of Incorporation, vacancies and newly created directorships resulting from any increase in the number of directors or from any other cause may be filled by a majority of the directors then in office, although less than a quorum, or by a sole remaining director and each director so chosen shall hold office until the next annual meeting and until such director’s successor shall be duly elected and shall qualify, or until such director’s earlier resignation, removal from office, death or incapacity.</w:t>
      </w:r>
    </w:p>
    <w:p>
      <w:pPr>
        <w:spacing w:after="0" w:line="8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i w:val="1"/>
          <w:iCs w:val="1"/>
          <w:color w:val="auto"/>
        </w:rPr>
        <w:t>Nominations</w:t>
      </w:r>
      <w:r>
        <w:rPr>
          <w:rFonts w:ascii="Arial" w:cs="Arial" w:eastAsia="Arial" w:hAnsi="Arial"/>
          <w:sz w:val="18"/>
          <w:szCs w:val="18"/>
          <w:color w:val="auto"/>
        </w:rPr>
        <w:t>. Nominations of persons for election to the Board of Directors of the Corporation at an annual meeting of shareholders of the Corporation may be made at such meeting by or at the direction of the Board of Directors, by any committee or persons appointed by the Board of Directors or by any shareholder of the Corporation entitled to vote for the election of directors at the meeting and who is a shareholder of record on the date of the giving of the notice provided for in this Article III, Section 3.3. Such nominations by any shareholder shall be made pursuant to timely notice in writing to the Secretary of the Corporation.</w:t>
      </w:r>
    </w:p>
    <w:p>
      <w:pPr>
        <w:sectPr>
          <w:pgSz w:w="11900" w:h="16838" w:orient="portrait"/>
          <w:cols w:equalWidth="0" w:num="1">
            <w:col w:w="11000"/>
          </w:cols>
          <w:pgMar w:left="440" w:top="274" w:right="459" w:bottom="1440" w:gutter="0" w:footer="0" w:header="0"/>
        </w:sectPr>
      </w:pPr>
    </w:p>
    <w:bookmarkStart w:id="240" w:name="page241"/>
    <w:bookmarkEnd w:id="240"/>
    <w:p>
      <w:pPr>
        <w:ind w:right="10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shareholder’s notice to the Secretary shall set forth (i) as to each person whom the shareholder proposes to nominate for election or reelection as a director, (a) the name, age, business address and residence address of the person, (b) the principal occupation or employment of the person, (c) the class and number of shares of capital stock of the Corporation which are beneficially owned by the person, and (d) any other information relating to the person that is required to be disclosed in solicitations for proxies for election of directors pursuant to the Rules and Regulations of the Securities and Exchange Commission under Section 14 of the Securities Exchange Act of 1934, as amended, and (ii) as to the shareholder giving the notice (a) the name and record address of the shareholder and (b) the class and number of shares of capital stock of the Corporation which are beneficially owned by the shareholder. The Corporation may require any proposed nominee to furnish such other information as may reasonably be required by the Corporation to determine the eligibility of such proposed nominee to serve as a director of the Corporation. No person shall be eligible for election as a director of the Corporation unless nominated in accordance with the procedures set forth herein. If the officer of the Corporation presiding at an annual meeting determines that a nomination was not made in accordance with the foregoing procedure, he shall so declare to the meeting and the defective nomination shall be disregarded.</w:t>
      </w:r>
    </w:p>
    <w:p>
      <w:pPr>
        <w:spacing w:after="0" w:line="7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i w:val="1"/>
          <w:iCs w:val="1"/>
          <w:color w:val="auto"/>
        </w:rPr>
        <w:t>Meetings</w:t>
      </w:r>
      <w:r>
        <w:rPr>
          <w:rFonts w:ascii="Arial" w:cs="Arial" w:eastAsia="Arial" w:hAnsi="Arial"/>
          <w:sz w:val="18"/>
          <w:szCs w:val="18"/>
          <w:color w:val="auto"/>
        </w:rPr>
        <w:t>. The Board of Directors of the Corporation may hold meetings, both regular and special, either within or without the Republic of the Marshall Islands. Regular meetings of the Board of Directors may be held without notice at such time and place as shall from time to time be determined by the Board of Directors.</w:t>
      </w:r>
    </w:p>
    <w:p>
      <w:pPr>
        <w:spacing w:after="0" w:line="184"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Special meetings of the Board of Directors may be called by the Chief Executive Officer or a majority of the entire Board of Directors. Notice thereof stating the place, date and hour of the meeting shall be given to each director either by mail not less than forty-eight (48) hours before the date of the meeting, by telephone, facsimile, telegram or e-mail on twenty-four (24) hours notice, or on such shorter notice as the person or persons calling such meeting may deem necessary or appropriate in the circumstances.</w:t>
      </w:r>
    </w:p>
    <w:p>
      <w:pPr>
        <w:spacing w:after="0" w:line="79"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i w:val="1"/>
          <w:iCs w:val="1"/>
          <w:color w:val="auto"/>
        </w:rPr>
        <w:t>Quorum</w:t>
      </w:r>
      <w:r>
        <w:rPr>
          <w:rFonts w:ascii="Arial" w:cs="Arial" w:eastAsia="Arial" w:hAnsi="Arial"/>
          <w:sz w:val="16"/>
          <w:szCs w:val="16"/>
          <w:color w:val="auto"/>
        </w:rPr>
        <w:t>. Except as may be otherwise specifically provided under the BCA, the Articles of Incorporation or these Bylaws, at all meetings of the Board of Directors or any committee thereof, a majority of the entire Board of Directors or such committee, as the case may be, shall constitute a quorum for the transaction of business and the act of a majority of the directors present at any meeting at which there is a quorum shall be the act of the Board of Directors. If a quorum shall not be present at any meeting of the Board of Directors or of any committee thereof, a majority of the directors present thereat may adjourn the meeting from time to time, without notice, other than announcement at the meeting, until a quorum shall be present.</w:t>
      </w:r>
    </w:p>
    <w:p>
      <w:pPr>
        <w:spacing w:after="0" w:line="5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i w:val="1"/>
          <w:iCs w:val="1"/>
          <w:color w:val="auto"/>
        </w:rPr>
        <w:t>Organization of Meetings</w:t>
      </w:r>
      <w:r>
        <w:rPr>
          <w:rFonts w:ascii="Arial" w:cs="Arial" w:eastAsia="Arial" w:hAnsi="Arial"/>
          <w:sz w:val="18"/>
          <w:szCs w:val="18"/>
          <w:color w:val="auto"/>
        </w:rPr>
        <w:t>. The Board of Directors shall elect one of its members to be Chairman of the Board of Directors. The Chairman of the Board of Directors shall lead the Board of Directors in fulfilling its responsibilities as set forth in these Bylaws, including its responsibility to oversee the performance of the Corporation, and shall determine the agenda and perform all other duties and exercise all other powers which are or from time to time may be delegated to him or her by the Board of Directors.</w:t>
      </w:r>
    </w:p>
    <w:p>
      <w:pPr>
        <w:spacing w:after="0" w:line="18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Meetings of the Board of Directors shall be presided over as chair of such meeting by the Chairman of the Board of Directors, or in his or her absence, by the Chief Executive Officer (if he or she is a director), or in the absence of the Chairman of the Board of Directors and the Chief Executive Officer by such other person as the Board of Directors may designate or the members present may select.</w:t>
      </w:r>
    </w:p>
    <w:p>
      <w:pPr>
        <w:sectPr>
          <w:pgSz w:w="11900" w:h="16838" w:orient="portrait"/>
          <w:cols w:equalWidth="0" w:num="1">
            <w:col w:w="11020"/>
          </w:cols>
          <w:pgMar w:left="440" w:top="274" w:right="439" w:bottom="1440" w:gutter="0" w:footer="0" w:header="0"/>
        </w:sectPr>
      </w:pPr>
    </w:p>
    <w:bookmarkStart w:id="241" w:name="page242"/>
    <w:bookmarkEnd w:id="241"/>
    <w:p>
      <w:pPr>
        <w:ind w:left="4"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3.7 </w:t>
      </w:r>
      <w:r>
        <w:rPr>
          <w:rFonts w:ascii="Arial" w:cs="Arial" w:eastAsia="Arial" w:hAnsi="Arial"/>
          <w:sz w:val="18"/>
          <w:szCs w:val="18"/>
          <w:i w:val="1"/>
          <w:iCs w:val="1"/>
          <w:color w:val="auto"/>
        </w:rPr>
        <w:t>Actions of Board of Directors Without Meeting</w:t>
      </w:r>
      <w:r>
        <w:rPr>
          <w:rFonts w:ascii="Arial" w:cs="Arial" w:eastAsia="Arial" w:hAnsi="Arial"/>
          <w:sz w:val="18"/>
          <w:szCs w:val="18"/>
          <w:color w:val="auto"/>
        </w:rPr>
        <w:t>. Unless otherwise restricted by the Articles of Incorporation or these Bylaws, any action required or permitted to be taken at any meeting of the Board of Directors or of any committee thereof may be taken without a meeting, if all members of the Board of Directors or of such committee, as the case may be, consent thereto in writing, and the writing or writings are filed with the minutes of proceedings of the Board of Directors or committee.</w:t>
      </w:r>
    </w:p>
    <w:p>
      <w:pPr>
        <w:spacing w:after="0" w:line="79" w:lineRule="exact"/>
        <w:rPr>
          <w:sz w:val="20"/>
          <w:szCs w:val="20"/>
          <w:color w:val="auto"/>
        </w:rPr>
      </w:pPr>
    </w:p>
    <w:p>
      <w:pPr>
        <w:jc w:val="both"/>
        <w:ind w:left="4" w:right="60"/>
        <w:spacing w:after="0" w:line="301" w:lineRule="auto"/>
        <w:rPr>
          <w:sz w:val="20"/>
          <w:szCs w:val="20"/>
          <w:color w:val="auto"/>
        </w:rPr>
      </w:pPr>
      <w:r>
        <w:rPr>
          <w:rFonts w:ascii="Arial" w:cs="Arial" w:eastAsia="Arial" w:hAnsi="Arial"/>
          <w:sz w:val="16"/>
          <w:szCs w:val="16"/>
          <w:color w:val="auto"/>
        </w:rPr>
        <w:t xml:space="preserve">3.8 </w:t>
      </w:r>
      <w:r>
        <w:rPr>
          <w:rFonts w:ascii="Arial" w:cs="Arial" w:eastAsia="Arial" w:hAnsi="Arial"/>
          <w:sz w:val="16"/>
          <w:szCs w:val="16"/>
          <w:i w:val="1"/>
          <w:iCs w:val="1"/>
          <w:color w:val="auto"/>
        </w:rPr>
        <w:t>Removal of Directors</w:t>
      </w:r>
      <w:r>
        <w:rPr>
          <w:rFonts w:ascii="Arial" w:cs="Arial" w:eastAsia="Arial" w:hAnsi="Arial"/>
          <w:sz w:val="16"/>
          <w:szCs w:val="16"/>
          <w:color w:val="auto"/>
        </w:rPr>
        <w:t>. Unless otherwise restricted by the Articles of Incorporation, the entire Board of Directors or any individual Director may be removed from office with or without cause by a majority vote of the holders of the outstanding shares then entitled to vote at an election of directors. In case the Board of Directors or any one or more Directors be so removed, new Directors may be elected at the same time for the unexpired portion of the full term of the Director or Directors so removed. Any director may be removed with cause by action of the Board of Directors.</w:t>
      </w:r>
    </w:p>
    <w:p>
      <w:pPr>
        <w:spacing w:after="0" w:line="49" w:lineRule="exact"/>
        <w:rPr>
          <w:sz w:val="20"/>
          <w:szCs w:val="20"/>
          <w:color w:val="auto"/>
        </w:rPr>
      </w:pPr>
    </w:p>
    <w:p>
      <w:pPr>
        <w:ind w:left="4" w:right="200"/>
        <w:spacing w:after="0" w:line="286" w:lineRule="auto"/>
        <w:rPr>
          <w:sz w:val="20"/>
          <w:szCs w:val="20"/>
          <w:color w:val="auto"/>
        </w:rPr>
      </w:pPr>
      <w:r>
        <w:rPr>
          <w:rFonts w:ascii="Arial" w:cs="Arial" w:eastAsia="Arial" w:hAnsi="Arial"/>
          <w:sz w:val="17"/>
          <w:szCs w:val="17"/>
          <w:color w:val="auto"/>
        </w:rPr>
        <w:t xml:space="preserve">3.9 </w:t>
      </w:r>
      <w:r>
        <w:rPr>
          <w:rFonts w:ascii="Arial" w:cs="Arial" w:eastAsia="Arial" w:hAnsi="Arial"/>
          <w:sz w:val="17"/>
          <w:szCs w:val="17"/>
          <w:i w:val="1"/>
          <w:iCs w:val="1"/>
          <w:color w:val="auto"/>
        </w:rPr>
        <w:t>Resignations</w:t>
      </w:r>
      <w:r>
        <w:rPr>
          <w:rFonts w:ascii="Arial" w:cs="Arial" w:eastAsia="Arial" w:hAnsi="Arial"/>
          <w:sz w:val="17"/>
          <w:szCs w:val="17"/>
          <w:color w:val="auto"/>
        </w:rPr>
        <w:t>. Any Director may resign at any time by submitting his written resignation to the Board of Directors or Secretary of the Corporation. Such resignation shall take effect at the time of its receipt by the Corporation unless another time be fixed in the resignation, in which case it shall become effective at the time so fixed. The acceptance of a resignation shall not be required to make it effective.</w:t>
      </w:r>
    </w:p>
    <w:p>
      <w:pPr>
        <w:spacing w:after="0" w:line="57" w:lineRule="exact"/>
        <w:rPr>
          <w:sz w:val="20"/>
          <w:szCs w:val="20"/>
          <w:color w:val="auto"/>
        </w:rPr>
      </w:pPr>
    </w:p>
    <w:p>
      <w:pPr>
        <w:ind w:left="4" w:right="40"/>
        <w:spacing w:after="0" w:line="284" w:lineRule="auto"/>
        <w:rPr>
          <w:sz w:val="20"/>
          <w:szCs w:val="20"/>
          <w:color w:val="auto"/>
        </w:rPr>
      </w:pPr>
      <w:r>
        <w:rPr>
          <w:rFonts w:ascii="Arial" w:cs="Arial" w:eastAsia="Arial" w:hAnsi="Arial"/>
          <w:sz w:val="16"/>
          <w:szCs w:val="16"/>
          <w:color w:val="auto"/>
        </w:rPr>
        <w:t xml:space="preserve">3.10 </w:t>
      </w:r>
      <w:r>
        <w:rPr>
          <w:rFonts w:ascii="Arial" w:cs="Arial" w:eastAsia="Arial" w:hAnsi="Arial"/>
          <w:sz w:val="16"/>
          <w:szCs w:val="16"/>
          <w:i w:val="1"/>
          <w:iCs w:val="1"/>
          <w:color w:val="auto"/>
        </w:rPr>
        <w:t>Committees</w:t>
      </w:r>
      <w:r>
        <w:rPr>
          <w:rFonts w:ascii="Arial" w:cs="Arial" w:eastAsia="Arial" w:hAnsi="Arial"/>
          <w:sz w:val="16"/>
          <w:szCs w:val="16"/>
          <w:color w:val="auto"/>
        </w:rPr>
        <w:t>. The Board of Directors may designate one or more committees, each committee to consist of one or more of the directors of the Corporation. In the absence or disqualification of a member of a committee, the member or members thereof present at any meeting and not disqualified from voting, whether or not he or they constitute a quorum, may unanimously appoint another member of the Board of Directors to act at the meeting in the place of any such absent or disqualified member. Any such committee, to the extent provided by law and in the resolution of the Board of Directors establishing such committee,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(a) the submission to shareholders of any action that requires shareholders’ authorization under the BCA;</w:t>
      </w:r>
    </w:p>
    <w:p>
      <w:pPr>
        <w:spacing w:after="0" w:line="2" w:lineRule="exact"/>
        <w:rPr>
          <w:sz w:val="20"/>
          <w:szCs w:val="20"/>
          <w:color w:val="auto"/>
        </w:rPr>
      </w:pPr>
    </w:p>
    <w:p>
      <w:pPr>
        <w:ind w:left="4" w:hanging="4"/>
        <w:spacing w:after="0" w:line="255" w:lineRule="auto"/>
        <w:tabs>
          <w:tab w:leader="none" w:pos="259" w:val="left"/>
        </w:tabs>
        <w:numPr>
          <w:ilvl w:val="0"/>
          <w:numId w:val="139"/>
        </w:numPr>
        <w:rPr>
          <w:rFonts w:ascii="Arial" w:cs="Arial" w:eastAsia="Arial" w:hAnsi="Arial"/>
          <w:sz w:val="18"/>
          <w:szCs w:val="18"/>
          <w:color w:val="auto"/>
        </w:rPr>
      </w:pPr>
      <w:r>
        <w:rPr>
          <w:rFonts w:ascii="Arial" w:cs="Arial" w:eastAsia="Arial" w:hAnsi="Arial"/>
          <w:sz w:val="18"/>
          <w:szCs w:val="18"/>
          <w:color w:val="auto"/>
        </w:rPr>
        <w:t>filling of vacancies in the board of directors or in a committee; (c) the fixing of compensation of the directors for serving on the Board of Directors or on any committee; (d) the amendment or repeal of the Bylaws, or the adoption of new Bylaws; or (e) the amendment or repeal of any resolution of the Board of Directors which, by its terms, shall be amendable or repealable.</w:t>
      </w:r>
    </w:p>
    <w:p>
      <w:pPr>
        <w:spacing w:after="0" w:line="82" w:lineRule="exact"/>
        <w:rPr>
          <w:sz w:val="20"/>
          <w:szCs w:val="20"/>
          <w:color w:val="auto"/>
        </w:rPr>
      </w:pPr>
    </w:p>
    <w:p>
      <w:pPr>
        <w:ind w:left="4" w:right="80"/>
        <w:spacing w:after="0" w:line="259"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i w:val="1"/>
          <w:iCs w:val="1"/>
          <w:color w:val="auto"/>
        </w:rPr>
        <w:t>Compensation</w:t>
      </w:r>
      <w:r>
        <w:rPr>
          <w:rFonts w:ascii="Arial" w:cs="Arial" w:eastAsia="Arial" w:hAnsi="Arial"/>
          <w:sz w:val="18"/>
          <w:szCs w:val="18"/>
          <w:color w:val="auto"/>
        </w:rPr>
        <w:t>. The directors may be paid their expenses, if any, of attendance at each meeting of the Board of Directors and may be paid a fixed amount (in cash or other form of consideration) for attendance at each meeting of the Board of Directors or a stated salary as director. No such payment shall preclude any director from serving the Corporation in any other capacity and receiving compensation therefor. Members of special or standing committees may be allowed like compensation for attending committee meetings.</w:t>
      </w:r>
    </w:p>
    <w:p>
      <w:pPr>
        <w:spacing w:after="0" w:line="79" w:lineRule="exact"/>
        <w:rPr>
          <w:sz w:val="20"/>
          <w:szCs w:val="20"/>
          <w:color w:val="auto"/>
        </w:rPr>
      </w:pPr>
    </w:p>
    <w:p>
      <w:pPr>
        <w:ind w:left="4" w:right="20"/>
        <w:spacing w:after="0" w:line="273" w:lineRule="auto"/>
        <w:rPr>
          <w:sz w:val="20"/>
          <w:szCs w:val="20"/>
          <w:color w:val="auto"/>
        </w:rPr>
      </w:pPr>
      <w:r>
        <w:rPr>
          <w:rFonts w:ascii="Arial" w:cs="Arial" w:eastAsia="Arial" w:hAnsi="Arial"/>
          <w:sz w:val="17"/>
          <w:szCs w:val="17"/>
          <w:color w:val="auto"/>
        </w:rPr>
        <w:t xml:space="preserve">3.12 </w:t>
      </w:r>
      <w:r>
        <w:rPr>
          <w:rFonts w:ascii="Arial" w:cs="Arial" w:eastAsia="Arial" w:hAnsi="Arial"/>
          <w:sz w:val="17"/>
          <w:szCs w:val="17"/>
          <w:i w:val="1"/>
          <w:iCs w:val="1"/>
          <w:color w:val="auto"/>
        </w:rPr>
        <w:t>Interested Directors</w:t>
      </w:r>
      <w:r>
        <w:rPr>
          <w:rFonts w:ascii="Arial" w:cs="Arial" w:eastAsia="Arial" w:hAnsi="Arial"/>
          <w:sz w:val="17"/>
          <w:szCs w:val="17"/>
          <w:color w:val="auto"/>
        </w:rPr>
        <w:t>. No contract or transaction between the Corporation and one or more of its directors, or between the Corporation and any other corporation, firm, association, or other entity in which one or more of its directors are directors or officers, or have a substantial financial interest, shall be either void or voidable for this reason alone or by reason alone that such director or directors are present at the meeting of the Board of Directors, or committee thereof, which approves such contract or transaction, or that his or their votes are counted for such purpose, if (i) the material facts as to such director’s interest in such contract or transaction and as to any such common directorship, officership or financial interest are disclosed in good faith or known to the Board of Directors or the committee, and the Board of Directors or</w:t>
      </w:r>
    </w:p>
    <w:p>
      <w:pPr>
        <w:sectPr>
          <w:pgSz w:w="11900" w:h="16838" w:orient="portrait"/>
          <w:cols w:equalWidth="0" w:num="1">
            <w:col w:w="11004"/>
          </w:cols>
          <w:pgMar w:left="436" w:top="274" w:right="459" w:bottom="1440" w:gutter="0" w:footer="0" w:header="0"/>
        </w:sectPr>
      </w:pPr>
    </w:p>
    <w:bookmarkStart w:id="242" w:name="page243"/>
    <w:bookmarkEnd w:id="242"/>
    <w:p>
      <w:pPr>
        <w:ind w:right="2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committee approves such contract or transaction by a votesufficient for such purpose without counting the vote of such interested director, or, if the votes of the disinterested directors are insufficient to constitute an act of the Board of Directors as defined under the BCA, by unanimous vote of the disinterested directors; ; or (ii) the material facts as to such director’s interest in such contract or transaction and as to any such common directorship, officership or financial interest are disclosed in good faith or known to the shareholders entitled to vote thereon, and such contract or transaction is approved by vote of such shareholders. Common or interested directors may be counted in determining the presence of a quorum at a meeting of the Board of Directors or of a committee which approves such contract or transaction.</w:t>
      </w:r>
    </w:p>
    <w:p>
      <w:pPr>
        <w:spacing w:after="0" w:line="70" w:lineRule="exact"/>
        <w:rPr>
          <w:sz w:val="20"/>
          <w:szCs w:val="20"/>
          <w:color w:val="auto"/>
        </w:rPr>
      </w:pPr>
    </w:p>
    <w:p>
      <w:pPr>
        <w:ind w:right="540"/>
        <w:spacing w:after="0" w:line="259" w:lineRule="auto"/>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i w:val="1"/>
          <w:iCs w:val="1"/>
          <w:color w:val="auto"/>
        </w:rPr>
        <w:t>Meetings by Means of Telephone Conference</w:t>
      </w:r>
      <w:r>
        <w:rPr>
          <w:rFonts w:ascii="Arial" w:cs="Arial" w:eastAsia="Arial" w:hAnsi="Arial"/>
          <w:sz w:val="18"/>
          <w:szCs w:val="18"/>
          <w:color w:val="auto"/>
        </w:rPr>
        <w:t>. Members of the Board of Directors or any committee designed by the Board of Directors may participate in a meeting of the Board of Directors or of a committee of the Board of Directors by means of telephone or similar communications equipment such that all persons participating in the meeting can hear each other, and participation in a meeting pursuant to this subsection shall constitute presence in person at such meeting.</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OFFICERS</w:t>
      </w:r>
    </w:p>
    <w:p>
      <w:pPr>
        <w:spacing w:after="0" w:line="21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i w:val="1"/>
          <w:iCs w:val="1"/>
          <w:color w:val="auto"/>
        </w:rPr>
        <w:t>General</w:t>
      </w:r>
      <w:r>
        <w:rPr>
          <w:rFonts w:ascii="Arial" w:cs="Arial" w:eastAsia="Arial" w:hAnsi="Arial"/>
          <w:sz w:val="16"/>
          <w:szCs w:val="16"/>
          <w:color w:val="auto"/>
        </w:rPr>
        <w:t>. The officers of the Corporation shall be elected by the Board of Directors and may consist of: a Chairman of the Board, Vice Chairman of the Board, Chief Executive Officer, Chief Financial Officer, President, Secretary and Treasurer. The Board of Directors, in its discretion, may also elect one or more Vice Presidents (including Executive Vice Presidents and Senior Vice Presidents), Assistant Secretaries, Assistant Treasurers, a Controller and such other officers as in the judgment of the Board of Directors may be necessary or desirable. Any number of offices may be held by the same person and more than one person may hold the same office, unless otherwise prohibited by law, the Articles of Incorporation or these Bylaws. The officers of the Corporation need not be shareholders of the Corporation, nor need such officers be directors of the Corporation.</w:t>
      </w:r>
    </w:p>
    <w:p>
      <w:pPr>
        <w:spacing w:after="0" w:line="5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i w:val="1"/>
          <w:iCs w:val="1"/>
          <w:color w:val="auto"/>
        </w:rPr>
        <w:t>Election</w:t>
      </w:r>
      <w:r>
        <w:rPr>
          <w:rFonts w:ascii="Arial" w:cs="Arial" w:eastAsia="Arial" w:hAnsi="Arial"/>
          <w:sz w:val="17"/>
          <w:szCs w:val="17"/>
          <w:color w:val="auto"/>
        </w:rPr>
        <w:t>. The Board of Directors at its first meeting held after each annual meeting of shareholders shall elect the officers of the Corporation who shall hold their offices for such terms and shall exercise such powers and perform such duties as shall be determined from time to time by the Board of Directors; and all officers of the Corporation shall hold office until their successors are chosen and qualified, or until their earlier resignation or removal. Except as otherwise provided in this Article IV, any officer elected by the Board of Directors may be removed at any time by the affirmative vote of a majority of the Board of Directors. Any vacancy occurring in any office of the Corporation shall be filled by the Board of Directors. The salaries of all officers who are directors of the Corporation shall be fixed by the Board of Directors.</w:t>
      </w:r>
    </w:p>
    <w:p>
      <w:pPr>
        <w:spacing w:after="0" w:line="7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i w:val="1"/>
          <w:iCs w:val="1"/>
          <w:color w:val="auto"/>
        </w:rPr>
        <w:t>Voting Securities Owned by the Corporation</w:t>
      </w:r>
      <w:r>
        <w:rPr>
          <w:rFonts w:ascii="Arial" w:cs="Arial" w:eastAsia="Arial" w:hAnsi="Arial"/>
          <w:sz w:val="16"/>
          <w:szCs w:val="16"/>
          <w:color w:val="auto"/>
        </w:rPr>
        <w:t>. Powers of attorney, proxies, waivers of notice of meeting, consents and other instruments relating to securities owned by the Corporation may be executed in the name of and on behalf of the Corporation by the Chief Executive Officer, and such officer may, in the name and on behalf of the Corporation, take all such action as such officer may deem advisable to vote in person or by proxy at any meeting of security holders of any corporation in which the Corporation may own securities and, at any such meeting, shall possess and may exercise any and all rights and powers incident to the ownership of such securities and which, as the owner thereof, the Corporation might have exercised and possessed if present. The Board of Directors may, by resolution, from time to time confer like powers upon any other person or persons.</w:t>
      </w:r>
    </w:p>
    <w:p>
      <w:pPr>
        <w:sectPr>
          <w:pgSz w:w="11900" w:h="16838" w:orient="portrait"/>
          <w:cols w:equalWidth="0" w:num="1">
            <w:col w:w="10980"/>
          </w:cols>
          <w:pgMar w:left="440" w:top="274" w:right="479" w:bottom="1440" w:gutter="0" w:footer="0" w:header="0"/>
        </w:sectPr>
      </w:pPr>
    </w:p>
    <w:bookmarkStart w:id="243" w:name="page244"/>
    <w:bookmarkEnd w:id="243"/>
    <w:p>
      <w:pPr>
        <w:ind w:right="2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4.4 </w:t>
      </w:r>
      <w:r>
        <w:rPr>
          <w:rFonts w:ascii="Arial" w:cs="Arial" w:eastAsia="Arial" w:hAnsi="Arial"/>
          <w:sz w:val="17"/>
          <w:szCs w:val="17"/>
          <w:i w:val="1"/>
          <w:iCs w:val="1"/>
          <w:color w:val="auto"/>
        </w:rPr>
        <w:t>Chief Executive Officer</w:t>
      </w:r>
      <w:r>
        <w:rPr>
          <w:rFonts w:ascii="Arial" w:cs="Arial" w:eastAsia="Arial" w:hAnsi="Arial"/>
          <w:sz w:val="17"/>
          <w:szCs w:val="17"/>
          <w:color w:val="auto"/>
        </w:rPr>
        <w:t>. Subject to the provisions of these Bylaws and to the direction of the Board of Directors, the Chief Executive Officer shall have ultimate authority for decisions relating to the general management and control of the affairs and business of the Corporation and shall perform such other duties and exercise such other powers which are or from time to time may be delegated to him or her by the Board of Directors or these Bylaws, all in accordance with basic policies as established by and subject to the oversight of the Board of Directors.</w:t>
      </w:r>
    </w:p>
    <w:p>
      <w:pPr>
        <w:spacing w:after="0" w:line="63"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i w:val="1"/>
          <w:iCs w:val="1"/>
          <w:color w:val="auto"/>
        </w:rPr>
        <w:t>Chief Financial Officer</w:t>
      </w:r>
      <w:r>
        <w:rPr>
          <w:rFonts w:ascii="Arial" w:cs="Arial" w:eastAsia="Arial" w:hAnsi="Arial"/>
          <w:sz w:val="17"/>
          <w:szCs w:val="17"/>
          <w:color w:val="auto"/>
        </w:rPr>
        <w:t>. The Chief Financial Officer shall have general supervision, direction and control of the financial affairs of the Corporation and shall perform such other duties and exercise such other powers which are or from time to time may be delegated to him or her by the Board of Directors or these Bylaws, all in accordance with basic policies as established by and subject to the oversight of the Board of Directors. In the absence of a named Treasurer, the Chief Financial Officer shall also have the powers and duties of the Treasurer as hereinafter set forth and shall be authorized and empowered to sign as Treasurer in any case where such officer’s signature is required.</w:t>
      </w:r>
    </w:p>
    <w:p>
      <w:pPr>
        <w:spacing w:after="0" w:line="68" w:lineRule="exact"/>
        <w:rPr>
          <w:sz w:val="20"/>
          <w:szCs w:val="20"/>
          <w:color w:val="auto"/>
        </w:rPr>
      </w:pPr>
    </w:p>
    <w:p>
      <w:pPr>
        <w:jc w:val="both"/>
        <w:ind w:right="400"/>
        <w:spacing w:after="0" w:line="286" w:lineRule="auto"/>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i w:val="1"/>
          <w:iCs w:val="1"/>
          <w:color w:val="auto"/>
        </w:rPr>
        <w:t>President</w:t>
      </w:r>
      <w:r>
        <w:rPr>
          <w:rFonts w:ascii="Arial" w:cs="Arial" w:eastAsia="Arial" w:hAnsi="Arial"/>
          <w:sz w:val="17"/>
          <w:szCs w:val="17"/>
          <w:color w:val="auto"/>
        </w:rPr>
        <w:t>. At the request of the Chief Executive Officer or in the event of his or her inability to act, the President shall perform the duties of the Chief Executive Officer and, when so acting, shall have all the powers of and be subject to all the restrictions upon such office. The President shall perform such other duties and have such other powers as the Board of Directors from time to time may prescribe.</w:t>
      </w:r>
    </w:p>
    <w:p>
      <w:pPr>
        <w:spacing w:after="0" w:line="57"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 xml:space="preserve">4.7 </w:t>
      </w:r>
      <w:r>
        <w:rPr>
          <w:rFonts w:ascii="Arial" w:cs="Arial" w:eastAsia="Arial" w:hAnsi="Arial"/>
          <w:sz w:val="16"/>
          <w:szCs w:val="16"/>
          <w:i w:val="1"/>
          <w:iCs w:val="1"/>
          <w:color w:val="auto"/>
        </w:rPr>
        <w:t>Executive Vice Presidents</w:t>
      </w:r>
      <w:r>
        <w:rPr>
          <w:rFonts w:ascii="Arial" w:cs="Arial" w:eastAsia="Arial" w:hAnsi="Arial"/>
          <w:sz w:val="16"/>
          <w:szCs w:val="16"/>
          <w:color w:val="auto"/>
        </w:rPr>
        <w:t>. At the request of the President or in the event of his or her inability to act, the Executive Vice President or the Executive Vice Presidents if there is more than one (in the order designated by the Board of Directors) shall perform the duties of the President and, when so acting, shall have all the powers of and be subject to all the restrictions upon such office. Each Executive Vice President shall perform such other duties and have such other powers as the Board of Directors from time to time may prescribe. If there be no Executive Vice President, the Board of Directors shall designate the officer of the Corporation who, in the absence of the President or in the event of the inability or refusal of such officer to act, shall perform the duties of such office, and when so acting, shall have all the powers of and be subject to all the restrictions upon such office.</w:t>
      </w:r>
    </w:p>
    <w:p>
      <w:pPr>
        <w:spacing w:after="0" w:line="5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i w:val="1"/>
          <w:iCs w:val="1"/>
          <w:color w:val="auto"/>
        </w:rPr>
        <w:t>Secretary</w:t>
      </w:r>
      <w:r>
        <w:rPr>
          <w:rFonts w:ascii="Arial" w:cs="Arial" w:eastAsia="Arial" w:hAnsi="Arial"/>
          <w:sz w:val="16"/>
          <w:szCs w:val="16"/>
          <w:color w:val="auto"/>
        </w:rPr>
        <w:t>. The Secretary shall attend all meetings of the Board of Directors and all meetings of shareholders and record all the proceedings thereat in a book or books to be kept for that purpose; the Secretary shall also perform like duties for the standing committees when required. The Secretary shall give, or cause to be given, notice of all meetings of the shareholders and special meetings of the Board of Directors, and shall perform such other duties as may be prescribed by the Board of Directors or the Chief Executive Officer, under whose supervision the Secretary shall be. If the Secretary shall be unable to cause to be given notice of all meetings of the shareholders and special meetings of the Board of Directors, then any Assistant Secretary shall perform such actions. If there be no Assistant Secretary, then the Board of Directors or the Chief Executive Officer may choose another officer to cause such notice to be given. The Secretary shall have custody of the seal of the Corporation and the Secretary or any Assistant Secretary, if there be one, shall have authority to affix the same to any instrument requiring it and when so affixed, it may be attested by the signature of the Secretary or by the signature of any such Assistant Secretary. The Board of Directors may give general authority to any other officer to affix the seal of the Corporation and to attest the affixing by his or her signature. The Secretary shall see that all books, reports, statements, certificates and other documents and records required by law to be kept or filed are properly kept or filed, as the case may be.</w:t>
      </w:r>
    </w:p>
    <w:p>
      <w:pPr>
        <w:sectPr>
          <w:pgSz w:w="11900" w:h="16838" w:orient="portrait"/>
          <w:cols w:equalWidth="0" w:num="1">
            <w:col w:w="11000"/>
          </w:cols>
          <w:pgMar w:left="440" w:top="274" w:right="459" w:bottom="1440" w:gutter="0" w:footer="0" w:header="0"/>
        </w:sectPr>
      </w:pPr>
    </w:p>
    <w:bookmarkStart w:id="244" w:name="page245"/>
    <w:bookmarkEnd w:id="244"/>
    <w:p>
      <w:pPr>
        <w:ind w:right="10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4.9 </w:t>
      </w:r>
      <w:r>
        <w:rPr>
          <w:rFonts w:ascii="Arial" w:cs="Arial" w:eastAsia="Arial" w:hAnsi="Arial"/>
          <w:sz w:val="17"/>
          <w:szCs w:val="17"/>
          <w:i w:val="1"/>
          <w:iCs w:val="1"/>
          <w:color w:val="auto"/>
        </w:rPr>
        <w:t>Treasurer</w:t>
      </w:r>
      <w:r>
        <w:rPr>
          <w:rFonts w:ascii="Arial" w:cs="Arial" w:eastAsia="Arial" w:hAnsi="Arial"/>
          <w:sz w:val="17"/>
          <w:szCs w:val="17"/>
          <w:color w:val="auto"/>
        </w:rPr>
        <w:t>. The Treasurer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 The Treasurer shall disburse the funds of the Corporation as may be ordered by the Board of Directors, taking proper vouchers for such disbursements, and shall render to the Chief Executive Officer and the Board of Directors, at its regular meetings, or when the Board of Directors so requires, an account of all his transactions as Treasurer and of the financial condition of the Corporation. If required by the Board of Directors, the Treasurer shall give the Corporation a bond in such sum and with such surety or sureties as shall be satisfactory to the Board of Directors for the faithful performance of the duties of his or her office and for the restoration to the Corporation, in case of his or her death, resignation, retirement or removal from office, of all books, papers, vouchers, money and other property of whatever kind in his possession or under his control belonging to the Corporation.</w:t>
      </w:r>
    </w:p>
    <w:p>
      <w:pPr>
        <w:spacing w:after="0" w:line="7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i w:val="1"/>
          <w:iCs w:val="1"/>
          <w:color w:val="auto"/>
        </w:rPr>
        <w:t>Assistant Secretaries</w:t>
      </w:r>
      <w:r>
        <w:rPr>
          <w:rFonts w:ascii="Arial" w:cs="Arial" w:eastAsia="Arial" w:hAnsi="Arial"/>
          <w:sz w:val="18"/>
          <w:szCs w:val="18"/>
          <w:color w:val="auto"/>
        </w:rPr>
        <w:t>. Except as may be otherwise provided in these Bylaws, Assistant Secretaries, if there be any, shall perform such duties and have such powers as from time to time may be assigned to them by the Board of Directors, the Chief Executive Officer, the President, any Executive Vice President, if there be one, or the Secretary, or in the event of his or her inability to act, shall perform the duties of the Secretary, and when so acting, shall have all the powers of and be subject to all the restrictions upon the Secretary.</w:t>
      </w:r>
    </w:p>
    <w:p>
      <w:pPr>
        <w:spacing w:after="0" w:line="7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 xml:space="preserve">4.11 </w:t>
      </w:r>
      <w:r>
        <w:rPr>
          <w:rFonts w:ascii="Arial" w:cs="Arial" w:eastAsia="Arial" w:hAnsi="Arial"/>
          <w:sz w:val="16"/>
          <w:szCs w:val="16"/>
          <w:i w:val="1"/>
          <w:iCs w:val="1"/>
          <w:color w:val="auto"/>
        </w:rPr>
        <w:t>Assistant Treasurers</w:t>
      </w:r>
      <w:r>
        <w:rPr>
          <w:rFonts w:ascii="Arial" w:cs="Arial" w:eastAsia="Arial" w:hAnsi="Arial"/>
          <w:sz w:val="16"/>
          <w:szCs w:val="16"/>
          <w:color w:val="auto"/>
        </w:rPr>
        <w:t>. Assistant Treasurers, if there be any, shall perform such duties and have such powers as from time to time may be assigned to them by the Board of Directors, the Chief Executive Officer, the President, any Executive Vice President, if there be one, or the Treasurer, and in the absence of the Treasurer or in the event of his or her disability or refusal to act, shall perform the duties of the Treasurer, and when so acting, shall have all the powers of and be subject to all the restrictions upon the Treasurer. If required by the Board of Directors, an Assistant Treasurer shall give the Corporation a bond in such sum and with such surety or sureties as shall be satisfactory to the Board of Directors for the faithful performance of the duties of his or her office and for the restoration to the Corporation, in case of his death, resignation, retirement or removal from office, of all books, papers, vouchers, money and other property of whatever kind in his or her possession or under his or her control belonging to the Corporation.</w:t>
      </w:r>
    </w:p>
    <w:p>
      <w:pPr>
        <w:spacing w:after="0" w:line="5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i w:val="1"/>
          <w:iCs w:val="1"/>
          <w:color w:val="auto"/>
        </w:rPr>
        <w:t>Controller</w:t>
      </w:r>
      <w:r>
        <w:rPr>
          <w:rFonts w:ascii="Arial" w:cs="Arial" w:eastAsia="Arial" w:hAnsi="Arial"/>
          <w:sz w:val="18"/>
          <w:szCs w:val="18"/>
          <w:color w:val="auto"/>
        </w:rPr>
        <w:t>. The Controller shall establish and maintain the accounting records of the Corporation in accordance with generally accepted accounting principles applied on a consistent basis maintain proper internal control of the assets of the Corporation and shall perform such other duties as the Board of Directors, the Chief Executive Officer or any Vice President of the Corporation may prescribe.</w:t>
      </w:r>
    </w:p>
    <w:p>
      <w:pPr>
        <w:spacing w:after="0" w:line="7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 xml:space="preserve">4.13 </w:t>
      </w:r>
      <w:r>
        <w:rPr>
          <w:rFonts w:ascii="Arial" w:cs="Arial" w:eastAsia="Arial" w:hAnsi="Arial"/>
          <w:sz w:val="18"/>
          <w:szCs w:val="18"/>
          <w:i w:val="1"/>
          <w:iCs w:val="1"/>
          <w:color w:val="auto"/>
        </w:rPr>
        <w:t>Other Officers</w:t>
      </w:r>
      <w:r>
        <w:rPr>
          <w:rFonts w:ascii="Arial" w:cs="Arial" w:eastAsia="Arial" w:hAnsi="Arial"/>
          <w:sz w:val="18"/>
          <w:szCs w:val="18"/>
          <w:color w:val="auto"/>
        </w:rPr>
        <w:t>. Such other officers as the Board of Directors may choose shall perform such duties and have such powers as from time to time may be assigned to them by the Board of Directors. The Board of Directors may delegate to any other officer of the Corporation the power to choose such other officers and to prescribe their respective duties and powers.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4.14 </w:t>
      </w:r>
      <w:r>
        <w:rPr>
          <w:rFonts w:ascii="Arial" w:cs="Arial" w:eastAsia="Arial" w:hAnsi="Arial"/>
          <w:sz w:val="18"/>
          <w:szCs w:val="18"/>
          <w:i w:val="1"/>
          <w:iCs w:val="1"/>
          <w:color w:val="auto"/>
        </w:rPr>
        <w:t>Vacancies</w:t>
      </w:r>
      <w:r>
        <w:rPr>
          <w:rFonts w:ascii="Arial" w:cs="Arial" w:eastAsia="Arial" w:hAnsi="Arial"/>
          <w:sz w:val="18"/>
          <w:szCs w:val="18"/>
          <w:color w:val="auto"/>
        </w:rPr>
        <w:t>. The Board of Directors shall have the power to fill any vacancies in any office occurring for whatever reason.</w:t>
      </w:r>
    </w:p>
    <w:p>
      <w:pPr>
        <w:spacing w:after="0" w:line="11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 xml:space="preserve">4.15 </w:t>
      </w:r>
      <w:r>
        <w:rPr>
          <w:rFonts w:ascii="Arial" w:cs="Arial" w:eastAsia="Arial" w:hAnsi="Arial"/>
          <w:sz w:val="18"/>
          <w:szCs w:val="18"/>
          <w:i w:val="1"/>
          <w:iCs w:val="1"/>
          <w:color w:val="auto"/>
        </w:rPr>
        <w:t>Resignations</w:t>
      </w:r>
      <w:r>
        <w:rPr>
          <w:rFonts w:ascii="Arial" w:cs="Arial" w:eastAsia="Arial" w:hAnsi="Arial"/>
          <w:sz w:val="18"/>
          <w:szCs w:val="18"/>
          <w:color w:val="auto"/>
        </w:rPr>
        <w:t>. Any officer may resign at any time by submitting his written resignation to the Corporation. Such resignation shall take effect at the time of its receipt by the Corporation, unless another time be fixed in the resignation, in which case it shall become effective at the time so fixed. The acceptance of a resignation shall not be required to make it effective.</w:t>
      </w:r>
    </w:p>
    <w:p>
      <w:pPr>
        <w:sectPr>
          <w:pgSz w:w="11900" w:h="16838" w:orient="portrait"/>
          <w:cols w:equalWidth="0" w:num="1">
            <w:col w:w="11000"/>
          </w:cols>
          <w:pgMar w:left="440" w:top="274" w:right="459" w:bottom="1440" w:gutter="0" w:footer="0" w:header="0"/>
        </w:sectPr>
      </w:pPr>
    </w:p>
    <w:bookmarkStart w:id="245" w:name="page246"/>
    <w:bookmarkEnd w:id="245"/>
    <w:p>
      <w:pPr>
        <w:ind w:right="4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4.16 </w:t>
      </w:r>
      <w:r>
        <w:rPr>
          <w:rFonts w:ascii="Arial" w:cs="Arial" w:eastAsia="Arial" w:hAnsi="Arial"/>
          <w:sz w:val="18"/>
          <w:szCs w:val="18"/>
          <w:i w:val="1"/>
          <w:iCs w:val="1"/>
          <w:color w:val="auto"/>
        </w:rPr>
        <w:t>Removal</w:t>
      </w:r>
      <w:r>
        <w:rPr>
          <w:rFonts w:ascii="Arial" w:cs="Arial" w:eastAsia="Arial" w:hAnsi="Arial"/>
          <w:sz w:val="18"/>
          <w:szCs w:val="18"/>
          <w:color w:val="auto"/>
        </w:rPr>
        <w:t>. Subject to the provisions of any employment agreement approved by the Board of Directors, any officer of the Corporation may be removed at any time, with or without cause, by the Board of Directors.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 STOCK</w:t>
      </w:r>
    </w:p>
    <w:p>
      <w:pPr>
        <w:spacing w:after="0" w:line="21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i w:val="1"/>
          <w:iCs w:val="1"/>
          <w:color w:val="auto"/>
        </w:rPr>
        <w:t>Form of Certificates</w:t>
      </w:r>
      <w:r>
        <w:rPr>
          <w:rFonts w:ascii="Arial" w:cs="Arial" w:eastAsia="Arial" w:hAnsi="Arial"/>
          <w:sz w:val="18"/>
          <w:szCs w:val="18"/>
          <w:color w:val="auto"/>
        </w:rPr>
        <w:t>. Every holder of stock in the Corporation shall be entitled to have a certificate signed, in the name of the Corporation (i) by the Chief Executive Officer or the President and (ii) by the Treasurer or an Assistant Treasurer, or the Secretary or an Assistant Secretary of the Corporation, certifying the number of shares owned by him in the Corporation.</w:t>
      </w:r>
    </w:p>
    <w:p>
      <w:pPr>
        <w:spacing w:after="0" w:line="76"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i w:val="1"/>
          <w:iCs w:val="1"/>
          <w:color w:val="auto"/>
        </w:rPr>
        <w:t>Signatures</w:t>
      </w:r>
      <w:r>
        <w:rPr>
          <w:rFonts w:ascii="Arial" w:cs="Arial" w:eastAsia="Arial" w:hAnsi="Arial"/>
          <w:sz w:val="17"/>
          <w:szCs w:val="17"/>
          <w:color w:val="auto"/>
        </w:rPr>
        <w:t>. Any or all of the signatures on the certificate may be a facsimile, including, but not limited to, signatures of officers of the Corporation and countersignatures of a transfer agent or registrar. In case an officer, transfer agent or registrar who has signed or whose facsimile signature has been placed upon a certificate shall have ceased to be such officer, transfer agent or registrar before such certificate is issued, it may be issued by the Corporation with the same effect as if he were such officer, transfer agent or registrar at the date of issue.</w:t>
      </w:r>
    </w:p>
    <w:p>
      <w:pPr>
        <w:spacing w:after="0" w:line="63"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i w:val="1"/>
          <w:iCs w:val="1"/>
          <w:color w:val="auto"/>
        </w:rPr>
        <w:t>Lost Certificates</w:t>
      </w:r>
      <w:r>
        <w:rPr>
          <w:rFonts w:ascii="Arial" w:cs="Arial" w:eastAsia="Arial" w:hAnsi="Arial"/>
          <w:sz w:val="16"/>
          <w:szCs w:val="16"/>
          <w:color w:val="auto"/>
        </w:rPr>
        <w:t>. The Board of Directors may direct a new certificate or certificates to be issued in place of any certificate or certificates theretofore issued by the Corporation alleged to have been lost, stolen or destroyed, upon the making of an affidavit of that fact by the person claiming the certificate of stock to be lost, stolen or destroyed. When authorizing such issue of a new certificate, the Board of Directors may, in its discretion and as a condition precedent to the issuance thereof, require the owner of such lost, stolen or destroyed certificate, or his legal representative, to advertise the same in such manner as the Board of Directors shall require and/or to give the Corporation a bond in such sum as it may direct as indemnity against any claim that may be made against the Corporation with respect to the certificate alleged to have been lost, stolen or destroyed.</w:t>
      </w:r>
    </w:p>
    <w:p>
      <w:pPr>
        <w:spacing w:after="0" w:line="56"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i w:val="1"/>
          <w:iCs w:val="1"/>
          <w:color w:val="auto"/>
        </w:rPr>
        <w:t>Transfers</w:t>
      </w:r>
      <w:r>
        <w:rPr>
          <w:rFonts w:ascii="Arial" w:cs="Arial" w:eastAsia="Arial" w:hAnsi="Arial"/>
          <w:sz w:val="16"/>
          <w:szCs w:val="16"/>
          <w:color w:val="auto"/>
        </w:rPr>
        <w:t>. The Board of Directors shall have power and authority to make such rules and regulations as they may deem expedient concerning the issuance, registration and transfer of certificates representing shares of the Corporation’s stock, and may appoint transfer agents and registrars thereof.</w:t>
      </w:r>
    </w:p>
    <w:p>
      <w:pPr>
        <w:spacing w:after="0" w:line="16"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i w:val="1"/>
          <w:iCs w:val="1"/>
          <w:color w:val="auto"/>
        </w:rPr>
        <w:t>Fixing Record Date</w:t>
      </w:r>
      <w:r>
        <w:rPr>
          <w:rFonts w:ascii="Arial" w:cs="Arial" w:eastAsia="Arial" w:hAnsi="Arial"/>
          <w:sz w:val="16"/>
          <w:szCs w:val="16"/>
          <w:color w:val="auto"/>
        </w:rPr>
        <w:t>. For the purpose of determining the shareholders entitled to notice of or to vote at any meeting of shareholders or any adjournment thereof, or to express consent to or dissent from any proposal without a meeting, or for the purpose of determining shareholders entitled to receive payment of any dividend or the allotment of any rights, the Board of Directors shall fix a record date for any such determination that is not more than sixty (60) nor less than fifteen (15) days before the date of such meeting, nor more than sixty (60) days prior to any other action.</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NOTICES</w:t>
      </w:r>
    </w:p>
    <w:p>
      <w:pPr>
        <w:spacing w:after="0" w:line="21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i w:val="1"/>
          <w:iCs w:val="1"/>
          <w:color w:val="auto"/>
        </w:rPr>
        <w:t>Form of Notice</w:t>
      </w:r>
      <w:r>
        <w:rPr>
          <w:rFonts w:ascii="Arial" w:cs="Arial" w:eastAsia="Arial" w:hAnsi="Arial"/>
          <w:sz w:val="18"/>
          <w:szCs w:val="18"/>
          <w:color w:val="auto"/>
        </w:rPr>
        <w:t>. Notices to directors and shareholders other than notices to directors of special meetings of the board of Directors which may be given by any means stated in Article III, Section 3.4, shall be in writing and delivered personally or mailed to the directors or shareholders at their addresses appearing on the books of the Corporation. Notice by mail shall be deemed to be given at the time when the same shall be mailed. Notice to directors may also be given by telegram.</w:t>
      </w:r>
    </w:p>
    <w:p>
      <w:pPr>
        <w:sectPr>
          <w:pgSz w:w="11900" w:h="16838" w:orient="portrait"/>
          <w:cols w:equalWidth="0" w:num="1">
            <w:col w:w="11000"/>
          </w:cols>
          <w:pgMar w:left="440" w:top="274" w:right="459" w:bottom="1440" w:gutter="0" w:footer="0" w:header="0"/>
        </w:sectPr>
      </w:pPr>
    </w:p>
    <w:bookmarkStart w:id="246" w:name="page247"/>
    <w:bookmarkEnd w:id="246"/>
    <w:p>
      <w:pPr>
        <w:ind w:right="10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6.2 </w:t>
      </w:r>
      <w:r>
        <w:rPr>
          <w:rFonts w:ascii="Arial" w:cs="Arial" w:eastAsia="Arial" w:hAnsi="Arial"/>
          <w:sz w:val="16"/>
          <w:szCs w:val="16"/>
          <w:i w:val="1"/>
          <w:iCs w:val="1"/>
          <w:color w:val="auto"/>
        </w:rPr>
        <w:t>Waiver of Notice</w:t>
      </w:r>
      <w:r>
        <w:rPr>
          <w:rFonts w:ascii="Arial" w:cs="Arial" w:eastAsia="Arial" w:hAnsi="Arial"/>
          <w:sz w:val="16"/>
          <w:szCs w:val="16"/>
          <w:color w:val="auto"/>
        </w:rPr>
        <w:t>. Whenever any notice is required to be given under the provisions of law or the Articles of Incorporation or by these Bylaws of the Corporation, a written waiver, signed by the person or persons entitled to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shareholders, Directors, or members of a committee of Directors need be specified in any written waiver of notice unless so required by the Articles of Incorporation.</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 OF DIRECTORS AND OFFICERS</w:t>
      </w:r>
    </w:p>
    <w:p>
      <w:pPr>
        <w:spacing w:after="0" w:line="21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7.1 The Corporation shall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 The termination of any action, suit or proceeding by judgment, order, settlement, conviction, or upon a plea of nolo contendere or its equivalent, shall not, of itself, create a presumption that the person did not act in good faith and in a manner which he reasonably believed to be in or not opposed to the best interests of the Corporation, and, with respect to any criminal action or proceeding, had reasonable cause to believe that his conduct was unlawful.</w:t>
      </w:r>
    </w:p>
    <w:p>
      <w:pPr>
        <w:spacing w:after="0" w:line="7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7.2 The Corporation shall indemnify any person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in which such action or suit was properly brought shall determine upon application that, despite the adjudication of liability, but in view of all the circumstances of the case, such person is fairly and reasonably entitled to indemnity for such expenses which such court having proper jurisdiction shall deem proper.</w:t>
      </w:r>
    </w:p>
    <w:p>
      <w:pPr>
        <w:spacing w:after="0" w:line="58"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7.3 To the extent that a director, officer, employee or agent of the Corporation has been successful on the merits or otherwise in defense of any action, suit or proceeding referred to in Sections 1 or 2 of this Article, or in defense of any claim, issue or matter therein, he shall be indemnified against expenses (including attorneys’ fees) actually and reasonably incurred by him or her in connection therewith.</w:t>
      </w:r>
    </w:p>
    <w:p>
      <w:pPr>
        <w:sectPr>
          <w:pgSz w:w="11900" w:h="16838" w:orient="portrait"/>
          <w:cols w:equalWidth="0" w:num="1">
            <w:col w:w="11020"/>
          </w:cols>
          <w:pgMar w:left="440" w:top="274" w:right="439" w:bottom="1440" w:gutter="0" w:footer="0" w:header="0"/>
        </w:sectPr>
      </w:pPr>
    </w:p>
    <w:bookmarkStart w:id="247" w:name="page248"/>
    <w:bookmarkEnd w:id="247"/>
    <w:p>
      <w:pPr>
        <w:ind w:left="4"/>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7.4 Any indemnification under Sections 7.1 or 7.2 of this Article (unless ordered by a court having proper jurisdiction) shall be made by the Corporation only as authorized in the specific case upon a determination that indemnification of the director, officer, employee or agent is proper in the circumstances because he has met the applicable standard of conduct set forth in such section. Such determination shall be made:</w:t>
      </w:r>
    </w:p>
    <w:p>
      <w:pPr>
        <w:spacing w:after="0" w:line="57" w:lineRule="exact"/>
        <w:rPr>
          <w:sz w:val="20"/>
          <w:szCs w:val="20"/>
          <w:color w:val="auto"/>
        </w:rPr>
      </w:pPr>
    </w:p>
    <w:p>
      <w:pPr>
        <w:ind w:left="244" w:hanging="244"/>
        <w:spacing w:after="0"/>
        <w:tabs>
          <w:tab w:leader="none" w:pos="244" w:val="left"/>
        </w:tabs>
        <w:numPr>
          <w:ilvl w:val="0"/>
          <w:numId w:val="140"/>
        </w:numPr>
        <w:rPr>
          <w:rFonts w:ascii="Arial" w:cs="Arial" w:eastAsia="Arial" w:hAnsi="Arial"/>
          <w:sz w:val="17"/>
          <w:szCs w:val="17"/>
          <w:color w:val="auto"/>
        </w:rPr>
      </w:pPr>
      <w:r>
        <w:rPr>
          <w:rFonts w:ascii="Arial" w:cs="Arial" w:eastAsia="Arial" w:hAnsi="Arial"/>
          <w:sz w:val="17"/>
          <w:szCs w:val="17"/>
          <w:color w:val="auto"/>
        </w:rPr>
        <w:t>By the Board of Directors by a majority vote of a quorum consisting of directors who were not parties to such action, suit or proceeding, or</w:t>
      </w:r>
    </w:p>
    <w:p>
      <w:pPr>
        <w:spacing w:after="0" w:line="128" w:lineRule="exact"/>
        <w:rPr>
          <w:rFonts w:ascii="Arial" w:cs="Arial" w:eastAsia="Arial" w:hAnsi="Arial"/>
          <w:sz w:val="17"/>
          <w:szCs w:val="17"/>
          <w:color w:val="auto"/>
        </w:rPr>
      </w:pPr>
    </w:p>
    <w:p>
      <w:pPr>
        <w:ind w:left="4" w:right="320" w:hanging="4"/>
        <w:spacing w:after="0" w:line="277" w:lineRule="auto"/>
        <w:tabs>
          <w:tab w:leader="none" w:pos="259"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If such a quorum is not obtainable, or, even if obtainable a quorum of disinterested directors so directs, by independent legal counsel in a written opinion, or</w:t>
      </w:r>
    </w:p>
    <w:p>
      <w:pPr>
        <w:spacing w:after="0" w:line="62" w:lineRule="exact"/>
        <w:rPr>
          <w:rFonts w:ascii="Arial" w:cs="Arial" w:eastAsia="Arial" w:hAnsi="Arial"/>
          <w:sz w:val="18"/>
          <w:szCs w:val="18"/>
          <w:color w:val="auto"/>
        </w:rPr>
      </w:pPr>
    </w:p>
    <w:p>
      <w:pPr>
        <w:ind w:left="244" w:hanging="244"/>
        <w:spacing w:after="0"/>
        <w:tabs>
          <w:tab w:leader="none" w:pos="244" w:val="left"/>
        </w:tabs>
        <w:numPr>
          <w:ilvl w:val="0"/>
          <w:numId w:val="140"/>
        </w:numPr>
        <w:rPr>
          <w:rFonts w:ascii="Arial" w:cs="Arial" w:eastAsia="Arial" w:hAnsi="Arial"/>
          <w:sz w:val="18"/>
          <w:szCs w:val="18"/>
          <w:color w:val="auto"/>
        </w:rPr>
      </w:pPr>
      <w:r>
        <w:rPr>
          <w:rFonts w:ascii="Arial" w:cs="Arial" w:eastAsia="Arial" w:hAnsi="Arial"/>
          <w:sz w:val="18"/>
          <w:szCs w:val="18"/>
          <w:color w:val="auto"/>
        </w:rPr>
        <w:t>By the shareholders.</w:t>
      </w:r>
    </w:p>
    <w:p>
      <w:pPr>
        <w:spacing w:after="0" w:line="117" w:lineRule="exact"/>
        <w:rPr>
          <w:sz w:val="20"/>
          <w:szCs w:val="20"/>
          <w:color w:val="auto"/>
        </w:rPr>
      </w:pPr>
    </w:p>
    <w:p>
      <w:pPr>
        <w:ind w:left="4" w:right="20"/>
        <w:spacing w:after="0" w:line="257" w:lineRule="auto"/>
        <w:rPr>
          <w:sz w:val="20"/>
          <w:szCs w:val="20"/>
          <w:color w:val="auto"/>
        </w:rPr>
      </w:pPr>
      <w:r>
        <w:rPr>
          <w:rFonts w:ascii="Arial" w:cs="Arial" w:eastAsia="Arial" w:hAnsi="Arial"/>
          <w:sz w:val="18"/>
          <w:szCs w:val="18"/>
          <w:color w:val="auto"/>
        </w:rPr>
        <w:t>7.5 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he is not entitled to be indemnified by the Corporation as authorized in this Section. Such expenses (including attorneys’ fees) incurred by other employees and agents may be so paid upon such terms and conditions, if any, as the Board of Directors deems appropriate.</w:t>
      </w:r>
    </w:p>
    <w:p>
      <w:pPr>
        <w:spacing w:after="0" w:line="80" w:lineRule="exact"/>
        <w:rPr>
          <w:sz w:val="20"/>
          <w:szCs w:val="20"/>
          <w:color w:val="auto"/>
        </w:rPr>
      </w:pPr>
    </w:p>
    <w:p>
      <w:pPr>
        <w:ind w:left="4" w:right="160"/>
        <w:spacing w:after="0" w:line="259" w:lineRule="auto"/>
        <w:rPr>
          <w:sz w:val="20"/>
          <w:szCs w:val="20"/>
          <w:color w:val="auto"/>
        </w:rPr>
      </w:pPr>
      <w:r>
        <w:rPr>
          <w:rFonts w:ascii="Arial" w:cs="Arial" w:eastAsia="Arial" w:hAnsi="Arial"/>
          <w:sz w:val="18"/>
          <w:szCs w:val="18"/>
          <w:color w:val="auto"/>
        </w:rPr>
        <w:t>7.6 The indemnification and advancement of expenses provided by, or granted pursuant to, the other sections of this Article shall not be deemed exclusive of any other rights to which those seeking indemnification or advancement of expenses may be entitled under any bylaw, agreement, vote of shareholders or disinterested directors or otherwise, both as to action in his official capacity and as to action in another capacity while holding such office.</w:t>
      </w:r>
    </w:p>
    <w:p>
      <w:pPr>
        <w:spacing w:after="0" w:line="79" w:lineRule="exact"/>
        <w:rPr>
          <w:sz w:val="20"/>
          <w:szCs w:val="20"/>
          <w:color w:val="auto"/>
        </w:rPr>
      </w:pPr>
    </w:p>
    <w:p>
      <w:pPr>
        <w:ind w:left="4"/>
        <w:spacing w:after="0" w:line="301" w:lineRule="auto"/>
        <w:rPr>
          <w:sz w:val="20"/>
          <w:szCs w:val="20"/>
          <w:color w:val="auto"/>
        </w:rPr>
      </w:pPr>
      <w:r>
        <w:rPr>
          <w:rFonts w:ascii="Arial" w:cs="Arial" w:eastAsia="Arial" w:hAnsi="Arial"/>
          <w:sz w:val="16"/>
          <w:szCs w:val="16"/>
          <w:color w:val="auto"/>
        </w:rPr>
        <w:t>7.7 The Corporation shall have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him and incurred by him in any such capacity, or arising out of his status as such, whether or not the Corporation would have the power to indemnify him against such liability under the provisions of this Article.</w:t>
      </w:r>
    </w:p>
    <w:p>
      <w:pPr>
        <w:spacing w:after="0" w:line="49" w:lineRule="exact"/>
        <w:rPr>
          <w:sz w:val="20"/>
          <w:szCs w:val="20"/>
          <w:color w:val="auto"/>
        </w:rPr>
      </w:pPr>
    </w:p>
    <w:p>
      <w:pPr>
        <w:ind w:left="4"/>
        <w:spacing w:after="0" w:line="273" w:lineRule="auto"/>
        <w:rPr>
          <w:sz w:val="20"/>
          <w:szCs w:val="20"/>
          <w:color w:val="auto"/>
        </w:rPr>
      </w:pPr>
      <w:r>
        <w:rPr>
          <w:rFonts w:ascii="Arial" w:cs="Arial" w:eastAsia="Arial" w:hAnsi="Arial"/>
          <w:sz w:val="17"/>
          <w:szCs w:val="17"/>
          <w:color w:val="auto"/>
        </w:rPr>
        <w:t>7.8 For purposes of this Article,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this Article with respect to the resulting or surviving Corporation as he would have with respect to such constituent Corporation of its separate existence had continued.</w:t>
      </w:r>
    </w:p>
    <w:p>
      <w:pPr>
        <w:sectPr>
          <w:pgSz w:w="11900" w:h="16838" w:orient="portrait"/>
          <w:cols w:equalWidth="0" w:num="1">
            <w:col w:w="10984"/>
          </w:cols>
          <w:pgMar w:left="436" w:top="274" w:right="479" w:bottom="1440" w:gutter="0" w:footer="0" w:header="0"/>
        </w:sectPr>
      </w:pPr>
    </w:p>
    <w:bookmarkStart w:id="248" w:name="page249"/>
    <w:bookmarkEnd w:id="248"/>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7.9 For purposes of this Article, references to “other enterprises” shall include employee benefit plans; references to “fines” shall include any excise taxes assessed on a person with respect to any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reasonably believed to be in the interest of the participants and beneficiaries of an employee benefit plan shall be deemed to have acted in a manner “not opposed to the best interests of the Corporation” as referred to in this Article.</w:t>
      </w:r>
    </w:p>
    <w:p>
      <w:pPr>
        <w:spacing w:after="0" w:line="70"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7.10 The indemnification and advancement of expenses provided by, or granted pursuant to, this Article shall, unless otherwise provided when authorized or ratified, continue as to a person who has ceased to be a director, officer, employee or agent and shall inure to the benefit of the heirs, executors and administrators of such a person.</w:t>
      </w:r>
    </w:p>
    <w:p>
      <w:pPr>
        <w:spacing w:after="0" w:line="76"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7.11 No director or officer of the Corporation shall be personally liable to the Corporation or to any shareholder of the Corporation for monetary damages for breach of fiduciary duty as a director or officer, provided that this provision shall not limit the liability of a director or officer (i) for any breach of the director’s or the officer’s duty of loyalty to the Corporation or its shareholders, (ii) for acts or omissions not in good faith or which involve intentional misconduct or a knowing violation of law, or (iii) for any transaction from which the director or officer derived an improper personal benefit.</w:t>
      </w: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PROVISIONS</w:t>
      </w:r>
    </w:p>
    <w:p>
      <w:pPr>
        <w:spacing w:after="0" w:line="21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i w:val="1"/>
          <w:iCs w:val="1"/>
          <w:color w:val="auto"/>
        </w:rPr>
        <w:t>Reliance on Books and Records</w:t>
      </w:r>
      <w:r>
        <w:rPr>
          <w:rFonts w:ascii="Arial" w:cs="Arial" w:eastAsia="Arial" w:hAnsi="Arial"/>
          <w:sz w:val="18"/>
          <w:szCs w:val="18"/>
          <w:color w:val="auto"/>
        </w:rPr>
        <w:t>. Each Director, each member of any committee designated by the Board of Directors, and each officer of the Corporation, shall, in the performance of his duties, be fully protected in relying in good faith upon the books of account or other records of the Corporation, including reports made to the Corporation by any of its officers, by an independent certified public accountant, or by an appraiser selected with reasonable care.</w:t>
      </w:r>
    </w:p>
    <w:p>
      <w:pPr>
        <w:spacing w:after="0" w:line="7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i w:val="1"/>
          <w:iCs w:val="1"/>
          <w:color w:val="auto"/>
        </w:rPr>
        <w:t>Dividends</w:t>
      </w:r>
      <w:r>
        <w:rPr>
          <w:rFonts w:ascii="Arial" w:cs="Arial" w:eastAsia="Arial" w:hAnsi="Arial"/>
          <w:sz w:val="16"/>
          <w:szCs w:val="16"/>
          <w:color w:val="auto"/>
        </w:rPr>
        <w:t>. Subject to the provisions of the Articles of Incorporation, if any, dividends upon the capital stock of the Corporation may be declared by the Board of Directors at any regular or special meeting, pursuant to law. Dividends may be paid in cash, in property, or in shares of the capital stock, subject to the provisions of the Articles of Incorporation. Before payment of any dividend, there may be set aside out of any funds of the Corporation available for dividends such sum or sums as the Directors from time to time, in their absolute discretion, think proper as a reserve or reserves to meet contingencies, or for equalizing dividends, or for repairing or maintaining any property of the Corporation, or for such other purpose as the Directors shall think conducive to the interest of the Corporation, and the Directors may modify or abolish any such reserve in the manner in which it was created.</w:t>
      </w:r>
    </w:p>
    <w:p>
      <w:pPr>
        <w:spacing w:after="0" w:line="5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i w:val="1"/>
          <w:iCs w:val="1"/>
          <w:color w:val="auto"/>
        </w:rPr>
        <w:t>Annual Statement</w:t>
      </w:r>
      <w:r>
        <w:rPr>
          <w:rFonts w:ascii="Arial" w:cs="Arial" w:eastAsia="Arial" w:hAnsi="Arial"/>
          <w:sz w:val="18"/>
          <w:szCs w:val="18"/>
          <w:color w:val="auto"/>
        </w:rPr>
        <w:t>. The Board of Directors shall present at each annual meeting, and at any special meeting of the shareholders when called for by vote of the shareholders, a full and clear statement of the business and condition of the Corporation.</w:t>
      </w:r>
    </w:p>
    <w:p>
      <w:pPr>
        <w:spacing w:after="0" w:line="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i w:val="1"/>
          <w:iCs w:val="1"/>
          <w:color w:val="auto"/>
        </w:rPr>
        <w:t>Checks</w:t>
      </w:r>
      <w:r>
        <w:rPr>
          <w:rFonts w:ascii="Arial" w:cs="Arial" w:eastAsia="Arial" w:hAnsi="Arial"/>
          <w:sz w:val="18"/>
          <w:szCs w:val="18"/>
          <w:color w:val="auto"/>
        </w:rPr>
        <w:t>. All checks or demands for money and notes of the Corporation shall be signed by such officer or officers or such other persons as the Board of Directors may from time to time designate.</w:t>
      </w:r>
    </w:p>
    <w:p>
      <w:pPr>
        <w:sectPr>
          <w:pgSz w:w="11900" w:h="16838" w:orient="portrait"/>
          <w:cols w:equalWidth="0" w:num="1">
            <w:col w:w="10980"/>
          </w:cols>
          <w:pgMar w:left="440" w:top="274" w:right="479" w:bottom="1440" w:gutter="0" w:footer="0" w:header="0"/>
        </w:sectPr>
      </w:pPr>
    </w:p>
    <w:bookmarkStart w:id="249" w:name="page250"/>
    <w:bookmarkEnd w:id="249"/>
    <w:p>
      <w:pPr>
        <w:ind w:right="3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8.5 </w:t>
      </w:r>
      <w:r>
        <w:rPr>
          <w:rFonts w:ascii="Arial" w:cs="Arial" w:eastAsia="Arial" w:hAnsi="Arial"/>
          <w:sz w:val="18"/>
          <w:szCs w:val="18"/>
          <w:i w:val="1"/>
          <w:iCs w:val="1"/>
          <w:color w:val="auto"/>
        </w:rPr>
        <w:t>Fiscal Year</w:t>
      </w:r>
      <w:r>
        <w:rPr>
          <w:rFonts w:ascii="Arial" w:cs="Arial" w:eastAsia="Arial" w:hAnsi="Arial"/>
          <w:sz w:val="18"/>
          <w:szCs w:val="18"/>
          <w:color w:val="auto"/>
        </w:rPr>
        <w:t>. The fiscal year of the Corporation shall be as determined by the Board of Directors. If the Board of Directors shall fail to do so, the Chief Executive Officer shall fix the fiscal year.</w:t>
      </w:r>
    </w:p>
    <w:p>
      <w:pPr>
        <w:spacing w:after="0" w:line="62"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 xml:space="preserve">8.6 </w:t>
      </w:r>
      <w:r>
        <w:rPr>
          <w:rFonts w:ascii="Arial" w:cs="Arial" w:eastAsia="Arial" w:hAnsi="Arial"/>
          <w:sz w:val="16"/>
          <w:szCs w:val="16"/>
          <w:i w:val="1"/>
          <w:iCs w:val="1"/>
          <w:color w:val="auto"/>
        </w:rPr>
        <w:t>Seal</w:t>
      </w:r>
      <w:r>
        <w:rPr>
          <w:rFonts w:ascii="Arial" w:cs="Arial" w:eastAsia="Arial" w:hAnsi="Arial"/>
          <w:sz w:val="16"/>
          <w:szCs w:val="16"/>
          <w:color w:val="auto"/>
        </w:rPr>
        <w:t>. The corporate seal shall have inscribed thereon the name of the Corporation, the year of its organization and the words “Corporate Seal, The Republic of the Marshall Islands.” The seal may be used by causing it or a facsimile thereof to be impressed or affixed or in any manner reproduced.</w:t>
      </w:r>
    </w:p>
    <w:p>
      <w:pPr>
        <w:spacing w:after="0" w:line="1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 xml:space="preserve">8.7 </w:t>
      </w:r>
      <w:r>
        <w:rPr>
          <w:rFonts w:ascii="Arial" w:cs="Arial" w:eastAsia="Arial" w:hAnsi="Arial"/>
          <w:sz w:val="17"/>
          <w:szCs w:val="17"/>
          <w:i w:val="1"/>
          <w:iCs w:val="1"/>
          <w:color w:val="auto"/>
        </w:rPr>
        <w:t>Amendments</w:t>
      </w:r>
      <w:r>
        <w:rPr>
          <w:rFonts w:ascii="Arial" w:cs="Arial" w:eastAsia="Arial" w:hAnsi="Arial"/>
          <w:sz w:val="17"/>
          <w:szCs w:val="17"/>
          <w:color w:val="auto"/>
        </w:rPr>
        <w:t>. The Bylaws or other bylaws may be adopted, amended or repealed by the shareholders entitled to vote thereon at any regular or special meeting or, if the Articles of Incorporation so provides, by the Board of Directors. The fact that such power has been so conferred upon the Board of Directors shall not divest the shareholders of the power nor limit their power to adopt, amend or repeal Bylaws.</w:t>
      </w:r>
    </w:p>
    <w:p>
      <w:pPr>
        <w:spacing w:after="0" w:line="57" w:lineRule="exact"/>
        <w:rPr>
          <w:sz w:val="20"/>
          <w:szCs w:val="20"/>
          <w:color w:val="auto"/>
        </w:rPr>
      </w:pPr>
    </w:p>
    <w:p>
      <w:pPr>
        <w:ind w:right="880"/>
        <w:spacing w:after="0" w:line="308" w:lineRule="auto"/>
        <w:rPr>
          <w:sz w:val="20"/>
          <w:szCs w:val="20"/>
          <w:color w:val="auto"/>
        </w:rPr>
      </w:pPr>
      <w:r>
        <w:rPr>
          <w:rFonts w:ascii="Arial" w:cs="Arial" w:eastAsia="Arial" w:hAnsi="Arial"/>
          <w:sz w:val="17"/>
          <w:szCs w:val="17"/>
          <w:color w:val="auto"/>
        </w:rPr>
        <w:t xml:space="preserve">8.8 </w:t>
      </w:r>
      <w:r>
        <w:rPr>
          <w:rFonts w:ascii="Arial" w:cs="Arial" w:eastAsia="Arial" w:hAnsi="Arial"/>
          <w:sz w:val="17"/>
          <w:szCs w:val="17"/>
          <w:i w:val="1"/>
          <w:iCs w:val="1"/>
          <w:color w:val="auto"/>
        </w:rPr>
        <w:t>Interpretation of Bylaws</w:t>
      </w:r>
      <w:r>
        <w:rPr>
          <w:rFonts w:ascii="Arial" w:cs="Arial" w:eastAsia="Arial" w:hAnsi="Arial"/>
          <w:sz w:val="17"/>
          <w:szCs w:val="17"/>
          <w:color w:val="auto"/>
        </w:rPr>
        <w:t>. All words, terms and provisions of these Bylaws shall be interpreted and defined by and in accordance with the Associations Law of the Republic of the Marshall Islands, as amended, and as amended from time to time hereafter</w:t>
      </w:r>
    </w:p>
    <w:p>
      <w:pPr>
        <w:sectPr>
          <w:pgSz w:w="11900" w:h="16838" w:orient="portrait"/>
          <w:cols w:equalWidth="0" w:num="1">
            <w:col w:w="11000"/>
          </w:cols>
          <w:pgMar w:left="440" w:top="274" w:right="459" w:bottom="1440" w:gutter="0" w:footer="0" w:header="0"/>
        </w:sectPr>
      </w:pPr>
    </w:p>
    <w:bookmarkStart w:id="250" w:name="page251"/>
    <w:bookmarkEnd w:id="250"/>
    <w:p>
      <w:pPr>
        <w:jc w:val="right"/>
        <w:spacing w:after="0"/>
        <w:rPr>
          <w:sz w:val="20"/>
          <w:szCs w:val="20"/>
          <w:color w:val="auto"/>
        </w:rPr>
      </w:pPr>
      <w:r>
        <w:rPr>
          <w:rFonts w:ascii="Arial" w:cs="Arial" w:eastAsia="Arial" w:hAnsi="Arial"/>
          <w:sz w:val="18"/>
          <w:szCs w:val="18"/>
          <w:b w:val="1"/>
          <w:bCs w:val="1"/>
          <w:color w:val="auto"/>
        </w:rPr>
        <w:t>Exhibit 2.19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RIGHTS OF EACH CLASS OF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UNDER SECTION 12 OF THE EXCHANGE ACT</w:t>
      </w:r>
    </w:p>
    <w:p>
      <w:pPr>
        <w:spacing w:after="0" w:line="21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following summary is a brief description of the securities registered under Section 12 of the Securities Exchange Act of 1934, as amended (the “Exchange Act”) of Navios Maritime Holdings Inc., a Marshall Islands corporation. Unless the context requires otherwise, references to “we,” “us,” “our”, “Navios”, “Navios Holdings” and “the company” refer to Navios Maritime Holdings Inc. Capitalized terms used and not defined herein have the meaning ascribed to them in our annual report on Form 20-F to which this description of securities is an exhibit.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and Outstanding Capital Stock</w:t>
      </w:r>
    </w:p>
    <w:p>
      <w:pPr>
        <w:spacing w:after="0" w:line="121" w:lineRule="exact"/>
        <w:rPr>
          <w:sz w:val="20"/>
          <w:szCs w:val="20"/>
          <w:color w:val="auto"/>
        </w:rPr>
      </w:pPr>
    </w:p>
    <w:p>
      <w:pPr>
        <w:ind w:right="260"/>
        <w:spacing w:after="0" w:line="287" w:lineRule="auto"/>
        <w:rPr>
          <w:sz w:val="20"/>
          <w:szCs w:val="20"/>
          <w:color w:val="auto"/>
        </w:rPr>
      </w:pPr>
      <w:r>
        <w:rPr>
          <w:rFonts w:ascii="Arial" w:cs="Arial" w:eastAsia="Arial" w:hAnsi="Arial"/>
          <w:sz w:val="16"/>
          <w:szCs w:val="16"/>
          <w:color w:val="auto"/>
        </w:rPr>
        <w:t>As of December 31, 2020, under our articles of incorporation, as amended, our authorized capital stock consists of 120,000,000 shares of common stock, par value $0.0001 per share, of which 15,881,147 were issued and outstanding, and 1,000,000 shares of preferred stock, par value $0.0001 per share, of which 5,350 shares of 8.75% Series G Cumulative Redeemable Perpetual Preferred Stock (“Series G Preferred Stock”) and 17,682 shares of</w:t>
      </w:r>
    </w:p>
    <w:p>
      <w:pPr>
        <w:spacing w:after="0" w:line="2"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8.625% Series H Cumulative Redeemable Perpetual Preferred Stock (“Series H Preferred Stock”) were issued and outstanding. Series G Preferred Stock and Series H Preferred Stock are both represented by American Depositary Shares (the “Depositary Shares”).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 of December 31, 2020, we had 15,881,147 shares outstanding. Each outstanding share of common stock entitles the holder to one vote on all matters submitted to a vote of stockholders. Subject to preferences that may be applicable to any outstanding shares of preferred stock, holders of shares of common stock are entitled to receive ratably all dividends, if any, declared by the board of directors out of funds legally available for dividends. Holders of stock do not have conversion, redemption or preemptive rights to subscribe to any of our securities. All outstanding shares of common stock are fully paid and non-assessable. The rights, preferences and privileges of holders of common stock are subject to the rights of the holders of any shares of preferred stock.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NYSE under the symbol “NM”.</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G Preferred Stock and Depositary Shares</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following description of the Series G Preferred Stock and the Depositary Shares does not purport to be complete and is subject to, and qualified in its entirety by reference to, the Certificate of Designation designating the Series G Preferred Stock and setting forth the rights, preferences and limitations of the Series G Preferred Stock (the “Certificate of Designation”) and the terms of the Deposit Agreement which established the terms of the Depositary Shares.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17"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color w:val="auto"/>
        </w:rPr>
        <w:t>In general, each Depositary Share will represent, and entitle the holder, subject to the terms of the Deposit Agreement, to proportional rights and preferences (including dividends, voting, redemption and liquidation rights and preferences) as if such holder held 1/100th of one share of Series G Preferred Stock. The material terms of the Series G Preferred Stock and the Depositary Shares are summarized below.</w:t>
      </w:r>
    </w:p>
    <w:p>
      <w:pPr>
        <w:spacing w:after="0" w:line="165"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The holders of our common stock are entitled to receive, to the extent permitted by law, such dividends as may from time to time be declared by our board of directors. Upon any liquidation, dissolution or winding up of our affairs, whether voluntary or involuntary, the holders of our common stock are entitled to receive distributions of our assets, after we have satisfied or made provision for our debts and other obligations and for payment to the holders any class or series of shares (including the Series G Preferred Stock) having preferential rights to receive distributions of our assets.</w:t>
      </w:r>
    </w:p>
    <w:p>
      <w:pPr>
        <w:sectPr>
          <w:pgSz w:w="11900" w:h="16838" w:orient="portrait"/>
          <w:cols w:equalWidth="0" w:num="1">
            <w:col w:w="11020"/>
          </w:cols>
          <w:pgMar w:left="440" w:top="121" w:right="439" w:bottom="1440" w:gutter="0" w:footer="0" w:header="0"/>
        </w:sectPr>
      </w:pPr>
    </w:p>
    <w:bookmarkStart w:id="251" w:name="page252"/>
    <w:bookmarkEnd w:id="251"/>
    <w:p>
      <w:pPr>
        <w:ind w:right="10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Series G Preferred Stock entitles the holders thereof (“Series G Preferred Shareholders”) to receive cumulative cash dividends when, as and if declared by our board of directors out of legally available funds for such purpose. No fractional shares of Series G Preferred Stock have been issued. The Series G Preferred Stock represented by the Depositary Shares are fully paid and nonassessable and the Depositary Shares are validly issued and entitled to the benefits of the Deposit Agreement. Each share of Series G Preferred Stock has a fixed liquidation preference of $2,500.00 per share (equivalent to $25.00 per Depositary Share) and upon liquidation will also be entitled to an amount equal to accumulated and unpaid dividends thereon to the date fixed for payment, whether or not declared. Please see the section entitled “—Liquidation Rights.”</w:t>
      </w:r>
    </w:p>
    <w:p>
      <w:pPr>
        <w:spacing w:after="0" w:line="164"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 Series G Preferred Stock represents perpetual equity interests in us and, unlike our indebtedness, will not give rise to a claim for payment of a principal amount at a particular date. As such, the Series G Preferred Stock ranks junior to all of our indebtedness and other liabilities with respect to assets available to satisfy claims against us.</w:t>
      </w:r>
    </w:p>
    <w:p>
      <w:pPr>
        <w:spacing w:after="0" w:line="184" w:lineRule="exact"/>
        <w:rPr>
          <w:sz w:val="20"/>
          <w:szCs w:val="20"/>
          <w:color w:val="auto"/>
        </w:rPr>
      </w:pPr>
    </w:p>
    <w:p>
      <w:pPr>
        <w:jc w:val="both"/>
        <w:ind w:right="220"/>
        <w:spacing w:after="0" w:line="311" w:lineRule="auto"/>
        <w:rPr>
          <w:sz w:val="20"/>
          <w:szCs w:val="20"/>
          <w:color w:val="auto"/>
        </w:rPr>
      </w:pPr>
      <w:r>
        <w:rPr>
          <w:rFonts w:ascii="Arial" w:cs="Arial" w:eastAsia="Arial" w:hAnsi="Arial"/>
          <w:sz w:val="16"/>
          <w:szCs w:val="16"/>
          <w:color w:val="auto"/>
        </w:rPr>
        <w:t>The Series G Preferred Stock is not convertible into common stock or any other of our securities and does not have exchange rights or are entitled or subject to any preemptive or similar rights. The Series G Preferred Stock is not subject to mandatory redemption or to any sinking fund requirements. The Series G Preferred Stock is subject to redemption, in whole or in part, at our option. Please see the section entitled “—Redemption.”</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Listing</w:t>
      </w:r>
    </w:p>
    <w:p>
      <w:pPr>
        <w:spacing w:after="0" w:line="117" w:lineRule="exact"/>
        <w:rPr>
          <w:sz w:val="20"/>
          <w:szCs w:val="20"/>
          <w:color w:val="auto"/>
        </w:rPr>
      </w:pPr>
    </w:p>
    <w:p>
      <w:pPr>
        <w:jc w:val="both"/>
        <w:ind w:right="200"/>
        <w:spacing w:after="0" w:line="277" w:lineRule="auto"/>
        <w:rPr>
          <w:sz w:val="20"/>
          <w:szCs w:val="20"/>
          <w:color w:val="auto"/>
        </w:rPr>
      </w:pPr>
      <w:r>
        <w:rPr>
          <w:rFonts w:ascii="Arial" w:cs="Arial" w:eastAsia="Arial" w:hAnsi="Arial"/>
          <w:sz w:val="18"/>
          <w:szCs w:val="18"/>
          <w:color w:val="auto"/>
        </w:rPr>
        <w:t>The Depositary Shares are listed on the NYSE under the symbol “NM-PG.” The Series G Preferred Stock represented by the Depositary Shares is not listed but is registered in connection with the Depository Shares pursuant to the requirements of the SEC.</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Ranking</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Series G Preferred Stock, with respect to anticipated quarterly dividends and distributions upon the liquidation, winding-up and dissolution of our affairs, ranks:</w:t>
      </w:r>
    </w:p>
    <w:p>
      <w:pPr>
        <w:spacing w:after="0" w:line="76" w:lineRule="exact"/>
        <w:rPr>
          <w:sz w:val="20"/>
          <w:szCs w:val="20"/>
          <w:color w:val="auto"/>
        </w:rPr>
      </w:pPr>
    </w:p>
    <w:p>
      <w:pPr>
        <w:ind w:left="960" w:right="400" w:hanging="424"/>
        <w:spacing w:after="0" w:line="311" w:lineRule="auto"/>
        <w:tabs>
          <w:tab w:leader="none" w:pos="96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senior to our common stock, and to each other class or series of capital stock established after the original issue date of the Series G Preferred Stock that is not expressly made senior to or on parity with the Series G Preferred Stock as to the payment of dividends and amounts payable upon liquidation, dissolution, or winding up, whether voluntary or involuntary (“Junior Securities”);</w:t>
      </w:r>
    </w:p>
    <w:p>
      <w:pPr>
        <w:spacing w:after="0" w:line="54" w:lineRule="exact"/>
        <w:rPr>
          <w:rFonts w:ascii="Arial" w:cs="Arial" w:eastAsia="Arial" w:hAnsi="Arial"/>
          <w:sz w:val="16"/>
          <w:szCs w:val="16"/>
          <w:color w:val="auto"/>
        </w:rPr>
      </w:pPr>
    </w:p>
    <w:p>
      <w:pPr>
        <w:ind w:left="960" w:hanging="424"/>
        <w:spacing w:after="0"/>
        <w:tabs>
          <w:tab w:leader="none" w:pos="9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on a parity with the Parity Securities; and</w:t>
      </w:r>
    </w:p>
    <w:p>
      <w:pPr>
        <w:spacing w:after="0" w:line="130" w:lineRule="exact"/>
        <w:rPr>
          <w:rFonts w:ascii="Arial" w:cs="Arial" w:eastAsia="Arial" w:hAnsi="Arial"/>
          <w:sz w:val="18"/>
          <w:szCs w:val="18"/>
          <w:color w:val="auto"/>
        </w:rPr>
      </w:pPr>
    </w:p>
    <w:p>
      <w:pPr>
        <w:jc w:val="both"/>
        <w:ind w:left="960" w:right="320" w:hanging="424"/>
        <w:spacing w:after="0" w:line="286" w:lineRule="auto"/>
        <w:tabs>
          <w:tab w:leader="none" w:pos="96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junior to all of our indebtedness and other liabilities with respect to assets available to satisfy claims against us, and each other class or series of capital stock expressly made senior to the Series G Preferred Stock as to the payment of dividends and amounts payable upon liquidation, dissolution or winding up, whether voluntary or involuntary (“Senior Securities”).</w:t>
      </w:r>
    </w:p>
    <w:p>
      <w:pPr>
        <w:spacing w:after="0" w:line="16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Under the Certificate of Designation, we may issue Junior Securities from time to time in one or more series without the consent of the holders of the Series G Preferred Stock. Our board of directors has the authority to determine the preferences, powers, qualifications, limitations, restrictions and special or relative rights or privileges, if any, of any such series before the issuance of any shares of that series. Our board of directors also determines the number of shares constituting each series of securities. Our ability to issue additional Parity Securities in certain circumstances or Senior Securities is limited as described under “—Voting Rights.”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 Rights</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holders of outstanding Series G Preferred Stock are entitled, in the event of any liquidation, dissolution or winding up of our affairs, whether voluntary or involuntary, to receive the liquidation preference of $2,500.00 per share (equivalent to $25.00 per Depositary Share) in cash plus an amount equal to accumulated and unpaid dividends thereon to the date fixed for payment of such amount (whether or not declared), and no more, before any distribution will be made to the holders of our common stock, our existing preferred stock or any other Junior Securities. A consolidation or merger of us with or into any other entity, individually or in a series of transactions, will not be deemed a liquidation, dissolution or winding up of our affairs for this purpose. In the event that our assets available for distribution to holders of the outstanding Series G Preferred Stock and any Parity Securities are</w:t>
      </w:r>
    </w:p>
    <w:p>
      <w:pPr>
        <w:sectPr>
          <w:pgSz w:w="11900" w:h="16838" w:orient="portrait"/>
          <w:cols w:equalWidth="0" w:num="1">
            <w:col w:w="10980"/>
          </w:cols>
          <w:pgMar w:left="440" w:top="274" w:right="479" w:bottom="1440" w:gutter="0" w:footer="0" w:header="0"/>
        </w:sectPr>
      </w:pPr>
    </w:p>
    <w:bookmarkStart w:id="252" w:name="page253"/>
    <w:bookmarkEnd w:id="252"/>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insufficient to permit payment of all required amounts, our assets then remaining will be distributed among the Series G Preferred Stock and any Parity Securities, as applicable, ratably on the basis of their relative aggregate liquidation preferences plus the amount of any accumulated and unpaid dividends thereon (whether or not declared). After payment of all required amounts to the holders of the outstanding Series G Preferred Stock and Parity Securities, our remaining assets and funds will be distributed among the holders of our common stock, our existing preferred stock and any other Junior Securities then outstanding according to their respective rights.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Series G Preferred Stock have no voting rights except as set forth below or as otherwise provided by Marshall Islands law. In the event that one quarterly dividend payable on the Series G Preferred Stock is in arrears (whether or not such dividend shall have been declared and whether or not there are profits, surplus, or other funds legally available for the payment of dividends), we will use commercially reasonable efforts to obtain an amendment to our articles of incorporation to effectuate any and all such changes thereto as may be necessary to permit the Series G Preferred Shareholders to exercise the voting rights described in clause (x) of the following sentence. If and when dividends payable on the Series G Preferred Stock are in arrears for six or more quarterly periods, whether or not consecutive (and whether or not such dividends shall have been declared and whether or not there are profits, surplus, or other funds legally available for the payment of dividends), then (x) if our articles of incorporation have been amended as described in the preceding sentence, the Series G Preferred Shareholders will have the right, voting as a class together with holders of any other Parity Securities upon which like voting rights have been conferred and are exercisable, to elect one member of our board of directors, and the size of our board of directors will be increased as needed to accommodate such change (unless the size of our board of directors already has been increased by reason of the election of a director by holders of Parity Securities upon which like voting rights have been conferred and with which the Series G Preferred Stock voted as a class for the election of such director), and (y) if our articles of incorporation have not been amended as described in the preceding sentence, then, until such amendment is fully approved and effective, the dividend rate on the Series G Preferred Stock shall increase by 25 basis points. There can be no assurance that any such amendment to our articles of incorporation will be approved by our common stockholders. For avoidance of doubt, commercially reasonable efforts shall not be deemed to include the requirement to pay any consent or other fee to obtain such amendment. Dividends payable on the Series G Preferred Stock will be considered to be in arrears for any quarterly period for which full cumulative dividends through the most recent dividend payment date have not been paid on all outstanding Series G Preferred Stock. Any such amendment to our articles of incorporation, if obtained, shall also provide that the right of such Series G Preferred Shareholders to elect members of our board of directors will continue until such time as all dividends accumulated and in arrears on the Series G Preferred Stock have been paid in full or sufficient funds for such payment have been declared and set apart for such purpose, at which time such right will terminate, subject to the revesting of such right in the event of each and every subsequent failure to pay six quarterly dividends as described above. Upon any termination of the right of the holders of the Series G Preferred Stock and any other Parity Securities to vote as a class for such director, the term of office of such directors then in office elected by such holders voting as a class will terminate immediately. Any director elected by the holders of the Series G Preferred Stock and any other Parity Securities shall each be entitled to one vote per director on any matter before our board of directors.</w:t>
      </w:r>
    </w:p>
    <w:p>
      <w:pPr>
        <w:spacing w:after="0" w:line="175"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Unless we have received the affirmative vote or consent of the holders of at least two-thirds of the outstanding Series G Preferred Stock, voting as a single class, we may not adopt any amendment to our articles of incorporation that materially and adversely alters the preferences, powers or rights of the Series G Preferred Stock.</w:t>
      </w:r>
    </w:p>
    <w:p>
      <w:pPr>
        <w:spacing w:after="0" w:line="184"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In addition, unless we have received the affirmative vote or consent of the holders of at least two-thirds of the outstanding Series G Preferred Stock, voting as a class together with holders of any other Parity Securities upon which like voting rights have been conferred and are exercisable, we may not:</w:t>
      </w:r>
    </w:p>
    <w:p>
      <w:pPr>
        <w:spacing w:after="0" w:line="29" w:lineRule="exact"/>
        <w:rPr>
          <w:sz w:val="20"/>
          <w:szCs w:val="20"/>
          <w:color w:val="auto"/>
        </w:rPr>
      </w:pPr>
    </w:p>
    <w:p>
      <w:pPr>
        <w:ind w:left="960" w:hanging="424"/>
        <w:spacing w:after="0"/>
        <w:tabs>
          <w:tab w:leader="none" w:pos="9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issue any Parity Securities if the cumulative dividends payable on outstanding Series G Preferred Stock are in arrears; or</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create or issue any Senior Securities.</w:t>
      </w:r>
    </w:p>
    <w:p>
      <w:pPr>
        <w:sectPr>
          <w:pgSz w:w="11900" w:h="16838" w:orient="portrait"/>
          <w:cols w:equalWidth="0" w:num="1">
            <w:col w:w="11000"/>
          </w:cols>
          <w:pgMar w:left="440" w:top="274" w:right="459" w:bottom="1440" w:gutter="0" w:footer="0" w:header="0"/>
        </w:sectPr>
      </w:pPr>
    </w:p>
    <w:bookmarkStart w:id="253" w:name="page254"/>
    <w:bookmarkEnd w:id="253"/>
    <w:p>
      <w:pPr>
        <w:ind w:right="8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any matter described above in which the Series G Preferred Shareholders are entitled to vote as a class, such holders shall be entitled to one vote per share. Any shares of Series G Preferred Stock held by us or any of our subsidiaries or affiliates shall not be entitled to vote.</w:t>
      </w:r>
    </w:p>
    <w:p>
      <w:pPr>
        <w:spacing w:after="0" w:line="14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No vote or consent of Series G Preferred Shareholders shall be required for (i) the creation or incurrence of any indebtedness, (ii) the authorization or issuance of any common stock or other Junior Securities or (iii) except as expressly provided above, the authorization or issuance of any of our preferred stock.</w:t>
      </w:r>
    </w:p>
    <w:p>
      <w:pPr>
        <w:spacing w:after="0" w:line="18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Series G Preferred Stock held in nominee or street name account shall be voted by the broker or other nominee in accordance with the instruction of the beneficial owner unless the arrangement between the beneficial owner and his nominee provides otherwise.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General</w:t>
      </w:r>
    </w:p>
    <w:p>
      <w:pPr>
        <w:spacing w:after="0" w:line="11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Holders of Series G Preferred Stock are entitled to receive, when, as and if declared by our board of directors out of legally available funds for such purpose, cumulative cash dividends.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Dividend Rate</w:t>
      </w:r>
    </w:p>
    <w:p>
      <w:pPr>
        <w:spacing w:after="0" w:line="11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Dividends on Series G Preferred Stock will be cumulative, until such time as we pay the dividend or redeem the Series G Preferred Stock in full in accordance with the provisions under the heading entitled “—Redemption”, whether or not such dividends shall have been declared and whether or not there are profits, surplus, or other funds legally available for the payment of dividend.</w:t>
      </w:r>
    </w:p>
    <w:p>
      <w:pPr>
        <w:spacing w:after="0" w:line="18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Dividends on the Series G Preferred Stock accrue at a rate of 8.75% per annum per $2,500.00 stated liquidation preference per share of Series G Preferred Stock (equivalent to $25.00 per Depositary Share). The dividend rate is subject to increase in the limited circumstances described above under “—Voting Rights.”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Dividend Payment Dates</w:t>
      </w:r>
    </w:p>
    <w:p>
      <w:pPr>
        <w:spacing w:after="0" w:line="11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“Dividend Payment Dates” for the Series G Preferred Stock are each January 15, April 15, July 15 and October 15. Dividends accumulate in each dividend period from and including the preceding Dividend Payment Date or the initial issue date, as the case may be, to but excluding the next applicable Dividend Payment Date for such dividend period, and dividends will accrue on accumulated dividends at the applicable dividend date. If any Dividend Payment Date otherwise would fall on a day that is not a Business Day, declared dividends will be paid on the immediately succeeding Business Day without the accumulation of additional dividends. Dividends on the Series G Preferred Stock will be payable based on a 360-day year consisting of twelve 30-day months. “Business Day” means a day on which the NYSE is open for trading and which is not a Saturday, a Sunday or other day on which banks in New York City are authorized or required to close.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Payment of Dividends</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Not later than 5:00 pm, New York City time, on each Dividend Payment Date, we will pay those dividends, if any, on the Series G Preferred Stock that have been declared by our board of directors to the Paying Agent or, if there is no Paying Agent at the relevant time, the holders of such shares as such holders’ names appear on our share transfer books maintained by the Registrar and Transfer Agent on the applicable Record Date. The applicable record date (the “Record Date”) is the fifth Business Day immediately preceding the applicable Dividend Payment Date, except that in the case of payments of dividends in arrears, the Record Date with respect to a Dividend Payment Date will be such date as may be designated by our board of directors in accordance with the Certificate of Designation, our articles of incorporation and our bylaws.</w:t>
      </w:r>
    </w:p>
    <w:p>
      <w:pPr>
        <w:spacing w:after="0" w:line="17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Declared dividends shall be paid to the Paying Agent in same-day funds on each Dividend Payment Date. The Paying Agent is responsible for holding or disbursing such payments to holders of the Series G Preferred Stock in accordance with the instructions of such holders. In other circumstances, dividends may be paid by check mailed to the registered address of the holder of Series G Preferred Stock, unless, in any particular case, we elect to pay the wire transfer.</w:t>
      </w:r>
    </w:p>
    <w:p>
      <w:pPr>
        <w:sectPr>
          <w:pgSz w:w="11900" w:h="16838" w:orient="portrait"/>
          <w:cols w:equalWidth="0" w:num="1">
            <w:col w:w="11000"/>
          </w:cols>
          <w:pgMar w:left="440" w:top="274" w:right="459" w:bottom="1440" w:gutter="0" w:footer="0" w:header="0"/>
        </w:sectPr>
      </w:pPr>
    </w:p>
    <w:bookmarkStart w:id="254" w:name="page255"/>
    <w:bookmarkEnd w:id="254"/>
    <w:p>
      <w:pPr>
        <w:ind w:right="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dividend may be declared or paid or set apart for payment on any Junior Securities (other than a dividend payable solely in Junior Securities) unless full cumulative dividends have been or contemporaneously are being paid or provided for on all outstanding Series G Preferred Stock and any Parity Securities through the most recent respective dividend payment dates. Accumulated dividends in arrears for any past dividend period may be declared by our board of directors and paid on any date fixed by our board of directors, whether or not a Dividend Payment Date, to holders of the Series G Preferred Stock on the record date for such payment, which may not be more than 60 days, nor less than five days, before such payment date. Subject to the next succeeding sentence, if all accumulated dividends in arrears on all outstanding Series G Preferred Stock and any Parity Securities have not been declared and paid, or sufficient funds for the payment thereof have not been declared and set apart, payment of accumulated dividends in arrears will be made in order of their respective dividend payment dates, commencing with the earliest. If less than all dividends payable with respect to all Series G Preferred Stock and any Parity Securities are paid, any partial payment will be made pro rata with respect to the Series G Preferred Stock and any Parity Securities entitled to a dividend payment at such time in proportion to the aggregate amounts remaining due in respect of such shares at such time. Holders of the Series G Preferred Stock are not entitled to any dividend, whether payable in cash, property or shares, in excess of full cumulative dividends. Except insofar as dividends accrue on the amount of any accumulated and unpaid dividends as described under “Dividends—Dividend Payment Dates,” no interest or sum of money in lieu of interest shall be payable in respect of any dividend payment which may be in arrears on the Series G Preferred Stock.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Optional Redemption</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may redeem, at our option, in whole or in part, the Series G Preferred Stock (and cause the redemption of the Depositary Shares) at a redemption price in cash equal to $2,500.00 per share (equivalent to $25.00 per Depositary Share) plus an amount equal to all accumulated and unpaid dividends thereon to the date of redemption, whether or not declared. Any such optional redemption shall be effected only out of funds legally available for such purpose. We may undertake multiple partial redemptions.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Redemption Procedures</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will give notice of any redemption by mail, postage prepaid, not less than 30 days and not more than 60 days before the scheduled date of redemption, to the holders of any shares to be redeemed as such holders’ names appear on our share transfer books maintained by the Registrar and Transfer Agent at the address of such holders shown therein. Such notice shall state: (1) the redemption date, (2) the number of Series G Preferred Stock to be redeemed and, if less than all outstanding shares of Series G Preferred Stock are to be redeemed, the number (and the identification) of shares to be redeemed from such holder, (3) the redemption price, (4) the place where the shares of Series G Preferred Stock are to be redeemed and shall be presented and surrendered for payment of the redemption price therefor and (5) that dividends on the shares to be redeemed will cease to accumulate from and after such redemption date.</w:t>
      </w:r>
    </w:p>
    <w:p>
      <w:pPr>
        <w:spacing w:after="0" w:line="19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If fewer than all of the outstanding shares of Series G Preferred Stock are to be redeemed, the number of shares to be redeemed will be determined by us, and such shares of Series G Preferred Stock will be redeemed by such method of selection as the Paying Agent shall determine, either pro rata or by lot, with adjustments to avoid redemption of fractional shares.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redemption price will be paid by the Paying Agent to the holders of the Series G Preferred Stock on the redemption date.</w:t>
      </w:r>
    </w:p>
    <w:p>
      <w:pPr>
        <w:spacing w:after="0" w:line="22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aggregate redemption price for any such partial redemption of the outstanding Series G Preferred Stock shall be allocated correspondingly among the redeemed shares of Series G Preferred Stock. The shares of Series G Preferred Stock not redeemed shall remain outstanding and entitled to all the rights and preferences provided in the Certificate of Designation (including our right, if it elects so, to redeem all or part of the Series G Preferred Stock outstanding at any relevant time in accordance with the redemption provisions described herein).</w:t>
      </w:r>
    </w:p>
    <w:p>
      <w:pPr>
        <w:sectPr>
          <w:pgSz w:w="11900" w:h="16838" w:orient="portrait"/>
          <w:cols w:equalWidth="0" w:num="1">
            <w:col w:w="11000"/>
          </w:cols>
          <w:pgMar w:left="440" w:top="274" w:right="459" w:bottom="1440" w:gutter="0" w:footer="0" w:header="0"/>
        </w:sectPr>
      </w:pPr>
    </w:p>
    <w:bookmarkStart w:id="255" w:name="page256"/>
    <w:bookmarkEnd w:id="255"/>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we give or cause to be given a notice of redemption, then we will deposit with the Paying Agent funds sufficient to redeem the Series G Preferred Stock as to which notice has been given no later than 5:00 pm, New York City time, on the Business Day immediately preceding the date fixed for redemption, and will give the Paying Agent irrevocable instructions and authority to pay the redemption price to the holder or holders thereof upon surrender or deemed surrender of the certificates therefor. If notice of redemption shall have been given, then from and after the date fixed for redemption, unless we default in providing funds sufficient for such redemption at the time and place specified for payment pursuant to the notice, all dividends on such shares will cease to accumulate and all rights of holders of such shares of Series G Preferred Stock as Series G Preferred Shareholders will cease, except the right to receive the redemption price, including an amount equal to accumulated and unpaid dividends through the date fixed for redemption, whether or not declared. We will be entitled to receive from the Paying Agent the interest income, if any, earned on such funds deposited with the Paying Agent (to the extent that such interest income is not required to pay the redemption price of the shares to be redeemed), and the holders of any shares so redeemed will have no claim to any such interest income. Any funds deposited with the Paying Agent hereunder by us for any reason, including, but not limited to, redemption of Series G Preferred Stock, that remain unclaimed or unpaid after two years after the applicable redemption date or other payment date, shall be, to the extent permitted by law, repaid to us upon our written request, after which repayment the holders of the Series G Preferred Stock entitled to such redemption or other payment shall have recourse only to us.</w:t>
      </w:r>
    </w:p>
    <w:p>
      <w:pPr>
        <w:spacing w:after="0" w:line="174"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If only a portion of the Series G Preferred Stock represented by a certificate has been called for redemption, upon surrender of the certificate to the Paying Agent, the Paying Agent will issue to the holder of such shares a new certificate (or adjust the applicable book-entry account) representing the number of shares of Series G Preferred Stock represented by the surrendered certificate that have not been called for redemption.</w:t>
      </w:r>
    </w:p>
    <w:p>
      <w:pPr>
        <w:spacing w:after="0" w:line="149"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Notwithstanding any notice of redemption, there will be no redemption of any Series G Preferred Stock called for redemption until funds sufficient to pay the full redemption price of such shares, including all accumulated and unpaid dividends to the date of redemption, whether or not declared, have been deposited by us with the Paying Agent.</w:t>
      </w:r>
    </w:p>
    <w:p>
      <w:pPr>
        <w:spacing w:after="0" w:line="184" w:lineRule="exact"/>
        <w:rPr>
          <w:sz w:val="20"/>
          <w:szCs w:val="20"/>
          <w:color w:val="auto"/>
        </w:rPr>
      </w:pPr>
    </w:p>
    <w:p>
      <w:pPr>
        <w:ind w:right="320"/>
        <w:spacing w:after="0" w:line="311" w:lineRule="auto"/>
        <w:rPr>
          <w:sz w:val="20"/>
          <w:szCs w:val="20"/>
          <w:color w:val="auto"/>
        </w:rPr>
      </w:pPr>
      <w:r>
        <w:rPr>
          <w:rFonts w:ascii="Arial" w:cs="Arial" w:eastAsia="Arial" w:hAnsi="Arial"/>
          <w:sz w:val="16"/>
          <w:szCs w:val="16"/>
          <w:color w:val="auto"/>
        </w:rPr>
        <w:t>We and our affiliates may from time to time purchase shares of the Series G Preferred Stock, subject to compliance with all applicable securities and other laws. Neither we nor any of our affiliates has any obligation, or any present plan or intention, to purchase any Series G Preferred Stock. Any shares repurchased and canceled by us will revert to the status of authorized but unissued preferred stock undesignated by us.</w:t>
      </w:r>
    </w:p>
    <w:p>
      <w:pPr>
        <w:spacing w:after="0" w:line="14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Notwithstanding the foregoing, in the event that full cumulative dividends on the Series G Preferred Stock and any Parity Securities have not been paid or declared and set apart for payment, we and our affiliates may not repurchase, redeem or otherwise acquire, in whole or in part, any Series G Preferred Stock or Parity Securities except pursuant to a purchase or exchange offer made on the same terms to all holders of Series G Preferred Stock and any Parity Securities. Common stock, our existing preferred stock and any other Junior Securities may not be redeemed, repurchased or otherwise acquired unless full cumulative dividends on the Series G Preferred Stock and any Parity Securities for all prior and the then-ending dividend periods have been paid or declared and set apart for payment.</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 Sinking Fund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Series G Preferred Stock does not have the benefit of any sinking fund.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Depositary Shares</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is a summary of the terms and provisions of the Depositary Shares. The following summary does not set forth the full terms or provisions of the Depositary Shares, which is set forth in the Deposit Agreement.</w:t>
      </w:r>
    </w:p>
    <w:p>
      <w:pPr>
        <w:sectPr>
          <w:pgSz w:w="11900" w:h="16838" w:orient="portrait"/>
          <w:cols w:equalWidth="0" w:num="1">
            <w:col w:w="11000"/>
          </w:cols>
          <w:pgMar w:left="440" w:top="274" w:right="459" w:bottom="1440" w:gutter="0" w:footer="0" w:header="0"/>
        </w:sectPr>
      </w:pPr>
    </w:p>
    <w:bookmarkStart w:id="256" w:name="page257"/>
    <w:bookmarkEnd w:id="256"/>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Dividends and Other Distributions</w:t>
      </w:r>
    </w:p>
    <w:p>
      <w:pPr>
        <w:spacing w:after="0" w:line="117"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We pay all cash dividends and other cash distributions to the Depositary through the Paying Agent, or if there is no Paying Agent at the relevant time, directly to the Depositary as the holder of the Series G Preferred Stock. The Depositary has agreed to pay to Depositary Shareholders the cash dividends or other distributions it or the custodian receives on shares of Series G Preferred Stock or other deposited securities, after deducting its fees and expenses. You shall receive these distributions in proportion to the number of shares of Series G Preferred Stock that your Depositary Shares represent.</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Cash</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Before making any cash dividend or other cash distribution, any withholding taxes or other governmental charges that must be paid will be deducted.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Depositary will distribute only whole U.S. dollars and cents and will round fractional cents to the nearest whole cent.</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Shares</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Depositary may, and shall if we request in writing, distribute additional Depositary Shares representing any shares of Series G Preferred Stock we distribute as a share dividend or other distribution. The Depositary will only distribute whole Depositary Shares. It will sell shares of Series G Preferred Stock which would require it to deliver a fractional Depositary Share and distribute the net proceeds in the same way as it does with cash. If the Depositary does not distribute additional Depositary Shares, the outstanding Depositary Shares will also represent the new shares of Series G Preferred Stock. The Depositary may sell a portion of the distributed shares of Series G Preferred Stock sufficient to pay its fees and expenses in connection with that distribution.</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Rights to Purchase Additional Shares of Series G Preferred Stock</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If we offer holders of our securities any rights to subscribe for additional shares of Series G Preferred Stock or any other rights, the Depositary may make these rights available to Depositary Shareholders. If the Depositary reasonably determines, after consultation with us to the extent practicable, it is not legal and practical to make the rights available but that it is practical to sell the rights, the Depositary will use reasonable efforts to sell the rights and distribute the proceeds in the same way as it does with cash. The Depositary will allow rights that are not distributed or sold to lapse. In that case, you will receive no value for the rights.</w:t>
      </w:r>
    </w:p>
    <w:p>
      <w:pPr>
        <w:spacing w:after="0" w:line="18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If the Depositary makes rights available to Depositary Shareholders, it will exercise the rights and purchase the shares of Series G Preferred Stock on your behalf. The Depositary will then deposit the shares of Series G Preferred Stock and deliver Depositary Shares to the persons entitled to them. It will only exercise rights if you pay it the exercise price and any other charges the rights require you to pay.</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U.S. securities laws may restrict transfers and cancellation of the Depositary Shares represented by shares of Series G Preferred Stock purchased upon exercise of rights. For example, you may not be able to trade these Depositary Shares freely in the United States. In this case, the Depositary may deliver restricted Depositary Shares that have the same terms as the Depositary Shares described in this section except for changes needed to put the necessary restrictions in place.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Distributions</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Depositary will send to Depositary Shareholders anything else we distribute on the Series G Preferred Stock or other deposited securities by any means, as promptly as practicable, after consultation with us, it thinks is legal, fair and practical. If it cannot make the distribution in that way, the Depositary may decide to sell what we distributed and distribute the net proceeds, in the same way as it does with cash, or it may decide to hold what we distributed, in which case Depositary Shares will also represent the newly distributed property. However, the Depositary is not required to distribute any securities (other than Depositary Shares) to Depositary Shareholders unless it receives reasonably satisfactory evidence from us that it is legal to make that distribution. The Depositary may sell a portion of the distributed securities or property sufficient to pay its fees and expenses in connection with that distribution.</w:t>
      </w:r>
    </w:p>
    <w:p>
      <w:pPr>
        <w:sectPr>
          <w:pgSz w:w="11900" w:h="16838" w:orient="portrait"/>
          <w:cols w:equalWidth="0" w:num="1">
            <w:col w:w="11000"/>
          </w:cols>
          <w:pgMar w:left="440" w:top="274" w:right="459" w:bottom="1440" w:gutter="0" w:footer="0" w:header="0"/>
        </w:sectPr>
      </w:pPr>
    </w:p>
    <w:bookmarkStart w:id="257" w:name="page258"/>
    <w:bookmarkEnd w:id="257"/>
    <w:p>
      <w:pPr>
        <w:ind w:right="10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Neither the Company nor the Depositary is responsible if the Depositary determines that it is unlawful or impractical to make a distribution available to any Depositary Shareholders. We have no obligation to register Depositary Shares, shares of Series G Preferred Stock, rights or other securities under the Securities Act. We also have no obligation to take any other action to permit the distribution of Depositary Shares, shares of Series G Preferred Stock, rights or anything else to Depositary Shareholders. This means that you may not receive the distributions we make on our shares of Series G Preferred Stock or any value for them if it is illegal or impractical for us to make them available to you.</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w:t>
      </w:r>
    </w:p>
    <w:p>
      <w:pPr>
        <w:spacing w:after="0" w:line="11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If we give notice of a redemption of any Series G Preferred Stock or other deposited securities, the Depositary will call for surrender of a corresponding number of Depositary Shares. The Depositary will surrender the redeemed Series G Preferred Stock or other deposited securities on the redemption date. Holders of the Depositary Shares that were called for surrender will be entitled to receive the redemption amount, net of the Depositary’s fees and expenses, upon surrenders by them of those Depositary Shares. We must give our notice of redemption in respect of the deposited securities to the Depositary before the redemption date and the Depositary will give notice as promptly as practicable to all holders of Depositary Shares.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If holders of Series G Preferred Stock or other deposited securities acquire voting rights, Depositary Shareholders may instruct the Depositary how to vote the number of deposited shares of Series G Preferred Stock or other deposited securities, their Depositary Shares represent. The Depositary will notify Depositary Shareholders of Series G Preferred Shareholders’ meetings and arrange to deliver our voting materials to them if we ask it to. Those materials will describe the matters to be voted on and explain how Depositary Shareholders may instruct the Depositary how to vote. For instructions to be valid, they much reach the Depositary by a date set by the Depositary. Otherwise, you will not be able to exercise your right to vote unless you withdraw the shares of Series G Preferred Stock. However, you may not know about the meeting far enough in advance to withdraw the shares of Series G Preferred Stock represented by your Depositary Shares.</w:t>
      </w:r>
    </w:p>
    <w:p>
      <w:pPr>
        <w:spacing w:after="0" w:line="17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If we instruct the Depositary to notify the Depositary Shareholders and deliver to them voting materials related to a Series G Preferred Shareholders’ meeting at least 30 days in advance of the meeting date, and if instructions are not delivered to the Depositary by the date set by the Depositary for such purpose, then the Depositary Shareholders will be deemed to have instructed the Depositary to give a discretionary proxy to a person designated by us with respect to the matter to be voted upon and amount of Depositary Shares, although no such discretionary proxy will be given if we inform the Depositary in writing that substantial opposition exists to the matter, the matter adversely affects the rights of Series G Preferred Shareholders or that we otherwise do not wish such proxy to be given.</w:t>
      </w:r>
    </w:p>
    <w:p>
      <w:pPr>
        <w:spacing w:after="0" w:line="192"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The Depositary will try, as far as practical, subject to the laws of the Marshall Islands and to our articles of incorporation or similar documents, to vote or to have its agents vote the shares of Series G Preferred Stock or other deposited securities as instructed by Depositary Shareholders. The Depositary will only vote or attempt to vote as instructed or as described in the preceding paragraph.</w:t>
      </w:r>
    </w:p>
    <w:p>
      <w:pPr>
        <w:spacing w:after="0" w:line="184"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In order to give you a reasonable opportunity to instruct the Depositary as to the exercise of voting rights relating to Deposited Securities, if we request the Depositary to act, we agree to give the Depositary notice of any such meeting and details concerning the matters to be voted upon at least 30 days in advance of the meeting date.</w:t>
      </w:r>
    </w:p>
    <w:p>
      <w:pPr>
        <w:spacing w:after="0" w:line="18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cannot assure you that you will receive the voting materials in time to ensure that you can instruct the Depositary to vote the shares of Series G Preferred Stock represented by your Depositary Shares. In addition, the Depositary and its agents are not responsible for failing to carry out voting instructions or for the manner of carrying out voting instructions. This means that you may not be able to exercise your right to vote and you may have no recourse if your shares of Series G Preferred Stock are not voted as you requested.</w:t>
      </w:r>
    </w:p>
    <w:p>
      <w:pPr>
        <w:sectPr>
          <w:pgSz w:w="11900" w:h="16838" w:orient="portrait"/>
          <w:cols w:equalWidth="0" w:num="1">
            <w:col w:w="11000"/>
          </w:cols>
          <w:pgMar w:left="440" w:top="274" w:right="459" w:bottom="1440" w:gutter="0" w:footer="0" w:header="0"/>
        </w:sectPr>
      </w:pPr>
    </w:p>
    <w:bookmarkStart w:id="258" w:name="page259"/>
    <w:bookmarkEnd w:id="258"/>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Reclassifications, Recapitalizations and Mergers</w:t>
      </w:r>
    </w:p>
    <w:p>
      <w:pPr>
        <w:spacing w:after="0" w:line="244" w:lineRule="exact"/>
        <w:rPr>
          <w:sz w:val="20"/>
          <w:szCs w:val="20"/>
          <w:color w:val="auto"/>
        </w:rPr>
      </w:pPr>
    </w:p>
    <w:p>
      <w:pPr>
        <w:spacing w:after="0"/>
        <w:tabs>
          <w:tab w:leader="none" w:pos="8160" w:val="left"/>
        </w:tabs>
        <w:rPr>
          <w:sz w:val="20"/>
          <w:szCs w:val="20"/>
          <w:color w:val="auto"/>
        </w:rPr>
      </w:pPr>
      <w:r>
        <w:rPr>
          <w:rFonts w:ascii="Arial" w:cs="Arial" w:eastAsia="Arial" w:hAnsi="Arial"/>
          <w:sz w:val="14"/>
          <w:szCs w:val="14"/>
          <w:b w:val="1"/>
          <w:bCs w:val="1"/>
          <w:color w:val="auto"/>
        </w:rPr>
        <w:t>If we take any of the following actions:</w:t>
      </w:r>
      <w:r>
        <w:rPr>
          <w:sz w:val="20"/>
          <w:szCs w:val="20"/>
          <w:color w:val="auto"/>
        </w:rPr>
        <w:tab/>
      </w:r>
      <w:r>
        <w:rPr>
          <w:rFonts w:ascii="Arial" w:cs="Arial" w:eastAsia="Arial" w:hAnsi="Arial"/>
          <w:sz w:val="13"/>
          <w:szCs w:val="13"/>
          <w:b w:val="1"/>
          <w:bCs w:val="1"/>
          <w:color w:val="auto"/>
        </w:rPr>
        <w:t>Then: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699516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4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p>
      <w:pPr>
        <w:spacing w:after="0" w:line="25" w:lineRule="exact"/>
        <w:rPr>
          <w:sz w:val="20"/>
          <w:szCs w:val="20"/>
          <w:color w:val="auto"/>
        </w:rPr>
      </w:pPr>
    </w:p>
    <w:p>
      <w:pPr>
        <w:ind w:left="720" w:hanging="274"/>
        <w:spacing w:after="0" w:line="274" w:lineRule="auto"/>
        <w:tabs>
          <w:tab w:leader="none" w:pos="704" w:val="left"/>
        </w:tabs>
        <w:numPr>
          <w:ilvl w:val="0"/>
          <w:numId w:val="143"/>
        </w:numPr>
        <w:rPr>
          <w:rFonts w:ascii="Arial" w:cs="Arial" w:eastAsia="Arial" w:hAnsi="Arial"/>
          <w:sz w:val="18"/>
          <w:szCs w:val="18"/>
          <w:color w:val="auto"/>
        </w:rPr>
      </w:pPr>
      <w:r>
        <w:rPr>
          <w:rFonts w:ascii="Arial" w:cs="Arial" w:eastAsia="Arial" w:hAnsi="Arial"/>
          <w:sz w:val="18"/>
          <w:szCs w:val="18"/>
          <w:color w:val="auto"/>
        </w:rPr>
        <w:t>Change the nominal or par value of our shares of Series G Preferred Stock</w:t>
      </w:r>
    </w:p>
    <w:p>
      <w:pPr>
        <w:spacing w:after="0" w:line="78" w:lineRule="exact"/>
        <w:rPr>
          <w:rFonts w:ascii="Arial" w:cs="Arial" w:eastAsia="Arial" w:hAnsi="Arial"/>
          <w:sz w:val="18"/>
          <w:szCs w:val="18"/>
          <w:color w:val="auto"/>
        </w:rPr>
      </w:pPr>
    </w:p>
    <w:p>
      <w:pPr>
        <w:ind w:left="700" w:hanging="254"/>
        <w:spacing w:after="0"/>
        <w:tabs>
          <w:tab w:leader="none" w:pos="70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Reclassify, split up or consolidate any of the deposited securities</w:t>
      </w:r>
    </w:p>
    <w:p>
      <w:pPr>
        <w:spacing w:after="0" w:line="142" w:lineRule="exact"/>
        <w:rPr>
          <w:rFonts w:ascii="Arial" w:cs="Arial" w:eastAsia="Arial" w:hAnsi="Arial"/>
          <w:sz w:val="17"/>
          <w:szCs w:val="17"/>
          <w:color w:val="auto"/>
        </w:rPr>
      </w:pPr>
    </w:p>
    <w:p>
      <w:pPr>
        <w:ind w:left="720" w:right="140" w:hanging="274"/>
        <w:spacing w:after="0" w:line="277" w:lineRule="auto"/>
        <w:tabs>
          <w:tab w:leader="none" w:pos="704" w:val="left"/>
        </w:tabs>
        <w:numPr>
          <w:ilvl w:val="0"/>
          <w:numId w:val="143"/>
        </w:numPr>
        <w:rPr>
          <w:rFonts w:ascii="Arial" w:cs="Arial" w:eastAsia="Arial" w:hAnsi="Arial"/>
          <w:sz w:val="18"/>
          <w:szCs w:val="18"/>
          <w:color w:val="auto"/>
        </w:rPr>
      </w:pPr>
      <w:r>
        <w:rPr>
          <w:rFonts w:ascii="Arial" w:cs="Arial" w:eastAsia="Arial" w:hAnsi="Arial"/>
          <w:sz w:val="18"/>
          <w:szCs w:val="18"/>
          <w:color w:val="auto"/>
        </w:rPr>
        <w:t>Distribute securities on the shares of Series G Preferred Stock that are not distributed to you</w:t>
      </w:r>
    </w:p>
    <w:p>
      <w:pPr>
        <w:spacing w:after="0" w:line="75" w:lineRule="exact"/>
        <w:rPr>
          <w:rFonts w:ascii="Arial" w:cs="Arial" w:eastAsia="Arial" w:hAnsi="Arial"/>
          <w:sz w:val="18"/>
          <w:szCs w:val="18"/>
          <w:color w:val="auto"/>
        </w:rPr>
      </w:pPr>
    </w:p>
    <w:p>
      <w:pPr>
        <w:ind w:left="720" w:right="200" w:hanging="274"/>
        <w:spacing w:after="0" w:line="277" w:lineRule="auto"/>
        <w:tabs>
          <w:tab w:leader="none" w:pos="704" w:val="left"/>
        </w:tabs>
        <w:numPr>
          <w:ilvl w:val="0"/>
          <w:numId w:val="143"/>
        </w:numPr>
        <w:rPr>
          <w:rFonts w:ascii="Arial" w:cs="Arial" w:eastAsia="Arial" w:hAnsi="Arial"/>
          <w:sz w:val="18"/>
          <w:szCs w:val="18"/>
          <w:color w:val="auto"/>
        </w:rPr>
      </w:pPr>
      <w:r>
        <w:rPr>
          <w:rFonts w:ascii="Arial" w:cs="Arial" w:eastAsia="Arial" w:hAnsi="Arial"/>
          <w:sz w:val="18"/>
          <w:szCs w:val="18"/>
          <w:color w:val="auto"/>
        </w:rPr>
        <w:t>Recapitalize, reorganize, merge, liquidate, sell all or substantially all of our assets, or take any similar action</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The cash, shares of Series G Preferred Stock or other securities received by the Depositary will become deposited securities. Each Depositary Share will automatically represent its equivalent share of the new deposited securities.</w:t>
      </w:r>
    </w:p>
    <w:p>
      <w:pPr>
        <w:spacing w:after="0" w:line="93"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Depositary may, with our consent, distribute new Depositary Shares representing the new deposited securities or ask you to surrender your outstanding American Depository Receipts (“ADRs”) in exchange for new ADRs identifying the new deposited securities.</w:t>
      </w:r>
    </w:p>
    <w:p>
      <w:pPr>
        <w:spacing w:after="0" w:line="227" w:lineRule="exact"/>
        <w:rPr>
          <w:sz w:val="20"/>
          <w:szCs w:val="20"/>
          <w:color w:val="auto"/>
        </w:rPr>
      </w:pPr>
    </w:p>
    <w:p>
      <w:pPr>
        <w:sectPr>
          <w:pgSz w:w="11900" w:h="16838" w:orient="portrait"/>
          <w:cols w:equalWidth="0" w:num="2">
            <w:col w:w="5600" w:space="140"/>
            <w:col w:w="5260"/>
          </w:cols>
          <w:pgMar w:left="440" w:top="274" w:right="459" w:bottom="1440" w:gutter="0" w:footer="0" w:header="0"/>
          <w:type w:val="continuous"/>
        </w:sectPr>
      </w:pP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and Termination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Amendment</w:t>
      </w:r>
    </w:p>
    <w:p>
      <w:pPr>
        <w:spacing w:after="0" w:line="117"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We may agree with the Depositary to amend the Deposit Agreement and the ADRs without your consent for any reason. If an amendment adds or increases fees or charges, except for taxes and other governmental charges or expenses of the Depositary for registration fees, facsimile costs, delivery charges or similar items, or prejudices a substantial right of Depositary Shareholders, it will not become effective for outstanding Depositary Shares until 30 days after the Depositary notifies Depositary Shareholders of the amendment. At the time an amendment becomes effective, you are considered, by continuing to hold your Depositary Shares, to agree to the amendment and to be bound by the ADRs and the Deposit Agreement as amended.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Termination</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Depositary will terminate the Deposit Agreement at our direction by mailing notice of termination to the Depositary Shareholders then outstanding at least 30 days prior to the date fixed in such notice for such termination. The Depositary may also terminate the Deposit Agreement by mailing notice of termination to us and the Depositary Shareholders if 60 days have passed since the Depositary told us it wants to resign but a successor Depositary has not been appointed and accepted its appointment.</w:t>
      </w:r>
    </w:p>
    <w:p>
      <w:pPr>
        <w:spacing w:after="0" w:line="18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After termination, the Depositary and its agents will do the following under the Deposit Agreement but will not be obligated to do anything else: collect distributions on the deposited securities, sell rights and other property, and deliver shares of Series G Preferred Stock and other deposited securities upon cancellation of Depositary Shares. Four months after termination, the Depositary may sell any remaining deposited securities by public or private sale.</w:t>
      </w:r>
    </w:p>
    <w:p>
      <w:pPr>
        <w:spacing w:after="0" w:line="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After that, the Depositary will hold the money it received on the sale, as well as any other cash it is holding under the Deposit Agreement for the pro rata benefit of the Depositary Shareholders that have not surrendered their Depositary Shares. It will not invest the money and has no liability for interest. The Depositary’s only obligations will be to account for the money and other cash. After termination, our only obligations will be to indemnify the Depositary and to pay fees and expenses of the Depositary that we agreed to pay.</w:t>
      </w:r>
    </w:p>
    <w:p>
      <w:pPr>
        <w:sectPr>
          <w:pgSz w:w="11900" w:h="16838" w:orient="portrait"/>
          <w:cols w:equalWidth="0" w:num="1">
            <w:col w:w="11000"/>
          </w:cols>
          <w:pgMar w:left="440" w:top="274" w:right="459" w:bottom="1440" w:gutter="0" w:footer="0" w:header="0"/>
          <w:type w:val="continuous"/>
        </w:sectPr>
      </w:pPr>
    </w:p>
    <w:bookmarkStart w:id="259" w:name="page260"/>
    <w:bookmarkEnd w:id="259"/>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Limits on our Obligations and the Obligations of the Depositary; Limits on Liability to Holders of Depositary Shares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Deposit Agreement expressly limits our obligations and the obligations of the Depositary. It also limits our liability and the liability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Depositary. We and the Depositary:</w:t>
      </w:r>
    </w:p>
    <w:p>
      <w:pPr>
        <w:spacing w:after="0" w:line="116" w:lineRule="exact"/>
        <w:rPr>
          <w:sz w:val="20"/>
          <w:szCs w:val="20"/>
          <w:color w:val="auto"/>
        </w:rPr>
      </w:pPr>
    </w:p>
    <w:p>
      <w:pPr>
        <w:ind w:left="960" w:hanging="424"/>
        <w:spacing w:after="0"/>
        <w:tabs>
          <w:tab w:leader="none" w:pos="9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are only obligated to take the actions specifically set forth in the Deposit Agreement without negligence or bad faith;</w:t>
      </w:r>
    </w:p>
    <w:p>
      <w:pPr>
        <w:spacing w:after="0" w:line="130" w:lineRule="exact"/>
        <w:rPr>
          <w:rFonts w:ascii="Arial" w:cs="Arial" w:eastAsia="Arial" w:hAnsi="Arial"/>
          <w:sz w:val="18"/>
          <w:szCs w:val="18"/>
          <w:color w:val="auto"/>
        </w:rPr>
      </w:pPr>
    </w:p>
    <w:p>
      <w:pPr>
        <w:ind w:left="960" w:right="360" w:hanging="424"/>
        <w:spacing w:after="0" w:line="277" w:lineRule="auto"/>
        <w:tabs>
          <w:tab w:leader="none" w:pos="9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are not liable if we are or it is prevented or delayed by law or circumstances beyond our control from performing our or its obligations under the Deposit Agreement;</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are not liable if we or it exercises discretion permitted under the Deposit Agreement;</w:t>
      </w:r>
    </w:p>
    <w:p>
      <w:pPr>
        <w:spacing w:after="0" w:line="130" w:lineRule="exact"/>
        <w:rPr>
          <w:rFonts w:ascii="Arial" w:cs="Arial" w:eastAsia="Arial" w:hAnsi="Arial"/>
          <w:sz w:val="18"/>
          <w:szCs w:val="18"/>
          <w:color w:val="auto"/>
        </w:rPr>
      </w:pPr>
    </w:p>
    <w:p>
      <w:pPr>
        <w:ind w:left="960" w:right="60" w:hanging="424"/>
        <w:spacing w:after="0" w:line="263" w:lineRule="auto"/>
        <w:tabs>
          <w:tab w:leader="none" w:pos="9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are not liable for the inability of any holder of Depositary Shares to benefit from any distribution on deposited securities that is not made available to holders of Depositary Shares under the terms of the Deposit Agreement, or for any special, consequential or punitive damages for any breach of the terms of the Deposit Agreement;</w:t>
      </w:r>
    </w:p>
    <w:p>
      <w:pPr>
        <w:spacing w:after="0" w:line="89" w:lineRule="exact"/>
        <w:rPr>
          <w:rFonts w:ascii="Arial" w:cs="Arial" w:eastAsia="Arial" w:hAnsi="Arial"/>
          <w:sz w:val="18"/>
          <w:szCs w:val="18"/>
          <w:color w:val="auto"/>
        </w:rPr>
      </w:pPr>
    </w:p>
    <w:p>
      <w:pPr>
        <w:ind w:left="960" w:right="80" w:hanging="424"/>
        <w:spacing w:after="0" w:line="342" w:lineRule="auto"/>
        <w:tabs>
          <w:tab w:leader="none" w:pos="96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are not liable for the failure of any holder to obtain the benefits of credits on the basis of non-U.S. tax paid against the holder’s income tax liability or for any tax consequences that may be incurred by holders on account of their ownership of the Depositary Shares;</w:t>
      </w:r>
    </w:p>
    <w:p>
      <w:pPr>
        <w:spacing w:after="0" w:line="29" w:lineRule="exact"/>
        <w:rPr>
          <w:rFonts w:ascii="Arial" w:cs="Arial" w:eastAsia="Arial" w:hAnsi="Arial"/>
          <w:sz w:val="16"/>
          <w:szCs w:val="16"/>
          <w:color w:val="auto"/>
        </w:rPr>
      </w:pPr>
    </w:p>
    <w:p>
      <w:pPr>
        <w:ind w:left="960" w:right="40" w:hanging="424"/>
        <w:spacing w:after="0" w:line="277" w:lineRule="auto"/>
        <w:tabs>
          <w:tab w:leader="none" w:pos="9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have no obligation to become involved in a lawsuit or other proceeding related to the Depositary Shares or the Deposit Agreement on your behalf or on behalf of any other person; and</w:t>
      </w:r>
    </w:p>
    <w:p>
      <w:pPr>
        <w:spacing w:after="0" w:line="75" w:lineRule="exact"/>
        <w:rPr>
          <w:rFonts w:ascii="Arial" w:cs="Arial" w:eastAsia="Arial" w:hAnsi="Arial"/>
          <w:sz w:val="18"/>
          <w:szCs w:val="18"/>
          <w:color w:val="auto"/>
        </w:rPr>
      </w:pPr>
    </w:p>
    <w:p>
      <w:pPr>
        <w:ind w:left="960" w:right="380" w:hanging="424"/>
        <w:spacing w:after="0" w:line="277" w:lineRule="auto"/>
        <w:tabs>
          <w:tab w:leader="none" w:pos="9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may rely upon any documents we believe or it believes in good faith to be genuine and to have been signed or presented by the proper person.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the Deposit Agreement, we and the Depositary agree to indemnify each other under certain circumstances.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 to Receive the Shares Underlying the Depositary Shares</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Depositary Shareholders have the right to cancel their Depositary Shares and withdraw the underlying shares of Series G Preferred Stock at any time except:</w:t>
      </w:r>
    </w:p>
    <w:p>
      <w:pPr>
        <w:spacing w:after="0" w:line="76" w:lineRule="exact"/>
        <w:rPr>
          <w:sz w:val="20"/>
          <w:szCs w:val="20"/>
          <w:color w:val="auto"/>
        </w:rPr>
      </w:pPr>
    </w:p>
    <w:p>
      <w:pPr>
        <w:ind w:left="960" w:right="40" w:hanging="424"/>
        <w:spacing w:after="0" w:line="263" w:lineRule="auto"/>
        <w:tabs>
          <w:tab w:leader="none" w:pos="9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when temporary delays arise because: (i) the Depositary has closed its transfer books or we have closed our transfer books; (ii) the transfer of shares of Series G Preferred Stock is blocked to permit voting at a Series G Preferred Shareholders’ meeting; or (iii) we are paying a dividend on our shares of Series G Preferred Stock;</w:t>
      </w:r>
    </w:p>
    <w:p>
      <w:pPr>
        <w:spacing w:after="0" w:line="89" w:lineRule="exact"/>
        <w:rPr>
          <w:rFonts w:ascii="Arial" w:cs="Arial" w:eastAsia="Arial" w:hAnsi="Arial"/>
          <w:sz w:val="18"/>
          <w:szCs w:val="18"/>
          <w:color w:val="auto"/>
        </w:rPr>
      </w:pPr>
    </w:p>
    <w:p>
      <w:pPr>
        <w:ind w:left="960" w:hanging="424"/>
        <w:spacing w:after="0"/>
        <w:tabs>
          <w:tab w:leader="none" w:pos="9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when you owe money to pay fees, taxes and similar charges; or</w:t>
      </w:r>
    </w:p>
    <w:p>
      <w:pPr>
        <w:spacing w:after="0" w:line="130" w:lineRule="exact"/>
        <w:rPr>
          <w:rFonts w:ascii="Arial" w:cs="Arial" w:eastAsia="Arial" w:hAnsi="Arial"/>
          <w:sz w:val="18"/>
          <w:szCs w:val="18"/>
          <w:color w:val="auto"/>
        </w:rPr>
      </w:pPr>
    </w:p>
    <w:p>
      <w:pPr>
        <w:ind w:left="960" w:right="60" w:hanging="424"/>
        <w:spacing w:after="0" w:line="277" w:lineRule="auto"/>
        <w:tabs>
          <w:tab w:leader="none" w:pos="9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when it is necessary to prohibit withdrawals in order to comply with any laws or governmental regulations that apply to Depositary Shares or to the withdrawal of shares of Series G Preferred Stock or other deposited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right of withdrawal may not be limited by any other provision of the Deposit Agreement.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H Preferred Stock and Depositary Shares</w:t>
      </w:r>
    </w:p>
    <w:p>
      <w:pPr>
        <w:spacing w:after="0" w:line="117"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The following description of the Series H Preferred Stock and the Depositary Shares does not purport to be complete and is subject to, and qualified in its entirety by reference to, the Certificate of Designation designating the Series H Preferred Stock and setting forth the rights, preferences and limitations of the Series H Preferred Stock and the terms of the Deposit Agreement which established the terms of the Depositary Shares.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17"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In general, each Depositary Share will represent, and entitle the holder, subject to the terms of the Deposit Agreement, to proportional rights and preferences (including dividends, voting, redemption and liquidation rights and preferences) as if such holder held 1/100th of one share of Series H Preferred Stock. The material terms of the Series H Preferred Stock and the Depositary Shares are summarized below.</w:t>
      </w:r>
    </w:p>
    <w:p>
      <w:pPr>
        <w:spacing w:after="0" w:line="165"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holders of our common stock are entitled to receive, to the extent permitted by law, such dividends as may from time to time be declared by our board of directors. Upon any liquidation, dissolution or winding up of our affairs, whether voluntary or involuntary, the holders of our common stock are entitled to receive distributions of our assets, after we have satisfied or made provision for our debts and other obligations and for payment to the holders any class or series of shares (including the Series H Preferred Stock) having preferential rights to receive distributions of our assets.</w:t>
      </w:r>
    </w:p>
    <w:p>
      <w:pPr>
        <w:sectPr>
          <w:pgSz w:w="11900" w:h="16838" w:orient="portrait"/>
          <w:cols w:equalWidth="0" w:num="1">
            <w:col w:w="11000"/>
          </w:cols>
          <w:pgMar w:left="440" w:top="274" w:right="459" w:bottom="1440" w:gutter="0" w:footer="0" w:header="0"/>
        </w:sectPr>
      </w:pPr>
    </w:p>
    <w:bookmarkStart w:id="260" w:name="page261"/>
    <w:bookmarkEnd w:id="260"/>
    <w:p>
      <w:pPr>
        <w:ind w:right="10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Series H Preferred Stock entitles the holders thereof (“Series H Preferred Shareholders”) to receive cumulative cash dividends when, as and if declared by our board of directors out of legally available funds for such purpose. No fractional shares of Series H Preferred Stock have been issued. The Series H Preferred Stock represented by the Depositary Shares are fully paid and nonassessable and the Depositary Shares are validly issued and entitled to the benefits of the Deposit Agreement. Each share of Series H Preferred Stock has a fixed liquidation preference of $2,500.00 per share (equivalent to $25.00 per Depositary Share) and upon liquidation will also be entitled to an amount equal to accumulated and unpaid dividends thereon to the date fixed for payment, whether or not declared. Please see the section entitled “—Liquidation Rights.”</w:t>
      </w:r>
    </w:p>
    <w:p>
      <w:pPr>
        <w:spacing w:after="0" w:line="164"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 Series H Preferred Stock represents perpetual equity interests in us and, unlike our indebtedness, will not give rise to a claim for payment of a principal amount at a particular date. As such, the Series H Preferred Stock ranks junior to all of our indebtedness and other liabilities with respect to assets available to satisfy claims against us.</w:t>
      </w:r>
    </w:p>
    <w:p>
      <w:pPr>
        <w:spacing w:after="0" w:line="18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Series H Preferred Stock is not convertible into common stock or any other of our securities and does not have exchange rights or be entitled or subject to any preemptive or similar rights. The Series H Preferred Stock is subject to mandatory redemption or to any sinking fund requirements. The Series H Preferred Stock is subject to redemption, in whole or in part, at our option or at any time after the occurrence of a fundamental change. Please see the section entitled “—Redemption.”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Listing</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Depositary Shares are listed on the NYSE under the symbol “NM-PH.” The Series H Preferred Stock represented by the Depositary Shares is not listed but is registered in connection with the Depository Shares pursuant to the requirements of the SEC.</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Ranking</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Series H Preferred Stock will, with respect to anticipated quarterly dividends and distributions upon the liquidation, winding-up and dissolution of our affairs, rank:</w:t>
      </w:r>
    </w:p>
    <w:p>
      <w:pPr>
        <w:spacing w:after="0" w:line="76" w:lineRule="exact"/>
        <w:rPr>
          <w:sz w:val="20"/>
          <w:szCs w:val="20"/>
          <w:color w:val="auto"/>
        </w:rPr>
      </w:pPr>
    </w:p>
    <w:p>
      <w:pPr>
        <w:ind w:left="960" w:hanging="424"/>
        <w:spacing w:after="0"/>
        <w:tabs>
          <w:tab w:leader="none" w:pos="96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senior to the Junior Securities (including all of our outstanding previously-issued convertible preferred stock and our common stock);</w:t>
      </w:r>
    </w:p>
    <w:p>
      <w:pPr>
        <w:spacing w:after="0" w:line="142" w:lineRule="exact"/>
        <w:rPr>
          <w:rFonts w:ascii="Arial" w:cs="Arial" w:eastAsia="Arial" w:hAnsi="Arial"/>
          <w:sz w:val="17"/>
          <w:szCs w:val="17"/>
          <w:color w:val="auto"/>
        </w:rPr>
      </w:pPr>
    </w:p>
    <w:p>
      <w:pPr>
        <w:ind w:left="960" w:hanging="424"/>
        <w:spacing w:after="0"/>
        <w:tabs>
          <w:tab w:leader="none" w:pos="9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on a parity with the Parity Securities (including the Series G Preferred Stock);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junior to the Senior Securities.</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Under the Certificate of Designation, we may issue Junior Securities from time to time in one or more series without the consent of the holders of the Series H Preferred Stock. Our board of directors has the authority to determine the preferences, powers, qualifications, limitations, restrictions and special or relative rights or privileges, if any, of any such series before the issuance of any shares of that series. Our board of directors also determines the number of shares constituting each series of securities. Our ability to issue additional Parity Securities in certain circumstances or Senior Securities is limited as described under “—Voting Rights.”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 Rights</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holders of outstanding Series H Preferred Stock are entitled, in the event of any liquidation, dissolution or winding up of our affairs, whether voluntary or involuntary, to receive the liquidation preference of $2,500.00 per share (equivalent to $25.00 per Depositary Share) in cash plus an amount equal to accumulated and unpaid dividends thereon to the date fixed for payment of such amount (whether or not declared), and no more, before any distribution will be made to the holders of our common stock, our convertible preferred stock or any other Junior</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Securities. A consolidation or merger of us with or into any other entity, individually or in a series of transactions, will not be deemed a liquidation, dissolution or winding up of our affairs for this purpose. In the event that our assets available for distribution to holders of the outstanding Series H Preferred Stock and any Parity Securities are insufficient to permit payment of all required amounts, our assets then remaining will be distributed among the Series H Preferred Stock and any Parity Securities, as applicable, ratably on the basis of their relative aggregate liquidation preferences plus the amount of any accumulated and unpaid dividends thereon (whether or not declared).</w:t>
      </w:r>
    </w:p>
    <w:p>
      <w:pPr>
        <w:sectPr>
          <w:pgSz w:w="11900" w:h="16838" w:orient="portrait"/>
          <w:cols w:equalWidth="0" w:num="1">
            <w:col w:w="10980"/>
          </w:cols>
          <w:pgMar w:left="440" w:top="274" w:right="479" w:bottom="1440" w:gutter="0" w:footer="0" w:header="0"/>
        </w:sectPr>
      </w:pPr>
    </w:p>
    <w:bookmarkStart w:id="261" w:name="page262"/>
    <w:bookmarkEnd w:id="261"/>
    <w:p>
      <w:pPr>
        <w:jc w:val="both"/>
        <w:ind w:right="1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After payment of all required amounts to the holders of the outstanding Series H Preferred Stock and Parity Securities, our remaining assets and funds will be distributed among the holders of our common stock, our convertible preferred stock and any other Junior Securities then outstanding according to their respective rights.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Series H Preferred Stock have no voting rights except as set forth below or as otherwise provided by Marshall Islands law. In the event that one quarterly dividend payable on the Series H Preferred Stock is in arrears (whether or not such dividend shall have been declared and whether or not there are profits, surplus, or other funds legally available for the payment of dividends), we will use commercially reasonable efforts to obtain an amendment to our articles of incorporation to effectuate any and all such changes thereto as may be necessary to permit the Series H Preferred Shareholders to exercise the voting rights described in clause (x) of the following sentence. If and when dividends payable on the Series H Preferred Stock are in arrears for six or more quarterly periods, whether or not consecutive (and whether or not such dividends shall have been declared and whether or not there are profits, surplus, or other funds legally available for the payment of dividends), then (x) if our articles of incorporation have been amended as described in the preceding sentence, the Series H Preferred Shareholders will have the right, voting as a class together with holders of any other Parity Securities upon which like voting rights have been conferred and are exercisable, to elect one member of our board of directors, and the size of our board of directors will be increased as needed to accommodate such change (unless the size of our board of directors already has been increased by reason of the election of a director by holders of Parity Securities upon which like voting rights have been conferred and with which the Series H Preferred Stock voted as a class for the election of such director), and (y) if our articles of incorporation have not been amended as described in the preceding sentence, then, until such amendment is fully approved and effective, the dividend rate on the Series H Preferred Stock shall increase by 25 basis points. There can be no assurance that any such amendment to our articles of incorporation will be approved by our common stockholders. For avoidance of doubt, commercially reasonable efforts shall not be deemed to include the requirement to pay any consent or other fee to obtain such amendment. Dividends payable on the Series H Preferred Stock will be considered to be in arrears for any quarterly period for which full cumulative dividends through the most recent dividend payment date have not been paid on all outstanding Series H Preferred Stock. Any such amendment to our articles of incorporation, if obtained, shall also provide that the right of such Series H Preferred Shareholders to elect members of our board of directors will continue until such time as all dividends accumulated and in arrears on the Series H Preferred Stock have been paid in full or sufficient funds for such payment have been declared and set apart for such purpose, at which time such right will terminate, subject to the revesting of such right in the event of each and every subsequent failure to pay six quarterly dividends as described above. Upon any termination of the right of the holders of the Series H Preferred Stock and any other Parity Securities to vote as a class for such director, the term of office of such directors then in office elected by such holders voting as a class will terminate immediately. Any director elected by the holders of the Series H Preferred Stock and any other Parity Securities shall each be entitled to one vote per director on any matter before our board of directors.</w:t>
      </w:r>
    </w:p>
    <w:p>
      <w:pPr>
        <w:spacing w:after="0" w:line="175"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Unless we have received the affirmative vote or consent of the holders of at least two-thirds of the outstanding Series H Preferred Stock, voting as a single class, we may not adopt any amendment to our articles of incorporation that materially and adversely alters the preferences, powers or rights of the Series H Preferred Stock.</w:t>
      </w:r>
    </w:p>
    <w:p>
      <w:pPr>
        <w:spacing w:after="0" w:line="184"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In addition, unless we have received the affirmative vote or consent of the holders of at least two-thirds of the outstanding Series H Preferred Stock, voting as a class together with holders of any other Parity Securities upon which like voting rights have been conferred and are exercisable, we may not:</w:t>
      </w:r>
    </w:p>
    <w:p>
      <w:pPr>
        <w:spacing w:after="0" w:line="29" w:lineRule="exact"/>
        <w:rPr>
          <w:sz w:val="20"/>
          <w:szCs w:val="20"/>
          <w:color w:val="auto"/>
        </w:rPr>
      </w:pPr>
    </w:p>
    <w:p>
      <w:pPr>
        <w:ind w:left="960" w:hanging="424"/>
        <w:spacing w:after="0"/>
        <w:tabs>
          <w:tab w:leader="none" w:pos="9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issue any Parity Securities if the cumulative dividends payable on outstanding Series H Preferred Stock are in arrears; or</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create or issue any Senior Securities.</w:t>
      </w:r>
    </w:p>
    <w:p>
      <w:pPr>
        <w:spacing w:after="0" w:line="225"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On any matter described above in which the Series H Preferred Shareholders are entitled to vote as a class, such holders shall be entitled to one vote per share. Any shares of Series H Preferred Stock held by us or any of our subsidiaries or affiliates shall not be entitled to vote.</w:t>
      </w:r>
    </w:p>
    <w:p>
      <w:pPr>
        <w:sectPr>
          <w:pgSz w:w="11900" w:h="16838" w:orient="portrait"/>
          <w:cols w:equalWidth="0" w:num="1">
            <w:col w:w="11000"/>
          </w:cols>
          <w:pgMar w:left="440" w:top="274" w:right="459" w:bottom="1440" w:gutter="0" w:footer="0" w:header="0"/>
        </w:sectPr>
      </w:pPr>
    </w:p>
    <w:bookmarkStart w:id="262" w:name="page263"/>
    <w:bookmarkEnd w:id="262"/>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vote or consent of Series H Preferred Shareholders shall be required for (i) the creation or incurrence of any indebtedness, (ii) the authorization or issuance of any common stock or other Junior Securities or (iii) except as expressly provided above, the authorization or issuance of any of our preferred stock.</w:t>
      </w:r>
    </w:p>
    <w:p>
      <w:pPr>
        <w:spacing w:after="0" w:line="18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Series H Preferred Stock held in nominee or street name account shall be voted by the broker or other nominee in accordance with the instruction of the beneficial owner unless the arrangement between the beneficial owner and his nominee provides otherwise.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Dividends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General</w:t>
      </w:r>
    </w:p>
    <w:p>
      <w:pPr>
        <w:spacing w:after="0" w:line="11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Holders of Series H Preferred Stock are entitled to receive, when, as and if declared by our board of directors out of legally available funds for such purpose, cumulative cash dividends.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Dividend Rate</w:t>
      </w:r>
    </w:p>
    <w:p>
      <w:pPr>
        <w:spacing w:after="0" w:line="11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Dividends on Series H Preferred Stock will be cumulative, until such time as we pay the dividend or redeem the Series H Preferred Stock in full in accordance with the provisions under the heading entitled “—Redemption”, whether or not such dividends shall have been declared and whether or not there are profits, surplus, or other funds legally available for the payment of dividend.</w:t>
      </w:r>
    </w:p>
    <w:p>
      <w:pPr>
        <w:spacing w:after="0" w:line="18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Dividends on the Series H Preferred Stock accrue at a rate of 8.625% per annum per $2,500.00 stated liquidation preference per share of Series H Preferred Stock (equivalent to $25.00 per Depositary Share). The dividend rate is subject to increase in the limited circumstances described above under “—Voting Rights.”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Dividend Payment Dates</w:t>
      </w:r>
    </w:p>
    <w:p>
      <w:pPr>
        <w:spacing w:after="0" w:line="11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“Dividend Payment Dates” for the Series H Preferred Stock are each January 15, April 15, July 15 and October 15. Dividends accumulate in each dividend period from and including the preceding Dividend Payment Date or the initial issue date, as the case may be, to but excluding the next applicable Dividend Payment Date for such dividend period, and dividends will accrue on accumulated dividends at the applicable dividend date. If any Dividend Payment Date otherwise would fall on a day that is not a Business Day, declared dividends will be paid on the immediately succeeding Business Day without the accumulation of additional dividends. Dividends on the Series H Preferred Stock will be payable based on a 360-day year consisting of twelve 30-day months. “Business Day” means a day on which the NYSE is open for trading and which is not a Saturday, a Sunday or other day on which banks in New York City are authorized or required to close.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Payment of Dividends</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Not later than 5:00 pm, New York City time, on each Dividend Payment Date, we will pay those dividends, if any, on the Series H Preferred Stock that have been declared by our board of directors to the Paying Agent or, if there is no Paying Agent at the relevant time, the holders of such shares as such holders’ names appear on our share transfer books maintained by the Registrar and Transfer Agent on the applicable Record Date. The applicable record date (the “Record Date”) is the fifth Business Day immediately preceding the applicable Dividend Payment Date, except that in the case of payments of dividends in arrears, the Record Date with respect to a Dividend Payment Date will be such date as may be designated by our board of directors in accordance with the Certificate of Designation, our articles of incorporation and our bylaws.</w:t>
      </w:r>
    </w:p>
    <w:p>
      <w:pPr>
        <w:spacing w:after="0" w:line="17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Declared dividends shall be paid to the Paying Agent in same-day funds on each Dividend Payment Date. The Paying Agent is responsible for holding or disbursing such payments to holders of the Series H Preferred Stock in accordance with the instructions of such holders. In other circumstances, dividends may be paid by check mailed to the registered address of the holder of Series H Preferred Stock, unless, in any particular case, we elect to pay the wire transfer.</w:t>
      </w:r>
    </w:p>
    <w:p>
      <w:pPr>
        <w:sectPr>
          <w:pgSz w:w="11900" w:h="16838" w:orient="portrait"/>
          <w:cols w:equalWidth="0" w:num="1">
            <w:col w:w="11000"/>
          </w:cols>
          <w:pgMar w:left="440" w:top="274" w:right="459" w:bottom="1440" w:gutter="0" w:footer="0" w:header="0"/>
        </w:sectPr>
      </w:pPr>
    </w:p>
    <w:bookmarkStart w:id="263" w:name="page264"/>
    <w:bookmarkEnd w:id="263"/>
    <w:p>
      <w:pPr>
        <w:ind w:right="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dividend may be declared or paid or set apart for payment on any Junior Securities (other than a dividend payable solely in Junior Securities) unless full cumulative dividends have been or contemporaneously are being paid or provided for on all outstanding Series H Preferred Stock and any Parity Securities through the most recent respective dividend payment dates. Accumulated dividends in arrears for any past dividend period may be declared by our board of directors and paid on any date fixed by our board of directors, whether or not a Dividend Payment Date, to holders of the Series H Preferred Stock on the record date for such payment, which may not be more than 60 days, nor less than five days, before such payment date. Subject to the next succeeding sentence, if all accumulated dividends in arrears on all outstanding Series H Preferred Stock and any Parity Securities have not been declared and paid, or sufficient funds for the payment thereof have not been declared and set apart, payment of accumulated dividends in arrears will be made in order of their respective dividend payment dates, commencing with the earliest. If less than all dividends payable with respect to all Series H Preferred Stock and any Parity Securities are paid, any partial payment will be made pro rata with respect to the Series H Preferred Stock and any Parity Securities entitled to a dividend payment at such time in proportion to the aggregate amounts remaining due in respect of such shares at such time. Holders of the Series H Preferred Stock are not be entitled to any dividend, whether payable in cash, property or shares, in excess of full cumulative dividends. Except insofar as dividends accrue on the amount of any accumulated and unpaid dividends as described under “Dividends—Dividend Payment Dates,” no interest or sum of money in lieu of interest shall be payable in respect of any dividend payment which may be in arrears on the Series H Preferred Stock.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Optional Redemption</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may redeem, at our option, in whole or in part, the Series H Preferred Stock (and cause the redemption of the Depositary Shares) at a redemption price in cash equal to $2,500.00 per share (equivalent to $25.00 per Depositary Share) plus an amount equal to all accumulated and unpaid dividends thereon to the date of redemption, whether or not declared. Any such optional redemption shall be effected only out of funds legally available for such purpose. We may undertake multiple partial redemptions.</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addition, at any time after the occurrence of a “fundamental change,” we may redeem, at our option, in whole or from time to time in part, the Series H Preferred Stock at a redemption price in cash equal to $2,500.00 per share (equivalent to $25.00 per Depositary Share) plus an amount equal to all accumulated and unpaid dividends thereon to the date of redemption, whether or not declared. Any such optional redemption would be effected only out of funds legally available for such purpose.</w:t>
      </w:r>
    </w:p>
    <w:p>
      <w:pPr>
        <w:spacing w:after="0" w:line="18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A “fundamental change” means an event that shall be deemed to have occurred at the time after the date hereof when our common stock ceases to be listed or admitted for trading on the NYSE, the NASDAQ Capital Market, the NASDAQ Global Market or the NASDAQ Global Select Market (or any of their respective successors).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Redemption Procedures</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will give notice of any redemption by mail, postage prepaid, not less than 30 days and not more than 60 days before the scheduled date of redemption, to the holders of any shares to be redeemed as such holders’ names appear on our share transfer books maintained by the Registrar and Transfer Agent at the address of such holders shown therein. Such notice shall state: (1) the redemption date, (2) the number of Series H Preferred Stock to be redeemed and, if less than all outstanding shares of Series H Preferred Stock are to be redeemed, the number (and the identification) of shares to be redeemed from such holder, (3) the redemption price, (4) the place where the shares of Series H Preferred Stock are to be redeemed and shall be presented and surrendered for payment of the redemption price therefor and (5) that dividends on the shares to be redeemed will cease to accumulate from and after such redemption date.</w:t>
      </w:r>
    </w:p>
    <w:p>
      <w:pPr>
        <w:spacing w:after="0" w:line="19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If fewer than all of the outstanding shares of Series H Preferred Stock are to be redeemed, the number of shares to be redeemed will be determined by us, and such shares of Series H Preferred Stock will be redeemed by such method of selection as the Paying Agent shall determine, either pro rata or by lot, with adjustments to avoid redemption of fractional shares.</w:t>
      </w:r>
    </w:p>
    <w:p>
      <w:pPr>
        <w:sectPr>
          <w:pgSz w:w="11900" w:h="16838" w:orient="portrait"/>
          <w:cols w:equalWidth="0" w:num="1">
            <w:col w:w="11000"/>
          </w:cols>
          <w:pgMar w:left="440" w:top="274" w:right="459" w:bottom="1440" w:gutter="0" w:footer="0" w:header="0"/>
        </w:sectPr>
      </w:pPr>
    </w:p>
    <w:bookmarkStart w:id="264" w:name="page265"/>
    <w:bookmarkEnd w:id="26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redemption price will be paid by the Paying Agent to the holders of the Series H Preferred Stock on the redemption date.</w:t>
      </w:r>
    </w:p>
    <w:p>
      <w:pPr>
        <w:spacing w:after="0" w:line="22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aggregate redemption price for any such partial redemption of the outstanding Series H Preferred Stock shall be allocated correspondingly among the redeemed shares of Series H Preferred Stock. The shares of Series H Preferred Stock not redeemed shall remain outstanding and entitled to all the rights and preferences provided in the Certificate of Designation (including our right, if it elects so, to redeem all or part of the Series H Preferred Stock outstanding at any relevant time in accordance with the redemption provisions described herein).</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If we give or cause to be given a notice of redemption, then we will deposit with the Paying Agent funds sufficient to redeem the Series H Preferred Stock as to which notice has been given no later than 5:00 pm, New York City time, on the Business Day immediately preceding the date fixed for redemption, and will give the Paying Agent irrevocable instructions and authority to pay the redemption price to the holder or holders thereof upon surrender or deemed surrender of the certificates therefor. If notice of redemption shall have been given, then from and after the date fixed for redemption, unless we default in providing funds sufficient for such redemption at the time and place specified for payment pursuant to the notice, all dividends on such shares will cease to accumulate and all rights of holders of such shares of Series H Preferred Stock as Series H Preferred Shareholders will cease, except the right to receive the redemption price, including an amount equal to accumulated and unpaid dividends through the date fixed for redemption, whether or not declared. We will be entitled to receive from the Paying Agent the interest income, if any, earned on such funds deposited with the Paying Agent (to the extent that such interest income is not required to pay the redemption price of the shares to be redeemed), and the holders of any shares so redeemed will have no claim to any such interest income. Any funds deposited with the Paying Agent hereunder by us for any reason, including, but not limited to, redemption of Series H Preferred Stock, that remain unclaimed or unpaid after two years after the applicable redemption date or other payment date, shall be, to the extent permitted by law, repaid to us upon our written request, after which repayment the holders of the Series H Preferred Stock entitled to such redemption or other payment shall have recourse only to us.</w:t>
      </w:r>
    </w:p>
    <w:p>
      <w:pPr>
        <w:spacing w:after="0" w:line="174"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If only a portion of the Series H Preferred Stock represented by a certificate has been called for redemption, upon surrender of the certificate to the Paying Agent, the Paying Agent will issue to the holder of such shares a new certificate (or adjust the applicable book-entry account) representing the number of shares of Series H Preferred Stock represented by the surrendered certificate that have not been called for redemption.</w:t>
      </w:r>
    </w:p>
    <w:p>
      <w:pPr>
        <w:spacing w:after="0" w:line="149"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Notwithstanding any notice of redemption, there will be no redemption of any Series H Preferred Stock called for redemption until funds sufficient to pay the full redemption price of such shares, including all accumulated and unpaid dividends to the date of redemption, whether or not declared, have been deposited by us with the Paying Agent.</w:t>
      </w:r>
    </w:p>
    <w:p>
      <w:pPr>
        <w:spacing w:after="0" w:line="184" w:lineRule="exact"/>
        <w:rPr>
          <w:sz w:val="20"/>
          <w:szCs w:val="20"/>
          <w:color w:val="auto"/>
        </w:rPr>
      </w:pPr>
    </w:p>
    <w:p>
      <w:pPr>
        <w:ind w:right="320"/>
        <w:spacing w:after="0" w:line="311" w:lineRule="auto"/>
        <w:rPr>
          <w:sz w:val="20"/>
          <w:szCs w:val="20"/>
          <w:color w:val="auto"/>
        </w:rPr>
      </w:pPr>
      <w:r>
        <w:rPr>
          <w:rFonts w:ascii="Arial" w:cs="Arial" w:eastAsia="Arial" w:hAnsi="Arial"/>
          <w:sz w:val="16"/>
          <w:szCs w:val="16"/>
          <w:color w:val="auto"/>
        </w:rPr>
        <w:t>We and our affiliates may from time to time purchase shares of the Series H Preferred Stock, subject to compliance with all applicable securities and other laws. Neither we nor any of our affiliates has any obligation, or any present plan or intention, to purchase any Series H Preferred Stock. Any shares repurchased and canceled by us will revert to the status of authorized but unissued preferred stock undesignated by us.</w:t>
      </w:r>
    </w:p>
    <w:p>
      <w:pPr>
        <w:spacing w:after="0" w:line="14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Notwithstanding the foregoing, in the event that full cumulative dividends on the Series H Preferred Stock and any Parity Securities have not been paid or declared and set apart for payment, we and our affiliates may not repurchase, redeem or otherwise acquire, in whole or in part, any Series H Preferred Stock or Parity Securities except pursuant to a purchase or exchange offer made on the same terms to all holders of Series H Preferred Stock and any Parity Securities. Common stock, our convertible preferred stock and any other Junior Securities may not be redeemed, repurchased or otherwise acquired unless full cumulative dividends on the Series H Preferred Stock and any Parity Securities for all prior and the then-ending dividend periods have been paid or declared and set apart for payment.</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 Sinking Fund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Series H Preferred Stock does not have the benefit of any sinking fund.</w:t>
      </w:r>
    </w:p>
    <w:p>
      <w:pPr>
        <w:sectPr>
          <w:pgSz w:w="11900" w:h="16838" w:orient="portrait"/>
          <w:cols w:equalWidth="0" w:num="1">
            <w:col w:w="11000"/>
          </w:cols>
          <w:pgMar w:left="440" w:top="274" w:right="459" w:bottom="1440" w:gutter="0" w:footer="0" w:header="0"/>
        </w:sectPr>
      </w:pPr>
    </w:p>
    <w:bookmarkStart w:id="265" w:name="page266"/>
    <w:bookmarkEnd w:id="265"/>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Depositary Shares</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is a summary of the terms and provisions of the Depositary Shares. The following summary does not set forth the full terms or provisions of the Depositary Shares, which is set forth in the Deposit Agreement.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 and Other Distributions</w:t>
      </w:r>
    </w:p>
    <w:p>
      <w:pPr>
        <w:spacing w:after="0" w:line="117"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We pay all cash dividends and other cash distributions to the Depositary through the Paying Agent, or if there is no Paying Agent at the relevant time, directly to the Depositary as the holder of the Series H Preferred Stock. The Depositary has agreed to pay to Depositary Shareholders the cash dividends or other distributions it or the custodian receives on shares of Series H Preferred Stock or other deposited securities, after deducting its fees and expenses. You shall receive these distributions in proportion to the number of shares of Series H Preferred Stock that your Depositary Shares represent.</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Cash</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Before making any cash dividend or other cash distribution, any withholding taxes or other governmental charges that must be paid will be deducted.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Depositary will distribute only whole U.S. dollars and cents and will round fractional cents to the nearest whole cent.</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Shares</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Depositary may, and shall if we request in writing, distribute additional Depositary Shares representing any shares of Series H Preferred Stock we distribute as a share dividend or other distribution. The Depositary will only distribute whole Depositary Shares. It will sell shares of Series H Preferred Stock which would require it to deliver a fractional Depositary Share and distribute the net proceeds in the same way as it does with cash. If the Depositary does not distribute additional Depositary Shares, the outstanding Depositary Shares will also represent the new shares of Series H Preferred Stock. The Depositary may sell a portion of the distributed shares of Series H Preferred Stock sufficient to pay its fees and expenses in connection with that distribution.</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Rights to Purchase Additional Shares of Series H Preferred Stock</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If we offer holders of our securities any rights to subscribe for additional shares of Series H Preferred Stock or any other rights, the Depositary may make these rights available to Depositary Shareholders. If the Depositary reasonably determines, after consultation with us to the extent practicable, it is not legal and practical to make the rights available but that it is practical to sell the rights, the Depositary will use reasonable efforts to sell the rights and distribute the proceeds in the same way as it does with cash. The Depositary will allow rights that are not distributed or sold to lapse. In that case, you will receive no value for the rights.</w:t>
      </w:r>
    </w:p>
    <w:p>
      <w:pPr>
        <w:spacing w:after="0" w:line="18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If the Depositary makes rights available to Depositary Shareholders, it will exercise the rights and purchase the shares of Series H Preferred Stock on your behalf. The Depositary will then deposit the shares of Series H Preferred Stock and deliver Depositary Shares to the persons entitled to them. It will only exercise rights if you pay it the exercise price and any other charges the rights require you to pay.</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U.S. securities laws may restrict transfers and cancellation of the Depositary Shares represented by shares of Series H Preferred Stock purchased upon exercise of rights. For example, you may not be able to trade these Depositary Shares freely in the United States. In this case, the Depositary may deliver restricted Depositary Shares that have the same terms as the Depositary Shares described in this section except for changes needed to put the necessary restrictions in place.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Distributions</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Depositary will send to Depositary Shareholders anything else we distribute on the Series H Preferred Stock or other deposited securities by any means, as promptly as practicable, after consultation with us, it thinks is legal, fair and practical. If it cannot make the distribution in that way, the Depositary may decide to sell what we distributed and distribute the net proceeds, in the same way as it does with cash, or it may decide to hold what we distributed, in which case Depositary Shares will also represent the newly distributed property. However, the Depositary is not required to distribute any securities (other than Depositary Shares) to Depositary Shareholders unless it receives reasonably satisfactory evidence from us that it is legal to make that distribution. The Depositary may sell a portion of the distributed securities or property sufficient to pay its fees and expenses in connection with that distribution.</w:t>
      </w:r>
    </w:p>
    <w:p>
      <w:pPr>
        <w:sectPr>
          <w:pgSz w:w="11900" w:h="16838" w:orient="portrait"/>
          <w:cols w:equalWidth="0" w:num="1">
            <w:col w:w="11000"/>
          </w:cols>
          <w:pgMar w:left="440" w:top="274" w:right="459" w:bottom="1440" w:gutter="0" w:footer="0" w:header="0"/>
        </w:sectPr>
      </w:pPr>
    </w:p>
    <w:bookmarkStart w:id="266" w:name="page267"/>
    <w:bookmarkEnd w:id="266"/>
    <w:p>
      <w:pPr>
        <w:ind w:right="10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Neither the Company nor the Depositary is responsible if the Depositary determines that it is unlawful or impractical to make a distribution available to any Depositary Shareholders. We have no obligation to register Depositary Shares, shares of Series H Preferred Stock, rights or other securities under the Securities Act. We also have no obligation to take any other action to permit the distribution of Depositary Shares, shares of Series H Preferred Stock, rights or anything else to Depositary Shareholders. This means that you may not receive the distributions we make on our shares of Series H Preferred Stock or any value for them if it is illegal or impractical for us to make them available to you.</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w:t>
      </w:r>
    </w:p>
    <w:p>
      <w:pPr>
        <w:spacing w:after="0" w:line="11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If we give notice of a redemption of any Series H Preferred Stock or other deposited securities, the Depositary will call for surrender of a corresponding number of Depositary Shares. The Depositary will surrender the redeemed Series H Preferred Stock or other deposited securities on the redemption date. Holders of the Depositary Shares that were called for surrender will be entitled to receive the redemption amount, net of the Depositary’s fees and expenses, upon surrenders by them of those Depositary Shares. We must give our notice of redemption in respect of the deposited securities to the Depositary before the redemption date and the Depositary will give notice as promptly as practicable to all holders of Depositary Shares.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If holders of Series H Preferred Stock or other deposited securities acquire voting rights, Depositary Shareholders may instruct the Depositary how to vote the number of deposited shares of Series H Preferred Stock or other deposited securities, their Depositary Shares represent. The Depositary will notify Depositary Shareholders of Series H Preferred Shareholders’ meetings and arrange to deliver our voting materials to them if we ask it to. Those materials will describe the matters to be voted on and explain how Depositary Shareholders may instruct the Depositary how to vote. For instructions to be valid, they much reach the Depositary by a date set by the Depositary. Otherwise, you will not be able to exercise your right to vote unless you withdraw the shares of Series H Preferred Stock. However, you may not know about the meeting far enough in advance to withdraw the shares of Series H Preferred Stock represented by your Depositary Shares.</w:t>
      </w:r>
    </w:p>
    <w:p>
      <w:pPr>
        <w:spacing w:after="0" w:line="17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If we instruct the Depositary to notify the Depositary Shareholders and deliver to them voting materials related to a Series H Preferred Shareholders’ meeting at least 30 days in advance of the meeting date, and if instructions are not delivered to the Depositary by the date set by the Depositary for such purpose, then the Depositary Shareholders will be deemed to have instructed the Depositary to give a discretionary proxy to a person designated by us with respect to the matter to be voted upon and amount of Depositary Shares, although no such discretionary proxy will be given if we inform the Depositary in writing that substantial opposition exists to the matter, the matter adversely affects the rights of Series H Preferred Shareholders or that we otherwise do not wish such proxy to be given.</w:t>
      </w:r>
    </w:p>
    <w:p>
      <w:pPr>
        <w:spacing w:after="0" w:line="192"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The Depositary will try, as far as practical, subject to the laws of the Marshall Islands and to our articles of incorporation or similar documents, to vote or to have its agents vote the shares of Series H Preferred Stock or other deposited securities as instructed by Depositary Shareholders. The Depositary will only vote or attempt to vote as instructed or as described in the preceding paragraph.</w:t>
      </w:r>
    </w:p>
    <w:p>
      <w:pPr>
        <w:spacing w:after="0" w:line="184"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In order to give you a reasonable opportunity to instruct the Depositary as to the exercise of voting rights relating to Deposited Securities, if we request the Depositary to act, we agree to give the Depositary notice of any such meeting and details concerning the matters to be voted upon at least 30 days in advance of the meeting date.</w:t>
      </w:r>
    </w:p>
    <w:p>
      <w:pPr>
        <w:spacing w:after="0" w:line="18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cannot assure you that you will receive the voting materials in time to ensure that you can instruct the Depositary to vote the shares of Series H Preferred Stock represented by your Depositary Shares. In addition, the Depositary and its agents are not responsible for failing to carry out voting instructions or for the manner of carrying out voting instructions. This means that you may not be able to exercise your right to vote and you may have no recourse if your shares of Series H Preferred Stock are not voted as you requested.</w:t>
      </w:r>
    </w:p>
    <w:p>
      <w:pPr>
        <w:sectPr>
          <w:pgSz w:w="11900" w:h="16838" w:orient="portrait"/>
          <w:cols w:equalWidth="0" w:num="1">
            <w:col w:w="11000"/>
          </w:cols>
          <w:pgMar w:left="440" w:top="274" w:right="459" w:bottom="1440" w:gutter="0" w:footer="0" w:header="0"/>
        </w:sectPr>
      </w:pPr>
    </w:p>
    <w:bookmarkStart w:id="267" w:name="page268"/>
    <w:bookmarkEnd w:id="267"/>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Reclassifications, Recapitalizations and Mergers</w:t>
      </w:r>
    </w:p>
    <w:p>
      <w:pPr>
        <w:spacing w:after="0" w:line="244" w:lineRule="exact"/>
        <w:rPr>
          <w:sz w:val="20"/>
          <w:szCs w:val="20"/>
          <w:color w:val="auto"/>
        </w:rPr>
      </w:pPr>
    </w:p>
    <w:p>
      <w:pPr>
        <w:spacing w:after="0"/>
        <w:tabs>
          <w:tab w:leader="none" w:pos="8160" w:val="left"/>
        </w:tabs>
        <w:rPr>
          <w:sz w:val="20"/>
          <w:szCs w:val="20"/>
          <w:color w:val="auto"/>
        </w:rPr>
      </w:pPr>
      <w:r>
        <w:rPr>
          <w:rFonts w:ascii="Arial" w:cs="Arial" w:eastAsia="Arial" w:hAnsi="Arial"/>
          <w:sz w:val="14"/>
          <w:szCs w:val="14"/>
          <w:b w:val="1"/>
          <w:bCs w:val="1"/>
          <w:color w:val="auto"/>
        </w:rPr>
        <w:t>If we take any of the following actions:</w:t>
      </w:r>
      <w:r>
        <w:rPr>
          <w:sz w:val="20"/>
          <w:szCs w:val="20"/>
          <w:color w:val="auto"/>
        </w:rPr>
        <w:tab/>
      </w:r>
      <w:r>
        <w:rPr>
          <w:rFonts w:ascii="Arial" w:cs="Arial" w:eastAsia="Arial" w:hAnsi="Arial"/>
          <w:sz w:val="13"/>
          <w:szCs w:val="13"/>
          <w:b w:val="1"/>
          <w:bCs w:val="1"/>
          <w:color w:val="auto"/>
        </w:rPr>
        <w:t>Then: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699516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5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p>
      <w:pPr>
        <w:spacing w:after="0" w:line="25" w:lineRule="exact"/>
        <w:rPr>
          <w:sz w:val="20"/>
          <w:szCs w:val="20"/>
          <w:color w:val="auto"/>
        </w:rPr>
      </w:pPr>
    </w:p>
    <w:p>
      <w:pPr>
        <w:ind w:left="720" w:hanging="274"/>
        <w:spacing w:after="0" w:line="274" w:lineRule="auto"/>
        <w:tabs>
          <w:tab w:leader="none" w:pos="704" w:val="left"/>
        </w:tabs>
        <w:numPr>
          <w:ilvl w:val="0"/>
          <w:numId w:val="148"/>
        </w:numPr>
        <w:rPr>
          <w:rFonts w:ascii="Arial" w:cs="Arial" w:eastAsia="Arial" w:hAnsi="Arial"/>
          <w:sz w:val="18"/>
          <w:szCs w:val="18"/>
          <w:color w:val="auto"/>
        </w:rPr>
      </w:pPr>
      <w:r>
        <w:rPr>
          <w:rFonts w:ascii="Arial" w:cs="Arial" w:eastAsia="Arial" w:hAnsi="Arial"/>
          <w:sz w:val="18"/>
          <w:szCs w:val="18"/>
          <w:color w:val="auto"/>
        </w:rPr>
        <w:t>Change the nominal or par value of our shares of Series H Preferred Stock</w:t>
      </w:r>
    </w:p>
    <w:p>
      <w:pPr>
        <w:spacing w:after="0" w:line="78" w:lineRule="exact"/>
        <w:rPr>
          <w:rFonts w:ascii="Arial" w:cs="Arial" w:eastAsia="Arial" w:hAnsi="Arial"/>
          <w:sz w:val="18"/>
          <w:szCs w:val="18"/>
          <w:color w:val="auto"/>
        </w:rPr>
      </w:pPr>
    </w:p>
    <w:p>
      <w:pPr>
        <w:ind w:left="700" w:hanging="254"/>
        <w:spacing w:after="0"/>
        <w:tabs>
          <w:tab w:leader="none" w:pos="70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Reclassify, split up or consolidate any of the deposited securities</w:t>
      </w:r>
    </w:p>
    <w:p>
      <w:pPr>
        <w:spacing w:after="0" w:line="142" w:lineRule="exact"/>
        <w:rPr>
          <w:rFonts w:ascii="Arial" w:cs="Arial" w:eastAsia="Arial" w:hAnsi="Arial"/>
          <w:sz w:val="17"/>
          <w:szCs w:val="17"/>
          <w:color w:val="auto"/>
        </w:rPr>
      </w:pPr>
    </w:p>
    <w:p>
      <w:pPr>
        <w:ind w:left="720" w:right="140" w:hanging="274"/>
        <w:spacing w:after="0" w:line="277" w:lineRule="auto"/>
        <w:tabs>
          <w:tab w:leader="none" w:pos="704" w:val="left"/>
        </w:tabs>
        <w:numPr>
          <w:ilvl w:val="0"/>
          <w:numId w:val="148"/>
        </w:numPr>
        <w:rPr>
          <w:rFonts w:ascii="Arial" w:cs="Arial" w:eastAsia="Arial" w:hAnsi="Arial"/>
          <w:sz w:val="18"/>
          <w:szCs w:val="18"/>
          <w:color w:val="auto"/>
        </w:rPr>
      </w:pPr>
      <w:r>
        <w:rPr>
          <w:rFonts w:ascii="Arial" w:cs="Arial" w:eastAsia="Arial" w:hAnsi="Arial"/>
          <w:sz w:val="18"/>
          <w:szCs w:val="18"/>
          <w:color w:val="auto"/>
        </w:rPr>
        <w:t>Distribute securities on the shares of Series H Preferred Stock that are not distributed to you</w:t>
      </w:r>
    </w:p>
    <w:p>
      <w:pPr>
        <w:spacing w:after="0" w:line="75" w:lineRule="exact"/>
        <w:rPr>
          <w:rFonts w:ascii="Arial" w:cs="Arial" w:eastAsia="Arial" w:hAnsi="Arial"/>
          <w:sz w:val="18"/>
          <w:szCs w:val="18"/>
          <w:color w:val="auto"/>
        </w:rPr>
      </w:pPr>
    </w:p>
    <w:p>
      <w:pPr>
        <w:ind w:left="720" w:right="200" w:hanging="274"/>
        <w:spacing w:after="0" w:line="277" w:lineRule="auto"/>
        <w:tabs>
          <w:tab w:leader="none" w:pos="704" w:val="left"/>
        </w:tabs>
        <w:numPr>
          <w:ilvl w:val="0"/>
          <w:numId w:val="148"/>
        </w:numPr>
        <w:rPr>
          <w:rFonts w:ascii="Arial" w:cs="Arial" w:eastAsia="Arial" w:hAnsi="Arial"/>
          <w:sz w:val="18"/>
          <w:szCs w:val="18"/>
          <w:color w:val="auto"/>
        </w:rPr>
      </w:pPr>
      <w:r>
        <w:rPr>
          <w:rFonts w:ascii="Arial" w:cs="Arial" w:eastAsia="Arial" w:hAnsi="Arial"/>
          <w:sz w:val="18"/>
          <w:szCs w:val="18"/>
          <w:color w:val="auto"/>
        </w:rPr>
        <w:t>Recapitalize, reorganize, merge, liquidate, sell all or substantially all of our assets, or take any similar action</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The cash, shares of Series H Preferred Stock or other securities received by the Depositary will become deposited securities. Each Depositary Share will automatically represent its equivalent share of the new deposited securities.</w:t>
      </w:r>
    </w:p>
    <w:p>
      <w:pPr>
        <w:spacing w:after="0" w:line="9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Depositary may, with our consent, distribute new Depositary Shares representing the new deposited securities or ask you to surrender your outstanding ADRs in exchange for new ADRs identifying the new deposited securities.</w:t>
      </w:r>
    </w:p>
    <w:p>
      <w:pPr>
        <w:spacing w:after="0" w:line="243" w:lineRule="exact"/>
        <w:rPr>
          <w:sz w:val="20"/>
          <w:szCs w:val="20"/>
          <w:color w:val="auto"/>
        </w:rPr>
      </w:pPr>
    </w:p>
    <w:p>
      <w:pPr>
        <w:sectPr>
          <w:pgSz w:w="11900" w:h="16838" w:orient="portrait"/>
          <w:cols w:equalWidth="0" w:num="2">
            <w:col w:w="5600" w:space="140"/>
            <w:col w:w="5260"/>
          </w:cols>
          <w:pgMar w:left="440" w:top="274" w:right="459" w:bottom="1440" w:gutter="0" w:footer="0" w:header="0"/>
          <w:type w:val="continuous"/>
        </w:sectPr>
      </w:pP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and Termination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Amendment</w:t>
      </w:r>
    </w:p>
    <w:p>
      <w:pPr>
        <w:spacing w:after="0" w:line="117"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We may agree with the Depositary to amend the Deposit Agreement and the ADRs without your consent for any reason. If an amendment adds or increases fees or charges, except for taxes and other governmental charges or expenses of the Depositary for registration fees, facsimile costs, delivery charges or similar items, or prejudices a substantial right of Depositary Shareholders, it will not become effective for outstanding Depositary Shares until 30 days after the Depositary notifies Depositary Shareholders of the amendment. At the time an amendment becomes effective, you are considered, by continuing to hold your Depositary Shares, to agree to the amendment and to be bound by the ADRs and the Deposit Agreement as amended.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Termination</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Depositary will terminate the Deposit Agreement at our direction by mailing notice of termination to the Depositary Shareholders then outstanding at least 30 days prior to the date fixed in such notice for such termination. The Depositary may also terminate the Deposit Agreement by mailing notice of termination to us and the Depositary Shareholders if 60 days have passed since the Depositary told us it wants to resign but a successor Depositary has not been appointed and accepted its appointment.</w:t>
      </w:r>
    </w:p>
    <w:p>
      <w:pPr>
        <w:spacing w:after="0" w:line="18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After termination, the Depositary and its agents will do the following under the Deposit Agreement but will not be obligated to do anything else: collect distributions on the deposited securities, sell rights and other property, and deliver shares of Series H Preferred Stock and other deposited securities upon cancellation of Depositary Shares. Four months after termination, the Depositary may sell any remaining deposited securities by public or private sale.</w:t>
      </w:r>
    </w:p>
    <w:p>
      <w:pPr>
        <w:spacing w:after="0" w:line="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After that, the Depositary will hold the money it received on the sale, as well as any other cash it is holding under the Deposit Agreement for the pro rata benefit of the Depositary Shareholders that have not surrendered their Depositary Shares. It will not invest the money and has no liability for interest. The Depositary’s only obligations will be to account for the money and other cash. After termination, our only obligations will be to indemnify the Depositary and to pay fees and expenses of the Depositary that we agreed to pay.</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Limits on our Obligations and the Obligations of the Depositary; Limits on Liability to Holders of Depositary Shares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Deposit Agreement expressly limits our obligations and the obligations of the Depositary. It also limits our liability and the liability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Depositary. We and the Depositary:</w:t>
      </w:r>
    </w:p>
    <w:p>
      <w:pPr>
        <w:spacing w:after="0" w:line="116" w:lineRule="exact"/>
        <w:rPr>
          <w:sz w:val="20"/>
          <w:szCs w:val="20"/>
          <w:color w:val="auto"/>
        </w:rPr>
      </w:pPr>
    </w:p>
    <w:p>
      <w:pPr>
        <w:ind w:left="960" w:hanging="424"/>
        <w:spacing w:after="0"/>
        <w:tabs>
          <w:tab w:leader="none" w:pos="9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are only obligated to take the actions specifically set forth in the Deposit Agreement without negligence or bad faith;</w:t>
      </w:r>
    </w:p>
    <w:p>
      <w:pPr>
        <w:spacing w:after="0" w:line="130" w:lineRule="exact"/>
        <w:rPr>
          <w:rFonts w:ascii="Arial" w:cs="Arial" w:eastAsia="Arial" w:hAnsi="Arial"/>
          <w:sz w:val="18"/>
          <w:szCs w:val="18"/>
          <w:color w:val="auto"/>
        </w:rPr>
      </w:pPr>
    </w:p>
    <w:p>
      <w:pPr>
        <w:ind w:left="960" w:right="360" w:hanging="424"/>
        <w:spacing w:after="0" w:line="277" w:lineRule="auto"/>
        <w:tabs>
          <w:tab w:leader="none" w:pos="9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are not liable if we are or it is prevented or delayed by law or circumstances beyond our control from performing our or its obligations under the Deposit Agreement;</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are not liable if we or it exercises discretion permitted under the Deposit Agreement;</w:t>
      </w:r>
    </w:p>
    <w:p>
      <w:pPr>
        <w:sectPr>
          <w:pgSz w:w="11900" w:h="16838" w:orient="portrait"/>
          <w:cols w:equalWidth="0" w:num="1">
            <w:col w:w="11000"/>
          </w:cols>
          <w:pgMar w:left="440" w:top="274" w:right="459" w:bottom="1440" w:gutter="0" w:footer="0" w:header="0"/>
          <w:type w:val="continuous"/>
        </w:sectPr>
      </w:pPr>
    </w:p>
    <w:bookmarkStart w:id="268" w:name="page269"/>
    <w:bookmarkEnd w:id="268"/>
    <w:p>
      <w:pPr>
        <w:ind w:left="960" w:right="20" w:hanging="424"/>
        <w:spacing w:after="0" w:line="263" w:lineRule="auto"/>
        <w:tabs>
          <w:tab w:leader="none" w:pos="9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are not liable for the inability of any holder of Depositary Shares to benefit from any distribution on deposited securities that is not made available to holders of Depositary Shares under the terms of the Deposit Agreement, or for any special, consequential or punitive damages for any breach of the terms of the Deposit Agreement;</w:t>
      </w:r>
    </w:p>
    <w:p>
      <w:pPr>
        <w:spacing w:after="0" w:line="89" w:lineRule="exact"/>
        <w:rPr>
          <w:rFonts w:ascii="Arial" w:cs="Arial" w:eastAsia="Arial" w:hAnsi="Arial"/>
          <w:sz w:val="18"/>
          <w:szCs w:val="18"/>
          <w:color w:val="auto"/>
        </w:rPr>
      </w:pPr>
    </w:p>
    <w:p>
      <w:pPr>
        <w:ind w:left="960" w:right="40" w:hanging="424"/>
        <w:spacing w:after="0" w:line="342" w:lineRule="auto"/>
        <w:tabs>
          <w:tab w:leader="none" w:pos="96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are not liable for the failure of any holder to obtain the benefits of credits on the basis of non-U.S. tax paid against the holder’s income tax liability or for any tax consequences that may be incurred by holders on account of their ownership of the Depositary Shares;</w:t>
      </w:r>
    </w:p>
    <w:p>
      <w:pPr>
        <w:spacing w:after="0" w:line="29" w:lineRule="exact"/>
        <w:rPr>
          <w:rFonts w:ascii="Arial" w:cs="Arial" w:eastAsia="Arial" w:hAnsi="Arial"/>
          <w:sz w:val="16"/>
          <w:szCs w:val="16"/>
          <w:color w:val="auto"/>
        </w:rPr>
      </w:pPr>
    </w:p>
    <w:p>
      <w:pPr>
        <w:ind w:left="960" w:hanging="424"/>
        <w:spacing w:after="0" w:line="277" w:lineRule="auto"/>
        <w:tabs>
          <w:tab w:leader="none" w:pos="9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have no obligation to become involved in a lawsuit or other proceeding related to the Depositary Shares or the Deposit Agreement on your behalf or on behalf of any other person; and</w:t>
      </w:r>
    </w:p>
    <w:p>
      <w:pPr>
        <w:spacing w:after="0" w:line="75" w:lineRule="exact"/>
        <w:rPr>
          <w:rFonts w:ascii="Arial" w:cs="Arial" w:eastAsia="Arial" w:hAnsi="Arial"/>
          <w:sz w:val="18"/>
          <w:szCs w:val="18"/>
          <w:color w:val="auto"/>
        </w:rPr>
      </w:pPr>
    </w:p>
    <w:p>
      <w:pPr>
        <w:ind w:left="960" w:right="340" w:hanging="424"/>
        <w:spacing w:after="0" w:line="277" w:lineRule="auto"/>
        <w:tabs>
          <w:tab w:leader="none" w:pos="9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may rely upon any documents we believe or it believes in good faith to be genuine and to have been signed or presented by the proper person.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the Deposit Agreement, we and the Depositary agree to indemnify each other under certain circumstances.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 to Receive the Shares Underlying the Depositary Shares</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Depositary Shareholders have the right to cancel their Depositary Shares and withdraw the underlying shares of Series H Preferred Stock at any time except:</w:t>
      </w:r>
    </w:p>
    <w:p>
      <w:pPr>
        <w:spacing w:after="0" w:line="76" w:lineRule="exact"/>
        <w:rPr>
          <w:sz w:val="20"/>
          <w:szCs w:val="20"/>
          <w:color w:val="auto"/>
        </w:rPr>
      </w:pPr>
    </w:p>
    <w:p>
      <w:pPr>
        <w:ind w:left="960" w:hanging="424"/>
        <w:spacing w:after="0" w:line="263" w:lineRule="auto"/>
        <w:tabs>
          <w:tab w:leader="none" w:pos="9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when temporary delays arise because: (i) the Depositary has closed its transfer books or we have closed our transfer books; (ii) the transfer of shares of Series H Preferred Stock is blocked to permit voting at a Series H Preferred Shareholders’ meeting; or (iii) we are paying a dividend on our shares of Series H Preferred Stock;</w:t>
      </w:r>
    </w:p>
    <w:p>
      <w:pPr>
        <w:spacing w:after="0" w:line="89" w:lineRule="exact"/>
        <w:rPr>
          <w:rFonts w:ascii="Arial" w:cs="Arial" w:eastAsia="Arial" w:hAnsi="Arial"/>
          <w:sz w:val="18"/>
          <w:szCs w:val="18"/>
          <w:color w:val="auto"/>
        </w:rPr>
      </w:pPr>
    </w:p>
    <w:p>
      <w:pPr>
        <w:ind w:left="960" w:hanging="424"/>
        <w:spacing w:after="0"/>
        <w:tabs>
          <w:tab w:leader="none" w:pos="9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when you owe money to pay fees, taxes and similar charges; or</w:t>
      </w:r>
    </w:p>
    <w:p>
      <w:pPr>
        <w:spacing w:after="0" w:line="130" w:lineRule="exact"/>
        <w:rPr>
          <w:rFonts w:ascii="Arial" w:cs="Arial" w:eastAsia="Arial" w:hAnsi="Arial"/>
          <w:sz w:val="18"/>
          <w:szCs w:val="18"/>
          <w:color w:val="auto"/>
        </w:rPr>
      </w:pPr>
    </w:p>
    <w:p>
      <w:pPr>
        <w:ind w:left="960" w:right="20" w:hanging="424"/>
        <w:spacing w:after="0" w:line="277" w:lineRule="auto"/>
        <w:tabs>
          <w:tab w:leader="none" w:pos="9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when it is necessary to prohibit withdrawals in order to comply with any laws or governmental regulations that apply to Depositary Shares or to the withdrawal of shares of Series H Preferred Stock or other deposited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right of withdrawal may not be limited by any other provision of the Deposit Agreement.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Warrant Agent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transfer agent for Navios Holdings’ securities is Continental Stock Transfer &amp; Trust Company, 17 Battery Place, New York, New York 10004.</w:t>
      </w:r>
    </w:p>
    <w:p>
      <w:pPr>
        <w:sectPr>
          <w:pgSz w:w="11900" w:h="16838" w:orient="portrait"/>
          <w:cols w:equalWidth="0" w:num="1">
            <w:col w:w="10960"/>
          </w:cols>
          <w:pgMar w:left="440" w:top="274" w:right="499" w:bottom="1440" w:gutter="0" w:footer="0" w:header="0"/>
        </w:sectPr>
      </w:pPr>
    </w:p>
    <w:bookmarkStart w:id="269" w:name="page270"/>
    <w:bookmarkEnd w:id="269"/>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ind w:left="160"/>
              <w:spacing w:after="0"/>
              <w:rPr>
                <w:sz w:val="20"/>
                <w:szCs w:val="20"/>
                <w:color w:val="auto"/>
              </w:rPr>
            </w:pPr>
            <w:r>
              <w:rPr>
                <w:rFonts w:ascii="Arial" w:cs="Arial" w:eastAsia="Arial" w:hAnsi="Arial"/>
                <w:sz w:val="18"/>
                <w:szCs w:val="18"/>
                <w:b w:val="1"/>
                <w:bCs w:val="1"/>
                <w:color w:val="auto"/>
                <w:w w:val="91"/>
              </w:rPr>
              <w:t>Exhibit 8.1</w:t>
            </w:r>
          </w:p>
        </w:tc>
        <w:tc>
          <w:tcPr>
            <w:tcW w:w="0" w:type="dxa"/>
            <w:vAlign w:val="bottom"/>
          </w:tcPr>
          <w:p>
            <w:pPr>
              <w:spacing w:after="0"/>
              <w:rPr>
                <w:sz w:val="1"/>
                <w:szCs w:val="1"/>
                <w:color w:val="auto"/>
              </w:rPr>
            </w:pPr>
          </w:p>
        </w:tc>
      </w:tr>
      <w:tr>
        <w:trPr>
          <w:trHeight w:val="324"/>
        </w:trPr>
        <w:tc>
          <w:tcPr>
            <w:tcW w:w="4720" w:type="dxa"/>
            <w:vAlign w:val="bottom"/>
            <w:gridSpan w:val="2"/>
          </w:tcPr>
          <w:p>
            <w:pPr>
              <w:spacing w:after="0"/>
              <w:rPr>
                <w:sz w:val="20"/>
                <w:szCs w:val="20"/>
                <w:color w:val="auto"/>
              </w:rPr>
            </w:pPr>
            <w:r>
              <w:rPr>
                <w:rFonts w:ascii="Arial" w:cs="Arial" w:eastAsia="Arial" w:hAnsi="Arial"/>
                <w:sz w:val="18"/>
                <w:szCs w:val="18"/>
                <w:b w:val="1"/>
                <w:bCs w:val="1"/>
                <w:color w:val="auto"/>
              </w:rPr>
              <w:t>List of Subsidiaries Navios Maritime Holdings Inc.</w:t>
            </w:r>
          </w:p>
        </w:tc>
        <w:tc>
          <w:tcPr>
            <w:tcW w:w="3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720" w:type="dxa"/>
            <w:vAlign w:val="bottom"/>
            <w:gridSpan w:val="2"/>
          </w:tcPr>
          <w:p>
            <w:pPr>
              <w:spacing w:after="0"/>
              <w:rPr>
                <w:sz w:val="20"/>
                <w:szCs w:val="20"/>
                <w:color w:val="auto"/>
              </w:rPr>
            </w:pPr>
            <w:r>
              <w:rPr>
                <w:rFonts w:ascii="Arial" w:cs="Arial" w:eastAsia="Arial" w:hAnsi="Arial"/>
                <w:sz w:val="18"/>
                <w:szCs w:val="18"/>
                <w:b w:val="1"/>
                <w:bCs w:val="1"/>
                <w:color w:val="auto"/>
              </w:rPr>
              <w:t>Subsidiaries included in the consolidation:</w:t>
            </w:r>
          </w:p>
        </w:tc>
        <w:tc>
          <w:tcPr>
            <w:tcW w:w="3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w w:val="92"/>
              </w:rPr>
              <w:t>Company Name</w:t>
            </w:r>
          </w:p>
        </w:tc>
        <w:tc>
          <w:tcPr>
            <w:tcW w:w="3720" w:type="dxa"/>
            <w:vAlign w:val="bottom"/>
            <w:vMerge w:val="restart"/>
          </w:tcPr>
          <w:p>
            <w:pPr>
              <w:spacing w:after="0"/>
              <w:rPr>
                <w:sz w:val="24"/>
                <w:szCs w:val="24"/>
                <w:color w:val="auto"/>
              </w:rPr>
            </w:pPr>
          </w:p>
        </w:tc>
        <w:tc>
          <w:tcPr>
            <w:tcW w:w="40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Nature</w:t>
            </w:r>
          </w:p>
        </w:tc>
        <w:tc>
          <w:tcPr>
            <w:tcW w:w="12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9"/>
              </w:rPr>
              <w:t>Ownership</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6"/>
              </w:rPr>
              <w:t>Country of</w:t>
            </w:r>
          </w:p>
        </w:tc>
        <w:tc>
          <w:tcPr>
            <w:tcW w:w="0" w:type="dxa"/>
            <w:vAlign w:val="bottom"/>
          </w:tcPr>
          <w:p>
            <w:pPr>
              <w:spacing w:after="0"/>
              <w:rPr>
                <w:sz w:val="1"/>
                <w:szCs w:val="1"/>
                <w:color w:val="auto"/>
              </w:rPr>
            </w:pPr>
          </w:p>
        </w:tc>
      </w:tr>
      <w:tr>
        <w:trPr>
          <w:trHeight w:val="182"/>
        </w:trPr>
        <w:tc>
          <w:tcPr>
            <w:tcW w:w="1000" w:type="dxa"/>
            <w:vAlign w:val="bottom"/>
            <w:tcBorders>
              <w:bottom w:val="single" w:sz="8" w:color="auto"/>
            </w:tcBorders>
            <w:vMerge w:val="continue"/>
          </w:tcPr>
          <w:p>
            <w:pPr>
              <w:spacing w:after="0"/>
              <w:rPr>
                <w:sz w:val="15"/>
                <w:szCs w:val="15"/>
                <w:color w:val="auto"/>
              </w:rPr>
            </w:pPr>
          </w:p>
        </w:tc>
        <w:tc>
          <w:tcPr>
            <w:tcW w:w="3720" w:type="dxa"/>
            <w:vAlign w:val="bottom"/>
            <w:vMerge w:val="continue"/>
          </w:tcPr>
          <w:p>
            <w:pPr>
              <w:spacing w:after="0"/>
              <w:rPr>
                <w:sz w:val="15"/>
                <w:szCs w:val="15"/>
                <w:color w:val="auto"/>
              </w:rPr>
            </w:pPr>
          </w:p>
        </w:tc>
        <w:tc>
          <w:tcPr>
            <w:tcW w:w="4060" w:type="dxa"/>
            <w:vAlign w:val="bottom"/>
            <w:gridSpan w:val="2"/>
            <w:vMerge w:val="continue"/>
          </w:tcPr>
          <w:p>
            <w:pPr>
              <w:spacing w:after="0"/>
              <w:rPr>
                <w:sz w:val="15"/>
                <w:szCs w:val="15"/>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Interest</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7"/>
              </w:rPr>
              <w:t>Incorporation</w:t>
            </w:r>
          </w:p>
        </w:tc>
        <w:tc>
          <w:tcPr>
            <w:tcW w:w="0" w:type="dxa"/>
            <w:vAlign w:val="bottom"/>
          </w:tcPr>
          <w:p>
            <w:pPr>
              <w:spacing w:after="0"/>
              <w:rPr>
                <w:sz w:val="1"/>
                <w:szCs w:val="1"/>
                <w:color w:val="auto"/>
              </w:rPr>
            </w:pPr>
          </w:p>
        </w:tc>
      </w:tr>
      <w:tr>
        <w:trPr>
          <w:trHeight w:val="203"/>
        </w:trPr>
        <w:tc>
          <w:tcPr>
            <w:tcW w:w="47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Navios Maritime Holdings Inc.</w:t>
            </w:r>
          </w:p>
        </w:tc>
        <w:tc>
          <w:tcPr>
            <w:tcW w:w="38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3"/>
              </w:rPr>
              <w:t>Holding Company</w:t>
            </w:r>
          </w:p>
        </w:tc>
        <w:tc>
          <w:tcPr>
            <w:tcW w:w="2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3"/>
              </w:rPr>
              <w:t>Marshall Is.</w:t>
            </w: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Navios South American Logistics Inc.</w:t>
            </w:r>
          </w:p>
        </w:tc>
        <w:tc>
          <w:tcPr>
            <w:tcW w:w="40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Sub-Holding Company</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63.8%</w:t>
            </w:r>
          </w:p>
        </w:tc>
        <w:tc>
          <w:tcPr>
            <w:tcW w:w="100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Navios Corporation</w:t>
            </w:r>
          </w:p>
        </w:tc>
        <w:tc>
          <w:tcPr>
            <w:tcW w:w="40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2"/>
              </w:rPr>
              <w:t>Sub-Holding Company</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Navios International Inc.</w:t>
            </w:r>
          </w:p>
        </w:tc>
        <w:tc>
          <w:tcPr>
            <w:tcW w:w="40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Operating Company</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100%</w:t>
            </w:r>
          </w:p>
        </w:tc>
        <w:tc>
          <w:tcPr>
            <w:tcW w:w="100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Navimax Corporation</w:t>
            </w:r>
          </w:p>
        </w:tc>
        <w:tc>
          <w:tcPr>
            <w:tcW w:w="40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Operating Company</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Navios Handybulk Inc.</w:t>
            </w:r>
          </w:p>
        </w:tc>
        <w:tc>
          <w:tcPr>
            <w:tcW w:w="40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Operating Company</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100%</w:t>
            </w:r>
          </w:p>
        </w:tc>
        <w:tc>
          <w:tcPr>
            <w:tcW w:w="100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Hestia Shipping Ltd</w:t>
            </w:r>
          </w:p>
        </w:tc>
        <w:tc>
          <w:tcPr>
            <w:tcW w:w="40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Operating Company</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Malta</w:t>
            </w: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Anemos Maritime Holdings Inc.</w:t>
            </w:r>
          </w:p>
        </w:tc>
        <w:tc>
          <w:tcPr>
            <w:tcW w:w="40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Sub-Holding Company</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100%</w:t>
            </w:r>
          </w:p>
        </w:tc>
        <w:tc>
          <w:tcPr>
            <w:tcW w:w="100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 Holdings Limited</w:t>
            </w:r>
          </w:p>
        </w:tc>
        <w:tc>
          <w:tcPr>
            <w:tcW w:w="40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2"/>
              </w:rPr>
              <w:t>Sub-Holding Company</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Malta</w:t>
            </w:r>
          </w:p>
        </w:tc>
        <w:tc>
          <w:tcPr>
            <w:tcW w:w="0" w:type="dxa"/>
            <w:vAlign w:val="bottom"/>
          </w:tcPr>
          <w:p>
            <w:pPr>
              <w:spacing w:after="0"/>
              <w:rPr>
                <w:sz w:val="1"/>
                <w:szCs w:val="1"/>
                <w:color w:val="auto"/>
              </w:rPr>
            </w:pPr>
          </w:p>
        </w:tc>
      </w:tr>
      <w:tr>
        <w:trPr>
          <w:trHeight w:val="202"/>
        </w:trPr>
        <w:tc>
          <w:tcPr>
            <w:tcW w:w="4720" w:type="dxa"/>
            <w:vAlign w:val="bottom"/>
            <w:gridSpan w:val="2"/>
          </w:tcPr>
          <w:p>
            <w:pPr>
              <w:spacing w:after="0" w:line="201" w:lineRule="exact"/>
              <w:rPr>
                <w:sz w:val="20"/>
                <w:szCs w:val="20"/>
                <w:color w:val="auto"/>
              </w:rPr>
            </w:pPr>
            <w:r>
              <w:rPr>
                <w:rFonts w:ascii="Arial" w:cs="Arial" w:eastAsia="Arial" w:hAnsi="Arial"/>
                <w:sz w:val="18"/>
                <w:szCs w:val="18"/>
                <w:color w:val="auto"/>
              </w:rPr>
              <w:t>Kleimar N.V.</w:t>
            </w:r>
          </w:p>
        </w:tc>
        <w:tc>
          <w:tcPr>
            <w:tcW w:w="406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91"/>
              </w:rPr>
              <w:t>Operating Company/Vessel Owning Company/</w:t>
            </w:r>
          </w:p>
        </w:tc>
        <w:tc>
          <w:tcPr>
            <w:tcW w:w="124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100%</w:t>
            </w:r>
          </w:p>
        </w:tc>
        <w:tc>
          <w:tcPr>
            <w:tcW w:w="1000" w:type="dxa"/>
            <w:vAlign w:val="bottom"/>
          </w:tcPr>
          <w:p>
            <w:pPr>
              <w:jc w:val="center"/>
              <w:spacing w:after="0" w:line="201" w:lineRule="exact"/>
              <w:rPr>
                <w:sz w:val="20"/>
                <w:szCs w:val="20"/>
                <w:color w:val="auto"/>
              </w:rPr>
            </w:pPr>
            <w:r>
              <w:rPr>
                <w:rFonts w:ascii="Arial" w:cs="Arial" w:eastAsia="Arial" w:hAnsi="Arial"/>
                <w:sz w:val="18"/>
                <w:szCs w:val="18"/>
                <w:color w:val="auto"/>
                <w:w w:val="95"/>
              </w:rPr>
              <w:t>Belgium</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40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Management Company</w:t>
            </w: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Bulkinvest S.A.</w:t>
            </w:r>
          </w:p>
        </w:tc>
        <w:tc>
          <w:tcPr>
            <w:tcW w:w="40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Operating Company</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Luxembourg</w:t>
            </w: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Primavera Shipping Corporation</w:t>
            </w:r>
          </w:p>
        </w:tc>
        <w:tc>
          <w:tcPr>
            <w:tcW w:w="40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Operating Company</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100%</w:t>
            </w:r>
          </w:p>
        </w:tc>
        <w:tc>
          <w:tcPr>
            <w:tcW w:w="100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Ginger Services Co.</w:t>
            </w:r>
          </w:p>
        </w:tc>
        <w:tc>
          <w:tcPr>
            <w:tcW w:w="40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Operating Company</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Aquis Marine Corp.</w:t>
            </w:r>
          </w:p>
        </w:tc>
        <w:tc>
          <w:tcPr>
            <w:tcW w:w="40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Sub-Holding Company</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100%</w:t>
            </w:r>
          </w:p>
        </w:tc>
        <w:tc>
          <w:tcPr>
            <w:tcW w:w="100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Astra Maritime Corporation</w:t>
            </w:r>
          </w:p>
        </w:tc>
        <w:tc>
          <w:tcPr>
            <w:tcW w:w="40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Vessel Owning Company</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Achilles Shipping Corporation</w:t>
            </w:r>
          </w:p>
        </w:tc>
        <w:tc>
          <w:tcPr>
            <w:tcW w:w="40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Operating Company</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100%</w:t>
            </w:r>
          </w:p>
        </w:tc>
        <w:tc>
          <w:tcPr>
            <w:tcW w:w="100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Apollon Shipping Corporation</w:t>
            </w:r>
          </w:p>
        </w:tc>
        <w:tc>
          <w:tcPr>
            <w:tcW w:w="40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Operating Company</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Herakles Shipping Corporation</w:t>
            </w:r>
          </w:p>
        </w:tc>
        <w:tc>
          <w:tcPr>
            <w:tcW w:w="40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Operating Company</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100%</w:t>
            </w:r>
          </w:p>
        </w:tc>
        <w:tc>
          <w:tcPr>
            <w:tcW w:w="100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Hios Shipping Corporation</w:t>
            </w:r>
          </w:p>
        </w:tc>
        <w:tc>
          <w:tcPr>
            <w:tcW w:w="40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Operating Company</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Ionian Shipping Corporation</w:t>
            </w:r>
          </w:p>
        </w:tc>
        <w:tc>
          <w:tcPr>
            <w:tcW w:w="40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Operating Company</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100%</w:t>
            </w:r>
          </w:p>
        </w:tc>
        <w:tc>
          <w:tcPr>
            <w:tcW w:w="100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Kypros Shipping Corporation</w:t>
            </w:r>
          </w:p>
        </w:tc>
        <w:tc>
          <w:tcPr>
            <w:tcW w:w="40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Operating Company</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Meridian Shipping Enterprises Inc.</w:t>
            </w:r>
          </w:p>
        </w:tc>
        <w:tc>
          <w:tcPr>
            <w:tcW w:w="40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Vessel Owning Company</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100%</w:t>
            </w:r>
          </w:p>
        </w:tc>
        <w:tc>
          <w:tcPr>
            <w:tcW w:w="100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Mercator Shipping Corporation</w:t>
            </w:r>
          </w:p>
        </w:tc>
        <w:tc>
          <w:tcPr>
            <w:tcW w:w="40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Vessel Owning Company</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Arc Shipping Corporation</w:t>
            </w:r>
          </w:p>
        </w:tc>
        <w:tc>
          <w:tcPr>
            <w:tcW w:w="40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Vessel Owning Company</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100%</w:t>
            </w:r>
          </w:p>
        </w:tc>
        <w:tc>
          <w:tcPr>
            <w:tcW w:w="100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Horizon Shipping Enterprises Corporation</w:t>
            </w:r>
          </w:p>
        </w:tc>
        <w:tc>
          <w:tcPr>
            <w:tcW w:w="40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Vessel Owning Company</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Magellan Shipping Corporation</w:t>
            </w:r>
          </w:p>
        </w:tc>
        <w:tc>
          <w:tcPr>
            <w:tcW w:w="40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Vessel Owning Company</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100%</w:t>
            </w:r>
          </w:p>
        </w:tc>
        <w:tc>
          <w:tcPr>
            <w:tcW w:w="100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Aegean Shipping Corporation</w:t>
            </w:r>
          </w:p>
        </w:tc>
        <w:tc>
          <w:tcPr>
            <w:tcW w:w="40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Operating Company</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Star Maritime Enterprises Corporation</w:t>
            </w:r>
          </w:p>
        </w:tc>
        <w:tc>
          <w:tcPr>
            <w:tcW w:w="40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Vessel Owning Company</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100%</w:t>
            </w:r>
          </w:p>
        </w:tc>
        <w:tc>
          <w:tcPr>
            <w:tcW w:w="100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Corsair Shipping Ltd.</w:t>
            </w:r>
          </w:p>
        </w:tc>
        <w:tc>
          <w:tcPr>
            <w:tcW w:w="40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Vessel Owning Company</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Rowboat Marine Inc.</w:t>
            </w:r>
          </w:p>
        </w:tc>
        <w:tc>
          <w:tcPr>
            <w:tcW w:w="40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Operating Company</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100%</w:t>
            </w:r>
          </w:p>
        </w:tc>
        <w:tc>
          <w:tcPr>
            <w:tcW w:w="100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Rondine Management Corp</w:t>
            </w:r>
          </w:p>
        </w:tc>
        <w:tc>
          <w:tcPr>
            <w:tcW w:w="40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Vessel Owning Company</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Vernazza Shiptrade Inc.</w:t>
            </w:r>
          </w:p>
        </w:tc>
        <w:tc>
          <w:tcPr>
            <w:tcW w:w="40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Operating Company</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100%</w:t>
            </w:r>
          </w:p>
        </w:tc>
        <w:tc>
          <w:tcPr>
            <w:tcW w:w="100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Beaufiks Shipping Corporation</w:t>
            </w:r>
          </w:p>
        </w:tc>
        <w:tc>
          <w:tcPr>
            <w:tcW w:w="40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Operating Company</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Nostos Shipmanagement Corp.</w:t>
            </w:r>
          </w:p>
        </w:tc>
        <w:tc>
          <w:tcPr>
            <w:tcW w:w="40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Vessel Owning Company</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100%</w:t>
            </w:r>
          </w:p>
        </w:tc>
        <w:tc>
          <w:tcPr>
            <w:tcW w:w="100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Portorosa Marine Corp.</w:t>
            </w:r>
          </w:p>
        </w:tc>
        <w:tc>
          <w:tcPr>
            <w:tcW w:w="40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Operating Company</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Shikhar Ventures S.A.</w:t>
            </w:r>
          </w:p>
        </w:tc>
        <w:tc>
          <w:tcPr>
            <w:tcW w:w="40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Vessel Owning Company</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100%</w:t>
            </w:r>
          </w:p>
        </w:tc>
        <w:tc>
          <w:tcPr>
            <w:tcW w:w="1000" w:type="dxa"/>
            <w:vAlign w:val="bottom"/>
          </w:tcPr>
          <w:p>
            <w:pPr>
              <w:jc w:val="center"/>
              <w:spacing w:after="0"/>
              <w:rPr>
                <w:sz w:val="20"/>
                <w:szCs w:val="20"/>
                <w:color w:val="auto"/>
              </w:rPr>
            </w:pPr>
            <w:r>
              <w:rPr>
                <w:rFonts w:ascii="Arial" w:cs="Arial" w:eastAsia="Arial" w:hAnsi="Arial"/>
                <w:sz w:val="18"/>
                <w:szCs w:val="18"/>
                <w:color w:val="auto"/>
                <w:w w:val="96"/>
              </w:rPr>
              <w:t>Liberia</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Sizzling Ventures Inc.</w:t>
            </w:r>
          </w:p>
        </w:tc>
        <w:tc>
          <w:tcPr>
            <w:tcW w:w="40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Operating Company</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Liberia</w:t>
            </w: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Rheia Associates Co.</w:t>
            </w:r>
          </w:p>
        </w:tc>
        <w:tc>
          <w:tcPr>
            <w:tcW w:w="40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Operating Company</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100%</w:t>
            </w:r>
          </w:p>
        </w:tc>
        <w:tc>
          <w:tcPr>
            <w:tcW w:w="100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Taharqa Spirit Corp.</w:t>
            </w:r>
          </w:p>
        </w:tc>
        <w:tc>
          <w:tcPr>
            <w:tcW w:w="40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Operating Company</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c>
          <w:tcPr>
            <w:tcW w:w="0" w:type="dxa"/>
            <w:vAlign w:val="bottom"/>
          </w:tcPr>
          <w:p>
            <w:pPr>
              <w:spacing w:after="0"/>
              <w:rPr>
                <w:sz w:val="1"/>
                <w:szCs w:val="1"/>
                <w:color w:val="auto"/>
              </w:rPr>
            </w:pPr>
          </w:p>
        </w:tc>
      </w:tr>
      <w:tr>
        <w:trPr>
          <w:trHeight w:val="230"/>
        </w:trPr>
        <w:tc>
          <w:tcPr>
            <w:tcW w:w="4720" w:type="dxa"/>
            <w:vAlign w:val="bottom"/>
            <w:gridSpan w:val="2"/>
          </w:tcPr>
          <w:p>
            <w:pPr>
              <w:spacing w:after="0"/>
              <w:rPr>
                <w:sz w:val="20"/>
                <w:szCs w:val="20"/>
                <w:color w:val="auto"/>
              </w:rPr>
            </w:pPr>
            <w:r>
              <w:rPr>
                <w:rFonts w:ascii="Arial" w:cs="Arial" w:eastAsia="Arial" w:hAnsi="Arial"/>
                <w:sz w:val="18"/>
                <w:szCs w:val="18"/>
                <w:color w:val="auto"/>
              </w:rPr>
              <w:t>Rumer Holding Ltd.</w:t>
            </w:r>
          </w:p>
        </w:tc>
        <w:tc>
          <w:tcPr>
            <w:tcW w:w="40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Vessel Owning Company</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100%</w:t>
            </w:r>
          </w:p>
        </w:tc>
        <w:tc>
          <w:tcPr>
            <w:tcW w:w="1000" w:type="dxa"/>
            <w:vAlign w:val="bottom"/>
          </w:tcPr>
          <w:p>
            <w:pPr>
              <w:jc w:val="center"/>
              <w:spacing w:after="0"/>
              <w:rPr>
                <w:sz w:val="20"/>
                <w:szCs w:val="20"/>
                <w:color w:val="auto"/>
              </w:rPr>
            </w:pPr>
            <w:r>
              <w:rPr>
                <w:rFonts w:ascii="Arial" w:cs="Arial" w:eastAsia="Arial" w:hAnsi="Arial"/>
                <w:sz w:val="18"/>
                <w:szCs w:val="18"/>
                <w:color w:val="auto"/>
                <w:w w:val="93"/>
              </w:rPr>
              <w:t>Marshall Is.</w:t>
            </w:r>
          </w:p>
        </w:tc>
        <w:tc>
          <w:tcPr>
            <w:tcW w:w="0" w:type="dxa"/>
            <w:vAlign w:val="bottom"/>
          </w:tcPr>
          <w:p>
            <w:pPr>
              <w:spacing w:after="0"/>
              <w:rPr>
                <w:sz w:val="1"/>
                <w:szCs w:val="1"/>
                <w:color w:val="auto"/>
              </w:rPr>
            </w:pPr>
          </w:p>
        </w:tc>
      </w:tr>
    </w:tbl>
    <w:p>
      <w:pPr>
        <w:sectPr>
          <w:pgSz w:w="11900" w:h="16838" w:orient="portrait"/>
          <w:cols w:equalWidth="0" w:num="1">
            <w:col w:w="11020"/>
          </w:cols>
          <w:pgMar w:left="440" w:top="121" w:right="439" w:bottom="1440" w:gutter="0" w:footer="0" w:header="0"/>
        </w:sectPr>
      </w:pPr>
    </w:p>
    <w:bookmarkStart w:id="270" w:name="page271"/>
    <w:bookmarkEnd w:id="27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Pharos Navigation S.A.</w:t>
            </w:r>
          </w:p>
        </w:tc>
        <w:tc>
          <w:tcPr>
            <w:tcW w:w="4220" w:type="dxa"/>
            <w:vAlign w:val="bottom"/>
            <w:shd w:val="clear" w:color="auto" w:fill="CCEEFF"/>
          </w:tcPr>
          <w:p>
            <w:pPr>
              <w:jc w:val="center"/>
              <w:ind w:left="630"/>
              <w:spacing w:after="0"/>
              <w:rPr>
                <w:sz w:val="20"/>
                <w:szCs w:val="20"/>
                <w:color w:val="auto"/>
              </w:rPr>
            </w:pPr>
            <w:r>
              <w:rPr>
                <w:rFonts w:ascii="Arial" w:cs="Arial" w:eastAsia="Arial" w:hAnsi="Arial"/>
                <w:sz w:val="18"/>
                <w:szCs w:val="18"/>
                <w:color w:val="auto"/>
                <w:w w:val="90"/>
              </w:rPr>
              <w:t>Vessel Owning Company</w:t>
            </w:r>
          </w:p>
        </w:tc>
        <w:tc>
          <w:tcPr>
            <w:tcW w:w="1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Pueblo Holdings Ltd.</w:t>
            </w:r>
          </w:p>
        </w:tc>
        <w:tc>
          <w:tcPr>
            <w:tcW w:w="4220" w:type="dxa"/>
            <w:vAlign w:val="bottom"/>
          </w:tcPr>
          <w:p>
            <w:pPr>
              <w:jc w:val="center"/>
              <w:ind w:left="630"/>
              <w:spacing w:after="0"/>
              <w:rPr>
                <w:sz w:val="20"/>
                <w:szCs w:val="20"/>
                <w:color w:val="auto"/>
              </w:rPr>
            </w:pPr>
            <w:r>
              <w:rPr>
                <w:rFonts w:ascii="Arial" w:cs="Arial" w:eastAsia="Arial" w:hAnsi="Arial"/>
                <w:sz w:val="18"/>
                <w:szCs w:val="18"/>
                <w:color w:val="auto"/>
                <w:w w:val="90"/>
              </w:rPr>
              <w:t>Vessel Owning Company</w:t>
            </w: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100%</w:t>
            </w: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Marshall Is.</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Quena Shipmanagement Inc.</w:t>
            </w:r>
          </w:p>
        </w:tc>
        <w:tc>
          <w:tcPr>
            <w:tcW w:w="4220" w:type="dxa"/>
            <w:vAlign w:val="bottom"/>
            <w:shd w:val="clear" w:color="auto" w:fill="CCEEFF"/>
          </w:tcPr>
          <w:p>
            <w:pPr>
              <w:jc w:val="center"/>
              <w:ind w:left="630"/>
              <w:spacing w:after="0"/>
              <w:rPr>
                <w:sz w:val="20"/>
                <w:szCs w:val="20"/>
                <w:color w:val="auto"/>
              </w:rPr>
            </w:pPr>
            <w:r>
              <w:rPr>
                <w:rFonts w:ascii="Arial" w:cs="Arial" w:eastAsia="Arial" w:hAnsi="Arial"/>
                <w:sz w:val="18"/>
                <w:szCs w:val="18"/>
                <w:color w:val="auto"/>
                <w:w w:val="90"/>
              </w:rPr>
              <w:t>Operating Company</w:t>
            </w:r>
          </w:p>
        </w:tc>
        <w:tc>
          <w:tcPr>
            <w:tcW w:w="1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Aramis Navigation Inc.</w:t>
            </w:r>
          </w:p>
        </w:tc>
        <w:tc>
          <w:tcPr>
            <w:tcW w:w="4220" w:type="dxa"/>
            <w:vAlign w:val="bottom"/>
          </w:tcPr>
          <w:p>
            <w:pPr>
              <w:jc w:val="center"/>
              <w:ind w:left="630"/>
              <w:spacing w:after="0"/>
              <w:rPr>
                <w:sz w:val="20"/>
                <w:szCs w:val="20"/>
                <w:color w:val="auto"/>
              </w:rPr>
            </w:pPr>
            <w:r>
              <w:rPr>
                <w:rFonts w:ascii="Arial" w:cs="Arial" w:eastAsia="Arial" w:hAnsi="Arial"/>
                <w:sz w:val="18"/>
                <w:szCs w:val="18"/>
                <w:color w:val="auto"/>
                <w:w w:val="90"/>
              </w:rPr>
              <w:t>Vessel Owning Company</w:t>
            </w: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100%</w:t>
            </w: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Marshall Is.</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White Narcissus Marine S.A.</w:t>
            </w:r>
          </w:p>
        </w:tc>
        <w:tc>
          <w:tcPr>
            <w:tcW w:w="4220" w:type="dxa"/>
            <w:vAlign w:val="bottom"/>
            <w:shd w:val="clear" w:color="auto" w:fill="CCEEFF"/>
          </w:tcPr>
          <w:p>
            <w:pPr>
              <w:jc w:val="center"/>
              <w:ind w:left="630"/>
              <w:spacing w:after="0"/>
              <w:rPr>
                <w:sz w:val="20"/>
                <w:szCs w:val="20"/>
                <w:color w:val="auto"/>
              </w:rPr>
            </w:pPr>
            <w:r>
              <w:rPr>
                <w:rFonts w:ascii="Arial" w:cs="Arial" w:eastAsia="Arial" w:hAnsi="Arial"/>
                <w:sz w:val="18"/>
                <w:szCs w:val="18"/>
                <w:color w:val="auto"/>
                <w:w w:val="90"/>
              </w:rPr>
              <w:t>Vessel Owning Company</w:t>
            </w:r>
          </w:p>
        </w:tc>
        <w:tc>
          <w:tcPr>
            <w:tcW w:w="1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c>
          <w:tcPr>
            <w:tcW w:w="11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3"/>
              </w:rPr>
              <w:t>Panama</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Navios GP L.L.C.</w:t>
            </w:r>
          </w:p>
        </w:tc>
        <w:tc>
          <w:tcPr>
            <w:tcW w:w="4220" w:type="dxa"/>
            <w:vAlign w:val="bottom"/>
          </w:tcPr>
          <w:p>
            <w:pPr>
              <w:jc w:val="center"/>
              <w:ind w:left="630"/>
              <w:spacing w:after="0"/>
              <w:rPr>
                <w:sz w:val="20"/>
                <w:szCs w:val="20"/>
                <w:color w:val="auto"/>
              </w:rPr>
            </w:pPr>
            <w:r>
              <w:rPr>
                <w:rFonts w:ascii="Arial" w:cs="Arial" w:eastAsia="Arial" w:hAnsi="Arial"/>
                <w:sz w:val="18"/>
                <w:szCs w:val="18"/>
                <w:color w:val="auto"/>
                <w:w w:val="90"/>
              </w:rPr>
              <w:t>Operating Company</w:t>
            </w: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100%</w:t>
            </w: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Marshall Is.</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Red Rose Shipping Corp.</w:t>
            </w:r>
          </w:p>
        </w:tc>
        <w:tc>
          <w:tcPr>
            <w:tcW w:w="4220" w:type="dxa"/>
            <w:vAlign w:val="bottom"/>
            <w:shd w:val="clear" w:color="auto" w:fill="CCEEFF"/>
          </w:tcPr>
          <w:p>
            <w:pPr>
              <w:jc w:val="center"/>
              <w:ind w:left="630"/>
              <w:spacing w:after="0"/>
              <w:rPr>
                <w:sz w:val="20"/>
                <w:szCs w:val="20"/>
                <w:color w:val="auto"/>
              </w:rPr>
            </w:pPr>
            <w:r>
              <w:rPr>
                <w:rFonts w:ascii="Arial" w:cs="Arial" w:eastAsia="Arial" w:hAnsi="Arial"/>
                <w:sz w:val="18"/>
                <w:szCs w:val="18"/>
                <w:color w:val="auto"/>
                <w:w w:val="90"/>
              </w:rPr>
              <w:t>Vessel Owning Company</w:t>
            </w:r>
          </w:p>
        </w:tc>
        <w:tc>
          <w:tcPr>
            <w:tcW w:w="1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Highbird Management Inc.</w:t>
            </w:r>
          </w:p>
        </w:tc>
        <w:tc>
          <w:tcPr>
            <w:tcW w:w="4220" w:type="dxa"/>
            <w:vAlign w:val="bottom"/>
          </w:tcPr>
          <w:p>
            <w:pPr>
              <w:jc w:val="center"/>
              <w:ind w:left="630"/>
              <w:spacing w:after="0"/>
              <w:rPr>
                <w:sz w:val="20"/>
                <w:szCs w:val="20"/>
                <w:color w:val="auto"/>
              </w:rPr>
            </w:pPr>
            <w:r>
              <w:rPr>
                <w:rFonts w:ascii="Arial" w:cs="Arial" w:eastAsia="Arial" w:hAnsi="Arial"/>
                <w:sz w:val="18"/>
                <w:szCs w:val="18"/>
                <w:color w:val="auto"/>
                <w:w w:val="90"/>
              </w:rPr>
              <w:t>Vessel Owning Company</w:t>
            </w: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100%</w:t>
            </w: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Marshall Is.</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Ducale Marine Inc.</w:t>
            </w:r>
          </w:p>
        </w:tc>
        <w:tc>
          <w:tcPr>
            <w:tcW w:w="4220" w:type="dxa"/>
            <w:vAlign w:val="bottom"/>
            <w:shd w:val="clear" w:color="auto" w:fill="CCEEFF"/>
          </w:tcPr>
          <w:p>
            <w:pPr>
              <w:jc w:val="center"/>
              <w:ind w:left="630"/>
              <w:spacing w:after="0"/>
              <w:rPr>
                <w:sz w:val="20"/>
                <w:szCs w:val="20"/>
                <w:color w:val="auto"/>
              </w:rPr>
            </w:pPr>
            <w:r>
              <w:rPr>
                <w:rFonts w:ascii="Arial" w:cs="Arial" w:eastAsia="Arial" w:hAnsi="Arial"/>
                <w:sz w:val="18"/>
                <w:szCs w:val="18"/>
                <w:color w:val="auto"/>
                <w:w w:val="90"/>
              </w:rPr>
              <w:t>Vessel Owning Company</w:t>
            </w:r>
          </w:p>
        </w:tc>
        <w:tc>
          <w:tcPr>
            <w:tcW w:w="1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Vector Shipping Corporation</w:t>
            </w:r>
          </w:p>
        </w:tc>
        <w:tc>
          <w:tcPr>
            <w:tcW w:w="4220" w:type="dxa"/>
            <w:vAlign w:val="bottom"/>
          </w:tcPr>
          <w:p>
            <w:pPr>
              <w:jc w:val="center"/>
              <w:ind w:left="630"/>
              <w:spacing w:after="0"/>
              <w:rPr>
                <w:sz w:val="20"/>
                <w:szCs w:val="20"/>
                <w:color w:val="auto"/>
              </w:rPr>
            </w:pPr>
            <w:r>
              <w:rPr>
                <w:rFonts w:ascii="Arial" w:cs="Arial" w:eastAsia="Arial" w:hAnsi="Arial"/>
                <w:sz w:val="18"/>
                <w:szCs w:val="18"/>
                <w:color w:val="auto"/>
                <w:w w:val="90"/>
              </w:rPr>
              <w:t>Vessel Owning Company</w:t>
            </w: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100%</w:t>
            </w: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Marshall Is.</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Faith Marine Ltd.</w:t>
            </w:r>
          </w:p>
        </w:tc>
        <w:tc>
          <w:tcPr>
            <w:tcW w:w="4220" w:type="dxa"/>
            <w:vAlign w:val="bottom"/>
            <w:shd w:val="clear" w:color="auto" w:fill="CCEEFF"/>
          </w:tcPr>
          <w:p>
            <w:pPr>
              <w:jc w:val="center"/>
              <w:ind w:left="630"/>
              <w:spacing w:after="0"/>
              <w:rPr>
                <w:sz w:val="20"/>
                <w:szCs w:val="20"/>
                <w:color w:val="auto"/>
              </w:rPr>
            </w:pPr>
            <w:r>
              <w:rPr>
                <w:rFonts w:ascii="Arial" w:cs="Arial" w:eastAsia="Arial" w:hAnsi="Arial"/>
                <w:sz w:val="18"/>
                <w:szCs w:val="18"/>
                <w:color w:val="auto"/>
                <w:w w:val="90"/>
              </w:rPr>
              <w:t>Vessel Owning Company</w:t>
            </w:r>
          </w:p>
        </w:tc>
        <w:tc>
          <w:tcPr>
            <w:tcW w:w="1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c>
          <w:tcPr>
            <w:tcW w:w="11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6"/>
              </w:rPr>
              <w:t>Liberia</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Navios Maritime Finance (US) Inc.</w:t>
            </w:r>
          </w:p>
        </w:tc>
        <w:tc>
          <w:tcPr>
            <w:tcW w:w="4220" w:type="dxa"/>
            <w:vAlign w:val="bottom"/>
          </w:tcPr>
          <w:p>
            <w:pPr>
              <w:jc w:val="center"/>
              <w:ind w:left="630"/>
              <w:spacing w:after="0"/>
              <w:rPr>
                <w:sz w:val="20"/>
                <w:szCs w:val="20"/>
                <w:color w:val="auto"/>
              </w:rPr>
            </w:pPr>
            <w:r>
              <w:rPr>
                <w:rFonts w:ascii="Arial" w:cs="Arial" w:eastAsia="Arial" w:hAnsi="Arial"/>
                <w:sz w:val="18"/>
                <w:szCs w:val="18"/>
                <w:color w:val="auto"/>
                <w:w w:val="90"/>
              </w:rPr>
              <w:t>Operating Company</w:t>
            </w: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100%</w:t>
            </w:r>
          </w:p>
        </w:tc>
        <w:tc>
          <w:tcPr>
            <w:tcW w:w="1100" w:type="dxa"/>
            <w:vAlign w:val="bottom"/>
          </w:tcPr>
          <w:p>
            <w:pPr>
              <w:jc w:val="center"/>
              <w:ind w:left="10"/>
              <w:spacing w:after="0"/>
              <w:rPr>
                <w:sz w:val="20"/>
                <w:szCs w:val="20"/>
                <w:color w:val="auto"/>
              </w:rPr>
            </w:pPr>
            <w:r>
              <w:rPr>
                <w:rFonts w:ascii="Arial" w:cs="Arial" w:eastAsia="Arial" w:hAnsi="Arial"/>
                <w:sz w:val="18"/>
                <w:szCs w:val="18"/>
                <w:color w:val="auto"/>
                <w:w w:val="89"/>
              </w:rPr>
              <w:t>Delaware</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Navios Maritime Finance II (US) Inc.</w:t>
            </w:r>
          </w:p>
        </w:tc>
        <w:tc>
          <w:tcPr>
            <w:tcW w:w="4220" w:type="dxa"/>
            <w:vAlign w:val="bottom"/>
            <w:shd w:val="clear" w:color="auto" w:fill="CCEEFF"/>
          </w:tcPr>
          <w:p>
            <w:pPr>
              <w:jc w:val="center"/>
              <w:ind w:left="630"/>
              <w:spacing w:after="0"/>
              <w:rPr>
                <w:sz w:val="20"/>
                <w:szCs w:val="20"/>
                <w:color w:val="auto"/>
              </w:rPr>
            </w:pPr>
            <w:r>
              <w:rPr>
                <w:rFonts w:ascii="Arial" w:cs="Arial" w:eastAsia="Arial" w:hAnsi="Arial"/>
                <w:sz w:val="18"/>
                <w:szCs w:val="18"/>
                <w:color w:val="auto"/>
                <w:w w:val="90"/>
              </w:rPr>
              <w:t>Operating Company</w:t>
            </w:r>
          </w:p>
        </w:tc>
        <w:tc>
          <w:tcPr>
            <w:tcW w:w="1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c>
          <w:tcPr>
            <w:tcW w:w="11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9"/>
              </w:rPr>
              <w:t>Delaware</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Tulsi Shipmanagement Co.</w:t>
            </w:r>
          </w:p>
        </w:tc>
        <w:tc>
          <w:tcPr>
            <w:tcW w:w="4220" w:type="dxa"/>
            <w:vAlign w:val="bottom"/>
          </w:tcPr>
          <w:p>
            <w:pPr>
              <w:jc w:val="center"/>
              <w:ind w:left="630"/>
              <w:spacing w:after="0"/>
              <w:rPr>
                <w:sz w:val="20"/>
                <w:szCs w:val="20"/>
                <w:color w:val="auto"/>
              </w:rPr>
            </w:pPr>
            <w:r>
              <w:rPr>
                <w:rFonts w:ascii="Arial" w:cs="Arial" w:eastAsia="Arial" w:hAnsi="Arial"/>
                <w:sz w:val="18"/>
                <w:szCs w:val="18"/>
                <w:color w:val="auto"/>
                <w:w w:val="90"/>
              </w:rPr>
              <w:t>Operating Company</w:t>
            </w: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100%</w:t>
            </w: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Marshall Is.</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Cinthara Shipping Ltd.</w:t>
            </w:r>
          </w:p>
        </w:tc>
        <w:tc>
          <w:tcPr>
            <w:tcW w:w="4220" w:type="dxa"/>
            <w:vAlign w:val="bottom"/>
            <w:shd w:val="clear" w:color="auto" w:fill="CCEEFF"/>
          </w:tcPr>
          <w:p>
            <w:pPr>
              <w:jc w:val="center"/>
              <w:ind w:left="630"/>
              <w:spacing w:after="0"/>
              <w:rPr>
                <w:sz w:val="20"/>
                <w:szCs w:val="20"/>
                <w:color w:val="auto"/>
              </w:rPr>
            </w:pPr>
            <w:r>
              <w:rPr>
                <w:rFonts w:ascii="Arial" w:cs="Arial" w:eastAsia="Arial" w:hAnsi="Arial"/>
                <w:sz w:val="18"/>
                <w:szCs w:val="18"/>
                <w:color w:val="auto"/>
                <w:w w:val="90"/>
              </w:rPr>
              <w:t>Operating Company</w:t>
            </w:r>
          </w:p>
        </w:tc>
        <w:tc>
          <w:tcPr>
            <w:tcW w:w="1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Rawlin Services Co.</w:t>
            </w:r>
          </w:p>
        </w:tc>
        <w:tc>
          <w:tcPr>
            <w:tcW w:w="4220" w:type="dxa"/>
            <w:vAlign w:val="bottom"/>
          </w:tcPr>
          <w:p>
            <w:pPr>
              <w:jc w:val="center"/>
              <w:ind w:left="630"/>
              <w:spacing w:after="0"/>
              <w:rPr>
                <w:sz w:val="20"/>
                <w:szCs w:val="20"/>
                <w:color w:val="auto"/>
              </w:rPr>
            </w:pPr>
            <w:r>
              <w:rPr>
                <w:rFonts w:ascii="Arial" w:cs="Arial" w:eastAsia="Arial" w:hAnsi="Arial"/>
                <w:sz w:val="18"/>
                <w:szCs w:val="18"/>
                <w:color w:val="auto"/>
                <w:w w:val="90"/>
              </w:rPr>
              <w:t>Operating Company</w:t>
            </w: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100%</w:t>
            </w: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Marshall Is.</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Mauve International S.A.</w:t>
            </w:r>
          </w:p>
        </w:tc>
        <w:tc>
          <w:tcPr>
            <w:tcW w:w="4220" w:type="dxa"/>
            <w:vAlign w:val="bottom"/>
            <w:shd w:val="clear" w:color="auto" w:fill="CCEEFF"/>
          </w:tcPr>
          <w:p>
            <w:pPr>
              <w:jc w:val="center"/>
              <w:ind w:left="630"/>
              <w:spacing w:after="0"/>
              <w:rPr>
                <w:sz w:val="20"/>
                <w:szCs w:val="20"/>
                <w:color w:val="auto"/>
              </w:rPr>
            </w:pPr>
            <w:r>
              <w:rPr>
                <w:rFonts w:ascii="Arial" w:cs="Arial" w:eastAsia="Arial" w:hAnsi="Arial"/>
                <w:sz w:val="18"/>
                <w:szCs w:val="18"/>
                <w:color w:val="auto"/>
                <w:w w:val="90"/>
              </w:rPr>
              <w:t>Operating Company</w:t>
            </w:r>
          </w:p>
        </w:tc>
        <w:tc>
          <w:tcPr>
            <w:tcW w:w="1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Serenity Shipping Enterprises Inc.</w:t>
            </w:r>
          </w:p>
        </w:tc>
        <w:tc>
          <w:tcPr>
            <w:tcW w:w="4220" w:type="dxa"/>
            <w:vAlign w:val="bottom"/>
          </w:tcPr>
          <w:p>
            <w:pPr>
              <w:jc w:val="center"/>
              <w:ind w:left="630"/>
              <w:spacing w:after="0"/>
              <w:rPr>
                <w:sz w:val="20"/>
                <w:szCs w:val="20"/>
                <w:color w:val="auto"/>
              </w:rPr>
            </w:pPr>
            <w:r>
              <w:rPr>
                <w:rFonts w:ascii="Arial" w:cs="Arial" w:eastAsia="Arial" w:hAnsi="Arial"/>
                <w:sz w:val="18"/>
                <w:szCs w:val="18"/>
                <w:color w:val="auto"/>
                <w:w w:val="90"/>
              </w:rPr>
              <w:t>Vessel Owning Company</w:t>
            </w: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100%</w:t>
            </w: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Marshall Is.</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Mandora Shipping Ltd</w:t>
            </w:r>
          </w:p>
        </w:tc>
        <w:tc>
          <w:tcPr>
            <w:tcW w:w="4220" w:type="dxa"/>
            <w:vAlign w:val="bottom"/>
            <w:shd w:val="clear" w:color="auto" w:fill="CCEEFF"/>
          </w:tcPr>
          <w:p>
            <w:pPr>
              <w:jc w:val="center"/>
              <w:ind w:left="630"/>
              <w:spacing w:after="0"/>
              <w:rPr>
                <w:sz w:val="20"/>
                <w:szCs w:val="20"/>
                <w:color w:val="auto"/>
              </w:rPr>
            </w:pPr>
            <w:r>
              <w:rPr>
                <w:rFonts w:ascii="Arial" w:cs="Arial" w:eastAsia="Arial" w:hAnsi="Arial"/>
                <w:sz w:val="18"/>
                <w:szCs w:val="18"/>
                <w:color w:val="auto"/>
                <w:w w:val="90"/>
              </w:rPr>
              <w:t>Vessel Owning Company</w:t>
            </w:r>
          </w:p>
        </w:tc>
        <w:tc>
          <w:tcPr>
            <w:tcW w:w="1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Solange Shipping Ltd.</w:t>
            </w:r>
          </w:p>
        </w:tc>
        <w:tc>
          <w:tcPr>
            <w:tcW w:w="4220" w:type="dxa"/>
            <w:vAlign w:val="bottom"/>
          </w:tcPr>
          <w:p>
            <w:pPr>
              <w:jc w:val="center"/>
              <w:ind w:left="630"/>
              <w:spacing w:after="0"/>
              <w:rPr>
                <w:sz w:val="20"/>
                <w:szCs w:val="20"/>
                <w:color w:val="auto"/>
              </w:rPr>
            </w:pPr>
            <w:r>
              <w:rPr>
                <w:rFonts w:ascii="Arial" w:cs="Arial" w:eastAsia="Arial" w:hAnsi="Arial"/>
                <w:sz w:val="18"/>
                <w:szCs w:val="18"/>
                <w:color w:val="auto"/>
                <w:w w:val="90"/>
              </w:rPr>
              <w:t>Vessel Owning Company</w:t>
            </w: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100%</w:t>
            </w: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Marshall Is.</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Diesis Ship Management Ltd.</w:t>
            </w:r>
          </w:p>
        </w:tc>
        <w:tc>
          <w:tcPr>
            <w:tcW w:w="4220" w:type="dxa"/>
            <w:vAlign w:val="bottom"/>
            <w:shd w:val="clear" w:color="auto" w:fill="CCEEFF"/>
          </w:tcPr>
          <w:p>
            <w:pPr>
              <w:jc w:val="center"/>
              <w:ind w:left="630"/>
              <w:spacing w:after="0"/>
              <w:rPr>
                <w:sz w:val="20"/>
                <w:szCs w:val="20"/>
                <w:color w:val="auto"/>
              </w:rPr>
            </w:pPr>
            <w:r>
              <w:rPr>
                <w:rFonts w:ascii="Arial" w:cs="Arial" w:eastAsia="Arial" w:hAnsi="Arial"/>
                <w:sz w:val="18"/>
                <w:szCs w:val="18"/>
                <w:color w:val="auto"/>
                <w:w w:val="90"/>
              </w:rPr>
              <w:t>Operating Company</w:t>
            </w:r>
          </w:p>
        </w:tc>
        <w:tc>
          <w:tcPr>
            <w:tcW w:w="1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Navios Holdings Europe Finance Inc.</w:t>
            </w:r>
          </w:p>
        </w:tc>
        <w:tc>
          <w:tcPr>
            <w:tcW w:w="4220" w:type="dxa"/>
            <w:vAlign w:val="bottom"/>
          </w:tcPr>
          <w:p>
            <w:pPr>
              <w:jc w:val="center"/>
              <w:ind w:left="630"/>
              <w:spacing w:after="0"/>
              <w:rPr>
                <w:sz w:val="20"/>
                <w:szCs w:val="20"/>
                <w:color w:val="auto"/>
              </w:rPr>
            </w:pPr>
            <w:r>
              <w:rPr>
                <w:rFonts w:ascii="Arial" w:cs="Arial" w:eastAsia="Arial" w:hAnsi="Arial"/>
                <w:sz w:val="18"/>
                <w:szCs w:val="18"/>
                <w:color w:val="auto"/>
                <w:w w:val="91"/>
              </w:rPr>
              <w:t>Sub-Holding Company</w:t>
            </w: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100%</w:t>
            </w: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Marshall Is.</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Navios Asia LLC</w:t>
            </w:r>
          </w:p>
        </w:tc>
        <w:tc>
          <w:tcPr>
            <w:tcW w:w="4220" w:type="dxa"/>
            <w:vAlign w:val="bottom"/>
            <w:shd w:val="clear" w:color="auto" w:fill="CCEEFF"/>
          </w:tcPr>
          <w:p>
            <w:pPr>
              <w:jc w:val="center"/>
              <w:ind w:left="630"/>
              <w:spacing w:after="0"/>
              <w:rPr>
                <w:sz w:val="20"/>
                <w:szCs w:val="20"/>
                <w:color w:val="auto"/>
              </w:rPr>
            </w:pPr>
            <w:r>
              <w:rPr>
                <w:rFonts w:ascii="Arial" w:cs="Arial" w:eastAsia="Arial" w:hAnsi="Arial"/>
                <w:sz w:val="18"/>
                <w:szCs w:val="18"/>
                <w:color w:val="auto"/>
                <w:w w:val="91"/>
              </w:rPr>
              <w:t>Sub-Holding Company</w:t>
            </w:r>
          </w:p>
        </w:tc>
        <w:tc>
          <w:tcPr>
            <w:tcW w:w="1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Iris Shipping Corporation</w:t>
            </w:r>
          </w:p>
        </w:tc>
        <w:tc>
          <w:tcPr>
            <w:tcW w:w="4220" w:type="dxa"/>
            <w:vAlign w:val="bottom"/>
          </w:tcPr>
          <w:p>
            <w:pPr>
              <w:jc w:val="center"/>
              <w:ind w:left="630"/>
              <w:spacing w:after="0"/>
              <w:rPr>
                <w:sz w:val="20"/>
                <w:szCs w:val="20"/>
                <w:color w:val="auto"/>
              </w:rPr>
            </w:pPr>
            <w:r>
              <w:rPr>
                <w:rFonts w:ascii="Arial" w:cs="Arial" w:eastAsia="Arial" w:hAnsi="Arial"/>
                <w:sz w:val="18"/>
                <w:szCs w:val="18"/>
                <w:color w:val="auto"/>
                <w:w w:val="90"/>
              </w:rPr>
              <w:t>Vessel Owning Company</w:t>
            </w: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100%</w:t>
            </w: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Marshall Is.</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Jasmine Shipping Corporation</w:t>
            </w:r>
          </w:p>
        </w:tc>
        <w:tc>
          <w:tcPr>
            <w:tcW w:w="4220" w:type="dxa"/>
            <w:vAlign w:val="bottom"/>
            <w:shd w:val="clear" w:color="auto" w:fill="CCEEFF"/>
          </w:tcPr>
          <w:p>
            <w:pPr>
              <w:jc w:val="center"/>
              <w:ind w:left="630"/>
              <w:spacing w:after="0"/>
              <w:rPr>
                <w:sz w:val="20"/>
                <w:szCs w:val="20"/>
                <w:color w:val="auto"/>
              </w:rPr>
            </w:pPr>
            <w:r>
              <w:rPr>
                <w:rFonts w:ascii="Arial" w:cs="Arial" w:eastAsia="Arial" w:hAnsi="Arial"/>
                <w:sz w:val="18"/>
                <w:szCs w:val="18"/>
                <w:color w:val="auto"/>
                <w:w w:val="90"/>
              </w:rPr>
              <w:t>Vessel Owning Company</w:t>
            </w:r>
          </w:p>
        </w:tc>
        <w:tc>
          <w:tcPr>
            <w:tcW w:w="1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Emery Shipping Corporation</w:t>
            </w:r>
          </w:p>
        </w:tc>
        <w:tc>
          <w:tcPr>
            <w:tcW w:w="4220" w:type="dxa"/>
            <w:vAlign w:val="bottom"/>
          </w:tcPr>
          <w:p>
            <w:pPr>
              <w:jc w:val="center"/>
              <w:ind w:left="630"/>
              <w:spacing w:after="0"/>
              <w:rPr>
                <w:sz w:val="20"/>
                <w:szCs w:val="20"/>
                <w:color w:val="auto"/>
              </w:rPr>
            </w:pPr>
            <w:r>
              <w:rPr>
                <w:rFonts w:ascii="Arial" w:cs="Arial" w:eastAsia="Arial" w:hAnsi="Arial"/>
                <w:sz w:val="18"/>
                <w:szCs w:val="18"/>
                <w:color w:val="auto"/>
                <w:w w:val="90"/>
              </w:rPr>
              <w:t>Vessel Owning Company</w:t>
            </w: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100%</w:t>
            </w: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Marshall Is.</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Lavender Shipping Corporation</w:t>
            </w:r>
          </w:p>
        </w:tc>
        <w:tc>
          <w:tcPr>
            <w:tcW w:w="4220" w:type="dxa"/>
            <w:vAlign w:val="bottom"/>
            <w:shd w:val="clear" w:color="auto" w:fill="CCEEFF"/>
          </w:tcPr>
          <w:p>
            <w:pPr>
              <w:jc w:val="center"/>
              <w:ind w:left="630"/>
              <w:spacing w:after="0"/>
              <w:rPr>
                <w:sz w:val="20"/>
                <w:szCs w:val="20"/>
                <w:color w:val="auto"/>
              </w:rPr>
            </w:pPr>
            <w:r>
              <w:rPr>
                <w:rFonts w:ascii="Arial" w:cs="Arial" w:eastAsia="Arial" w:hAnsi="Arial"/>
                <w:sz w:val="18"/>
                <w:szCs w:val="18"/>
                <w:color w:val="auto"/>
                <w:w w:val="90"/>
              </w:rPr>
              <w:t>Vessel Owning Company</w:t>
            </w:r>
          </w:p>
        </w:tc>
        <w:tc>
          <w:tcPr>
            <w:tcW w:w="1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Roselite Shipping Corporation</w:t>
            </w:r>
          </w:p>
        </w:tc>
        <w:tc>
          <w:tcPr>
            <w:tcW w:w="4220" w:type="dxa"/>
            <w:vAlign w:val="bottom"/>
          </w:tcPr>
          <w:p>
            <w:pPr>
              <w:jc w:val="center"/>
              <w:ind w:left="630"/>
              <w:spacing w:after="0"/>
              <w:rPr>
                <w:sz w:val="20"/>
                <w:szCs w:val="20"/>
                <w:color w:val="auto"/>
              </w:rPr>
            </w:pPr>
            <w:r>
              <w:rPr>
                <w:rFonts w:ascii="Arial" w:cs="Arial" w:eastAsia="Arial" w:hAnsi="Arial"/>
                <w:sz w:val="18"/>
                <w:szCs w:val="18"/>
                <w:color w:val="auto"/>
                <w:w w:val="90"/>
              </w:rPr>
              <w:t>Operating Company</w:t>
            </w: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100%</w:t>
            </w: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Marshall Is.</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Smaltite Shipping Corporation</w:t>
            </w:r>
          </w:p>
        </w:tc>
        <w:tc>
          <w:tcPr>
            <w:tcW w:w="4220" w:type="dxa"/>
            <w:vAlign w:val="bottom"/>
            <w:shd w:val="clear" w:color="auto" w:fill="CCEEFF"/>
          </w:tcPr>
          <w:p>
            <w:pPr>
              <w:jc w:val="center"/>
              <w:ind w:left="630"/>
              <w:spacing w:after="0"/>
              <w:rPr>
                <w:sz w:val="20"/>
                <w:szCs w:val="20"/>
                <w:color w:val="auto"/>
              </w:rPr>
            </w:pPr>
            <w:r>
              <w:rPr>
                <w:rFonts w:ascii="Arial" w:cs="Arial" w:eastAsia="Arial" w:hAnsi="Arial"/>
                <w:sz w:val="18"/>
                <w:szCs w:val="18"/>
                <w:color w:val="auto"/>
                <w:w w:val="90"/>
              </w:rPr>
              <w:t>Operating Company</w:t>
            </w:r>
          </w:p>
        </w:tc>
        <w:tc>
          <w:tcPr>
            <w:tcW w:w="1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Motiva Trading Ltd</w:t>
            </w:r>
          </w:p>
        </w:tc>
        <w:tc>
          <w:tcPr>
            <w:tcW w:w="4220" w:type="dxa"/>
            <w:vAlign w:val="bottom"/>
          </w:tcPr>
          <w:p>
            <w:pPr>
              <w:jc w:val="center"/>
              <w:ind w:left="630"/>
              <w:spacing w:after="0"/>
              <w:rPr>
                <w:sz w:val="20"/>
                <w:szCs w:val="20"/>
                <w:color w:val="auto"/>
              </w:rPr>
            </w:pPr>
            <w:r>
              <w:rPr>
                <w:rFonts w:ascii="Arial" w:cs="Arial" w:eastAsia="Arial" w:hAnsi="Arial"/>
                <w:sz w:val="18"/>
                <w:szCs w:val="18"/>
                <w:color w:val="auto"/>
                <w:w w:val="90"/>
              </w:rPr>
              <w:t>Operating Company</w:t>
            </w: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100%</w:t>
            </w: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Marshall Is.</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Alpha Merit Corporation</w:t>
            </w:r>
          </w:p>
        </w:tc>
        <w:tc>
          <w:tcPr>
            <w:tcW w:w="4220" w:type="dxa"/>
            <w:vAlign w:val="bottom"/>
            <w:shd w:val="clear" w:color="auto" w:fill="CCEEFF"/>
          </w:tcPr>
          <w:p>
            <w:pPr>
              <w:jc w:val="center"/>
              <w:ind w:left="630"/>
              <w:spacing w:after="0"/>
              <w:rPr>
                <w:sz w:val="20"/>
                <w:szCs w:val="20"/>
                <w:color w:val="auto"/>
              </w:rPr>
            </w:pPr>
            <w:r>
              <w:rPr>
                <w:rFonts w:ascii="Arial" w:cs="Arial" w:eastAsia="Arial" w:hAnsi="Arial"/>
                <w:sz w:val="18"/>
                <w:szCs w:val="18"/>
                <w:color w:val="auto"/>
                <w:w w:val="91"/>
              </w:rPr>
              <w:t>Sub-Holding Company</w:t>
            </w:r>
          </w:p>
        </w:tc>
        <w:tc>
          <w:tcPr>
            <w:tcW w:w="1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Thalassa Marine S.A.</w:t>
            </w:r>
          </w:p>
        </w:tc>
        <w:tc>
          <w:tcPr>
            <w:tcW w:w="4220" w:type="dxa"/>
            <w:vAlign w:val="bottom"/>
          </w:tcPr>
          <w:p>
            <w:pPr>
              <w:jc w:val="center"/>
              <w:ind w:left="630"/>
              <w:spacing w:after="0"/>
              <w:rPr>
                <w:sz w:val="20"/>
                <w:szCs w:val="20"/>
                <w:color w:val="auto"/>
              </w:rPr>
            </w:pPr>
            <w:r>
              <w:rPr>
                <w:rFonts w:ascii="Arial" w:cs="Arial" w:eastAsia="Arial" w:hAnsi="Arial"/>
                <w:sz w:val="18"/>
                <w:szCs w:val="18"/>
                <w:color w:val="auto"/>
                <w:w w:val="90"/>
              </w:rPr>
              <w:t>Operating Company</w:t>
            </w: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100%</w:t>
            </w: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Marshall Is.</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Asteroid Shipping S.A.</w:t>
            </w:r>
          </w:p>
        </w:tc>
        <w:tc>
          <w:tcPr>
            <w:tcW w:w="4220" w:type="dxa"/>
            <w:vAlign w:val="bottom"/>
            <w:shd w:val="clear" w:color="auto" w:fill="CCEEFF"/>
          </w:tcPr>
          <w:p>
            <w:pPr>
              <w:jc w:val="center"/>
              <w:ind w:left="630"/>
              <w:spacing w:after="0"/>
              <w:rPr>
                <w:sz w:val="20"/>
                <w:szCs w:val="20"/>
                <w:color w:val="auto"/>
              </w:rPr>
            </w:pPr>
            <w:r>
              <w:rPr>
                <w:rFonts w:ascii="Arial" w:cs="Arial" w:eastAsia="Arial" w:hAnsi="Arial"/>
                <w:sz w:val="18"/>
                <w:szCs w:val="18"/>
                <w:color w:val="auto"/>
                <w:w w:val="90"/>
              </w:rPr>
              <w:t>Operating Company</w:t>
            </w:r>
          </w:p>
        </w:tc>
        <w:tc>
          <w:tcPr>
            <w:tcW w:w="1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Cloud Atlas Marine S.A.</w:t>
            </w:r>
          </w:p>
        </w:tc>
        <w:tc>
          <w:tcPr>
            <w:tcW w:w="4220" w:type="dxa"/>
            <w:vAlign w:val="bottom"/>
          </w:tcPr>
          <w:p>
            <w:pPr>
              <w:jc w:val="center"/>
              <w:ind w:left="630"/>
              <w:spacing w:after="0"/>
              <w:rPr>
                <w:sz w:val="20"/>
                <w:szCs w:val="20"/>
                <w:color w:val="auto"/>
              </w:rPr>
            </w:pPr>
            <w:r>
              <w:rPr>
                <w:rFonts w:ascii="Arial" w:cs="Arial" w:eastAsia="Arial" w:hAnsi="Arial"/>
                <w:sz w:val="18"/>
                <w:szCs w:val="18"/>
                <w:color w:val="auto"/>
                <w:w w:val="90"/>
              </w:rPr>
              <w:t>Operating Company</w:t>
            </w: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100%</w:t>
            </w: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Marshall Is.</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Heodor Shipping Inc.</w:t>
            </w:r>
          </w:p>
        </w:tc>
        <w:tc>
          <w:tcPr>
            <w:tcW w:w="4220" w:type="dxa"/>
            <w:vAlign w:val="bottom"/>
            <w:shd w:val="clear" w:color="auto" w:fill="CCEEFF"/>
          </w:tcPr>
          <w:p>
            <w:pPr>
              <w:jc w:val="center"/>
              <w:ind w:left="630"/>
              <w:spacing w:after="0"/>
              <w:rPr>
                <w:sz w:val="20"/>
                <w:szCs w:val="20"/>
                <w:color w:val="auto"/>
              </w:rPr>
            </w:pPr>
            <w:r>
              <w:rPr>
                <w:rFonts w:ascii="Arial" w:cs="Arial" w:eastAsia="Arial" w:hAnsi="Arial"/>
                <w:sz w:val="18"/>
                <w:szCs w:val="18"/>
                <w:color w:val="auto"/>
                <w:w w:val="90"/>
              </w:rPr>
              <w:t>Vessel Owning Company</w:t>
            </w:r>
          </w:p>
        </w:tc>
        <w:tc>
          <w:tcPr>
            <w:tcW w:w="1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Pacifico Navigation Corp.</w:t>
            </w:r>
          </w:p>
        </w:tc>
        <w:tc>
          <w:tcPr>
            <w:tcW w:w="4220" w:type="dxa"/>
            <w:vAlign w:val="bottom"/>
          </w:tcPr>
          <w:p>
            <w:pPr>
              <w:jc w:val="center"/>
              <w:ind w:left="630"/>
              <w:spacing w:after="0"/>
              <w:rPr>
                <w:sz w:val="20"/>
                <w:szCs w:val="20"/>
                <w:color w:val="auto"/>
              </w:rPr>
            </w:pPr>
            <w:r>
              <w:rPr>
                <w:rFonts w:ascii="Arial" w:cs="Arial" w:eastAsia="Arial" w:hAnsi="Arial"/>
                <w:sz w:val="18"/>
                <w:szCs w:val="18"/>
                <w:color w:val="auto"/>
                <w:w w:val="90"/>
              </w:rPr>
              <w:t>Vessel Owning Company</w:t>
            </w: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100%</w:t>
            </w: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Marshall Is.</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Rider Shipmanagement Inc.</w:t>
            </w:r>
          </w:p>
        </w:tc>
        <w:tc>
          <w:tcPr>
            <w:tcW w:w="4220" w:type="dxa"/>
            <w:vAlign w:val="bottom"/>
            <w:shd w:val="clear" w:color="auto" w:fill="CCEEFF"/>
          </w:tcPr>
          <w:p>
            <w:pPr>
              <w:jc w:val="center"/>
              <w:ind w:left="630"/>
              <w:spacing w:after="0"/>
              <w:rPr>
                <w:sz w:val="20"/>
                <w:szCs w:val="20"/>
                <w:color w:val="auto"/>
              </w:rPr>
            </w:pPr>
            <w:r>
              <w:rPr>
                <w:rFonts w:ascii="Arial" w:cs="Arial" w:eastAsia="Arial" w:hAnsi="Arial"/>
                <w:sz w:val="18"/>
                <w:szCs w:val="18"/>
                <w:color w:val="auto"/>
                <w:w w:val="90"/>
              </w:rPr>
              <w:t>Operating Company</w:t>
            </w:r>
          </w:p>
        </w:tc>
        <w:tc>
          <w:tcPr>
            <w:tcW w:w="1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Talia Shiptrade S.A.</w:t>
            </w:r>
          </w:p>
        </w:tc>
        <w:tc>
          <w:tcPr>
            <w:tcW w:w="4220" w:type="dxa"/>
            <w:vAlign w:val="bottom"/>
          </w:tcPr>
          <w:p>
            <w:pPr>
              <w:jc w:val="center"/>
              <w:ind w:left="630"/>
              <w:spacing w:after="0"/>
              <w:rPr>
                <w:sz w:val="20"/>
                <w:szCs w:val="20"/>
                <w:color w:val="auto"/>
              </w:rPr>
            </w:pPr>
            <w:r>
              <w:rPr>
                <w:rFonts w:ascii="Arial" w:cs="Arial" w:eastAsia="Arial" w:hAnsi="Arial"/>
                <w:sz w:val="18"/>
                <w:szCs w:val="18"/>
                <w:color w:val="auto"/>
                <w:w w:val="90"/>
              </w:rPr>
              <w:t>Operating Company</w:t>
            </w: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100%</w:t>
            </w: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Marshall Is.</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Moonstone Shipping Corporation</w:t>
            </w:r>
          </w:p>
        </w:tc>
        <w:tc>
          <w:tcPr>
            <w:tcW w:w="4220" w:type="dxa"/>
            <w:vAlign w:val="bottom"/>
            <w:shd w:val="clear" w:color="auto" w:fill="CCEEFF"/>
          </w:tcPr>
          <w:p>
            <w:pPr>
              <w:jc w:val="center"/>
              <w:ind w:left="630"/>
              <w:spacing w:after="0"/>
              <w:rPr>
                <w:sz w:val="20"/>
                <w:szCs w:val="20"/>
                <w:color w:val="auto"/>
              </w:rPr>
            </w:pPr>
            <w:r>
              <w:rPr>
                <w:rFonts w:ascii="Arial" w:cs="Arial" w:eastAsia="Arial" w:hAnsi="Arial"/>
                <w:sz w:val="18"/>
                <w:szCs w:val="18"/>
                <w:color w:val="auto"/>
                <w:w w:val="90"/>
              </w:rPr>
              <w:t>Vessel Owning Company</w:t>
            </w:r>
          </w:p>
        </w:tc>
        <w:tc>
          <w:tcPr>
            <w:tcW w:w="1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Marshall Is.</w:t>
            </w: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Opal Shipping Corporation</w:t>
            </w:r>
          </w:p>
        </w:tc>
        <w:tc>
          <w:tcPr>
            <w:tcW w:w="4220" w:type="dxa"/>
            <w:vAlign w:val="bottom"/>
          </w:tcPr>
          <w:p>
            <w:pPr>
              <w:jc w:val="center"/>
              <w:ind w:left="630"/>
              <w:spacing w:after="0"/>
              <w:rPr>
                <w:sz w:val="20"/>
                <w:szCs w:val="20"/>
                <w:color w:val="auto"/>
              </w:rPr>
            </w:pPr>
            <w:r>
              <w:rPr>
                <w:rFonts w:ascii="Arial" w:cs="Arial" w:eastAsia="Arial" w:hAnsi="Arial"/>
                <w:sz w:val="18"/>
                <w:szCs w:val="18"/>
                <w:color w:val="auto"/>
                <w:w w:val="90"/>
              </w:rPr>
              <w:t>Vessel Owning Company</w:t>
            </w: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100%</w:t>
            </w: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Marshall Is.</w:t>
            </w:r>
          </w:p>
        </w:tc>
      </w:tr>
    </w:tbl>
    <w:p>
      <w:pPr>
        <w:spacing w:after="0" w:line="18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All subsidiaries included in the consolidated financial statements are 100% owned, except for Navios Logistics and its subsidiaries which is 63.8% owned.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Affiliates included in the financial statements accounted for under the equity method</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the consolidated financial statements of Navios Holdings, the following entities are included as affiliates and are accounted for under the equity method for such periods: (i) Navios Partners and its subsidiaries (ownership interest as of December 31, 2020 was 17.9%); (ii) Navios Acquisition and its subsidiaries (economic interest as of December 31, 2020 was 29.5%); (iii) Navios Europe I and its subsidiaries (economic interest through liquidation in December 2020</w:t>
      </w:r>
    </w:p>
    <w:p>
      <w:pPr>
        <w:sectPr>
          <w:pgSz w:w="11900" w:h="16838" w:orient="portrait"/>
          <w:cols w:equalWidth="0" w:num="1">
            <w:col w:w="11020"/>
          </w:cols>
          <w:pgMar w:left="440" w:top="288" w:right="439" w:bottom="1440" w:gutter="0" w:footer="0" w:header="0"/>
        </w:sectPr>
      </w:pPr>
    </w:p>
    <w:bookmarkStart w:id="271" w:name="page272"/>
    <w:bookmarkEnd w:id="271"/>
    <w:p>
      <w:pPr>
        <w:jc w:val="both"/>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was 47.5%); (iv) Navios Europe II and its subsidiaries (economic interest through liquidation in June 2020 was 47.5%); and (v) Navios Containers and its subsidiaries (ownership interest as of November 30, 2018, date of obtaining control, and from August 30, 2019, date of loss of control was 3.7% and as of December 31, 2020 was 3.9%).</w:t>
      </w:r>
    </w:p>
    <w:p>
      <w:pPr>
        <w:sectPr>
          <w:pgSz w:w="11900" w:h="16838" w:orient="portrait"/>
          <w:cols w:equalWidth="0" w:num="1">
            <w:col w:w="10920"/>
          </w:cols>
          <w:pgMar w:left="440" w:top="274" w:right="539" w:bottom="1440" w:gutter="0" w:footer="0" w:header="0"/>
        </w:sectPr>
      </w:pPr>
    </w:p>
    <w:bookmarkStart w:id="272" w:name="page273"/>
    <w:bookmarkEnd w:id="272"/>
    <w:p>
      <w:pPr>
        <w:jc w:val="right"/>
        <w:spacing w:after="0"/>
        <w:rPr>
          <w:sz w:val="20"/>
          <w:szCs w:val="20"/>
          <w:color w:val="auto"/>
        </w:rPr>
      </w:pPr>
      <w:r>
        <w:rPr>
          <w:rFonts w:ascii="Arial" w:cs="Arial" w:eastAsia="Arial" w:hAnsi="Arial"/>
          <w:sz w:val="18"/>
          <w:szCs w:val="18"/>
          <w:b w:val="1"/>
          <w:bCs w:val="1"/>
          <w:color w:val="auto"/>
        </w:rPr>
        <w:t>Exhibit 12.1</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I, Angeliki Frangou, certify that:</w:t>
      </w:r>
    </w:p>
    <w:p>
      <w:pPr>
        <w:spacing w:after="0" w:line="117" w:lineRule="exact"/>
        <w:rPr>
          <w:sz w:val="20"/>
          <w:szCs w:val="20"/>
          <w:color w:val="auto"/>
        </w:rPr>
      </w:pPr>
    </w:p>
    <w:p>
      <w:pPr>
        <w:ind w:left="184" w:hanging="184"/>
        <w:spacing w:after="0"/>
        <w:tabs>
          <w:tab w:leader="none" w:pos="184"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Navios Maritime Holdings Inc.;</w:t>
      </w:r>
    </w:p>
    <w:p>
      <w:pPr>
        <w:spacing w:after="0" w:line="117" w:lineRule="exact"/>
        <w:rPr>
          <w:rFonts w:ascii="Arial" w:cs="Arial" w:eastAsia="Arial" w:hAnsi="Arial"/>
          <w:sz w:val="18"/>
          <w:szCs w:val="18"/>
          <w:color w:val="auto"/>
        </w:rPr>
      </w:pPr>
    </w:p>
    <w:p>
      <w:pPr>
        <w:ind w:left="4" w:right="60" w:hanging="4"/>
        <w:spacing w:after="0" w:line="342" w:lineRule="auto"/>
        <w:tabs>
          <w:tab w:leader="none" w:pos="184" w:val="left"/>
        </w:tabs>
        <w:numPr>
          <w:ilvl w:val="0"/>
          <w:numId w:val="15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4" w:right="340" w:hanging="4"/>
        <w:spacing w:after="0" w:line="308" w:lineRule="auto"/>
        <w:tabs>
          <w:tab w:leader="none" w:pos="184" w:val="left"/>
        </w:tabs>
        <w:numPr>
          <w:ilvl w:val="0"/>
          <w:numId w:val="15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4" w:right="140" w:hanging="4"/>
        <w:spacing w:after="0" w:line="263" w:lineRule="auto"/>
        <w:tabs>
          <w:tab w:leader="none" w:pos="184"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6" w:lineRule="exact"/>
        <w:rPr>
          <w:sz w:val="20"/>
          <w:szCs w:val="20"/>
          <w:color w:val="auto"/>
        </w:rPr>
      </w:pPr>
    </w:p>
    <w:p>
      <w:pPr>
        <w:ind w:left="4" w:right="160" w:hanging="4"/>
        <w:spacing w:after="0" w:line="263" w:lineRule="auto"/>
        <w:tabs>
          <w:tab w:leader="none" w:pos="189" w:val="left"/>
        </w:tabs>
        <w:numPr>
          <w:ilvl w:val="0"/>
          <w:numId w:val="1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4" w:right="140" w:hanging="4"/>
        <w:spacing w:after="0" w:line="263" w:lineRule="auto"/>
        <w:tabs>
          <w:tab w:leader="none" w:pos="199" w:val="left"/>
        </w:tabs>
        <w:numPr>
          <w:ilvl w:val="0"/>
          <w:numId w:val="1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4" w:right="180" w:hanging="4"/>
        <w:spacing w:after="0" w:line="277" w:lineRule="auto"/>
        <w:tabs>
          <w:tab w:leader="none" w:pos="189" w:val="left"/>
        </w:tabs>
        <w:numPr>
          <w:ilvl w:val="0"/>
          <w:numId w:val="15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on such evaluation; and</w:t>
      </w:r>
    </w:p>
    <w:p>
      <w:pPr>
        <w:spacing w:after="0" w:line="62" w:lineRule="exact"/>
        <w:rPr>
          <w:rFonts w:ascii="Arial" w:cs="Arial" w:eastAsia="Arial" w:hAnsi="Arial"/>
          <w:sz w:val="18"/>
          <w:szCs w:val="18"/>
          <w:color w:val="auto"/>
        </w:rPr>
      </w:pPr>
    </w:p>
    <w:p>
      <w:pPr>
        <w:ind w:left="4" w:right="240" w:hanging="4"/>
        <w:spacing w:after="0" w:line="308" w:lineRule="auto"/>
        <w:tabs>
          <w:tab w:leader="none" w:pos="199" w:val="left"/>
        </w:tabs>
        <w:numPr>
          <w:ilvl w:val="0"/>
          <w:numId w:val="15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period covered by the annual report that has materially affected, or is reasonably likely to materially affect, the registrant’s internal control over financial reporting; and</w:t>
      </w:r>
    </w:p>
    <w:p>
      <w:pPr>
        <w:spacing w:after="0" w:line="38" w:lineRule="exact"/>
        <w:rPr>
          <w:sz w:val="20"/>
          <w:szCs w:val="20"/>
          <w:color w:val="auto"/>
        </w:rPr>
      </w:pPr>
    </w:p>
    <w:p>
      <w:pPr>
        <w:ind w:left="4" w:right="260" w:hanging="4"/>
        <w:spacing w:after="0" w:line="308" w:lineRule="auto"/>
        <w:tabs>
          <w:tab w:leader="none" w:pos="184" w:val="left"/>
        </w:tabs>
        <w:numPr>
          <w:ilvl w:val="0"/>
          <w:numId w:val="15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left="4" w:right="120" w:hanging="4"/>
        <w:spacing w:after="0" w:line="277" w:lineRule="auto"/>
        <w:tabs>
          <w:tab w:leader="none" w:pos="189"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 w:right="160" w:hanging="4"/>
        <w:spacing w:after="0" w:line="277" w:lineRule="auto"/>
        <w:tabs>
          <w:tab w:leader="none" w:pos="199"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April 29, 2021</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/s/ Angeliki Frangou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79463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60">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Arial" w:cs="Arial" w:eastAsia="Arial" w:hAnsi="Arial"/>
          <w:sz w:val="18"/>
          <w:szCs w:val="18"/>
          <w:color w:val="auto"/>
        </w:rPr>
        <w:t>Angeliki Frangou</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024"/>
          </w:cols>
          <w:pgMar w:left="436" w:top="121" w:right="439" w:bottom="1440" w:gutter="0" w:footer="0" w:header="0"/>
        </w:sectPr>
      </w:pPr>
    </w:p>
    <w:bookmarkStart w:id="273" w:name="page274"/>
    <w:bookmarkEnd w:id="273"/>
    <w:p>
      <w:pPr>
        <w:jc w:val="right"/>
        <w:spacing w:after="0"/>
        <w:rPr>
          <w:sz w:val="20"/>
          <w:szCs w:val="20"/>
          <w:color w:val="auto"/>
        </w:rPr>
      </w:pPr>
      <w:r>
        <w:rPr>
          <w:rFonts w:ascii="Arial" w:cs="Arial" w:eastAsia="Arial" w:hAnsi="Arial"/>
          <w:sz w:val="18"/>
          <w:szCs w:val="18"/>
          <w:b w:val="1"/>
          <w:bCs w:val="1"/>
          <w:color w:val="auto"/>
        </w:rPr>
        <w:t>Exhibit 12.2</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I, George Achniotis, certify that:</w:t>
      </w:r>
    </w:p>
    <w:p>
      <w:pPr>
        <w:spacing w:after="0" w:line="117" w:lineRule="exact"/>
        <w:rPr>
          <w:sz w:val="20"/>
          <w:szCs w:val="20"/>
          <w:color w:val="auto"/>
        </w:rPr>
      </w:pPr>
    </w:p>
    <w:p>
      <w:pPr>
        <w:ind w:left="184" w:hanging="184"/>
        <w:spacing w:after="0"/>
        <w:tabs>
          <w:tab w:leader="none" w:pos="184"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Navios Maritime Holdings Inc.;</w:t>
      </w:r>
    </w:p>
    <w:p>
      <w:pPr>
        <w:spacing w:after="0" w:line="117" w:lineRule="exact"/>
        <w:rPr>
          <w:rFonts w:ascii="Arial" w:cs="Arial" w:eastAsia="Arial" w:hAnsi="Arial"/>
          <w:sz w:val="18"/>
          <w:szCs w:val="18"/>
          <w:color w:val="auto"/>
        </w:rPr>
      </w:pPr>
    </w:p>
    <w:p>
      <w:pPr>
        <w:ind w:left="4" w:right="60" w:hanging="4"/>
        <w:spacing w:after="0" w:line="342" w:lineRule="auto"/>
        <w:tabs>
          <w:tab w:leader="none" w:pos="184" w:val="left"/>
        </w:tabs>
        <w:numPr>
          <w:ilvl w:val="0"/>
          <w:numId w:val="15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4" w:right="340" w:hanging="4"/>
        <w:spacing w:after="0" w:line="308" w:lineRule="auto"/>
        <w:tabs>
          <w:tab w:leader="none" w:pos="184" w:val="left"/>
        </w:tabs>
        <w:numPr>
          <w:ilvl w:val="0"/>
          <w:numId w:val="15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4" w:right="140" w:hanging="4"/>
        <w:spacing w:after="0" w:line="263" w:lineRule="auto"/>
        <w:tabs>
          <w:tab w:leader="none" w:pos="184"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6" w:lineRule="exact"/>
        <w:rPr>
          <w:sz w:val="20"/>
          <w:szCs w:val="20"/>
          <w:color w:val="auto"/>
        </w:rPr>
      </w:pPr>
    </w:p>
    <w:p>
      <w:pPr>
        <w:ind w:left="4" w:right="160" w:hanging="4"/>
        <w:spacing w:after="0" w:line="263" w:lineRule="auto"/>
        <w:tabs>
          <w:tab w:leader="none" w:pos="189" w:val="left"/>
        </w:tabs>
        <w:numPr>
          <w:ilvl w:val="0"/>
          <w:numId w:val="1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4" w:right="140" w:hanging="4"/>
        <w:spacing w:after="0" w:line="263" w:lineRule="auto"/>
        <w:tabs>
          <w:tab w:leader="none" w:pos="199" w:val="left"/>
        </w:tabs>
        <w:numPr>
          <w:ilvl w:val="0"/>
          <w:numId w:val="1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4" w:right="180" w:hanging="4"/>
        <w:spacing w:after="0" w:line="277" w:lineRule="auto"/>
        <w:tabs>
          <w:tab w:leader="none" w:pos="189" w:val="left"/>
        </w:tabs>
        <w:numPr>
          <w:ilvl w:val="0"/>
          <w:numId w:val="15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on such evaluation; and</w:t>
      </w:r>
    </w:p>
    <w:p>
      <w:pPr>
        <w:spacing w:after="0" w:line="62" w:lineRule="exact"/>
        <w:rPr>
          <w:rFonts w:ascii="Arial" w:cs="Arial" w:eastAsia="Arial" w:hAnsi="Arial"/>
          <w:sz w:val="18"/>
          <w:szCs w:val="18"/>
          <w:color w:val="auto"/>
        </w:rPr>
      </w:pPr>
    </w:p>
    <w:p>
      <w:pPr>
        <w:ind w:left="4" w:right="240" w:hanging="4"/>
        <w:spacing w:after="0" w:line="308" w:lineRule="auto"/>
        <w:tabs>
          <w:tab w:leader="none" w:pos="199" w:val="left"/>
        </w:tabs>
        <w:numPr>
          <w:ilvl w:val="0"/>
          <w:numId w:val="15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period covered by the annual report that has materially affected, or is reasonably likely to materially affect, the registrant’s internal control over financial reporting; and</w:t>
      </w:r>
    </w:p>
    <w:p>
      <w:pPr>
        <w:spacing w:after="0" w:line="38" w:lineRule="exact"/>
        <w:rPr>
          <w:sz w:val="20"/>
          <w:szCs w:val="20"/>
          <w:color w:val="auto"/>
        </w:rPr>
      </w:pPr>
    </w:p>
    <w:p>
      <w:pPr>
        <w:ind w:left="4" w:right="260" w:hanging="4"/>
        <w:spacing w:after="0" w:line="308" w:lineRule="auto"/>
        <w:tabs>
          <w:tab w:leader="none" w:pos="184" w:val="left"/>
        </w:tabs>
        <w:numPr>
          <w:ilvl w:val="0"/>
          <w:numId w:val="15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left="4" w:right="120" w:hanging="4"/>
        <w:spacing w:after="0" w:line="277" w:lineRule="auto"/>
        <w:tabs>
          <w:tab w:leader="none" w:pos="189"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 w:right="160" w:hanging="4"/>
        <w:spacing w:after="0" w:line="277" w:lineRule="auto"/>
        <w:tabs>
          <w:tab w:leader="none" w:pos="199"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April 29, 2021</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/s/ George Achniotis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79463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6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Arial" w:cs="Arial" w:eastAsia="Arial" w:hAnsi="Arial"/>
          <w:sz w:val="18"/>
          <w:szCs w:val="18"/>
          <w:color w:val="auto"/>
        </w:rPr>
        <w:t>George Achniotis</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024"/>
          </w:cols>
          <w:pgMar w:left="436" w:top="121" w:right="439" w:bottom="1440" w:gutter="0" w:footer="0" w:header="0"/>
        </w:sectPr>
      </w:pPr>
    </w:p>
    <w:bookmarkStart w:id="274" w:name="page275"/>
    <w:bookmarkEnd w:id="274"/>
    <w:p>
      <w:pPr>
        <w:jc w:val="right"/>
        <w:spacing w:after="0"/>
        <w:rPr>
          <w:sz w:val="20"/>
          <w:szCs w:val="20"/>
          <w:color w:val="auto"/>
        </w:rPr>
      </w:pPr>
      <w:r>
        <w:rPr>
          <w:rFonts w:ascii="Arial" w:cs="Arial" w:eastAsia="Arial" w:hAnsi="Arial"/>
          <w:sz w:val="18"/>
          <w:szCs w:val="18"/>
          <w:b w:val="1"/>
          <w:bCs w:val="1"/>
          <w:color w:val="auto"/>
        </w:rPr>
        <w:t>Exhibit 13.1</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left="4" w:right="140"/>
        <w:spacing w:after="0" w:line="308" w:lineRule="auto"/>
        <w:rPr>
          <w:sz w:val="20"/>
          <w:szCs w:val="20"/>
          <w:color w:val="auto"/>
        </w:rPr>
      </w:pPr>
      <w:r>
        <w:rPr>
          <w:rFonts w:ascii="Arial" w:cs="Arial" w:eastAsia="Arial" w:hAnsi="Arial"/>
          <w:sz w:val="17"/>
          <w:szCs w:val="17"/>
          <w:color w:val="auto"/>
        </w:rPr>
        <w:t>Pursuant to section 906 of the Sarbanes-Oxley Act of 2002 (subsections (a) and (b) of section 1350, chapter 63 of title 18, United States Code), each of the undersigned officers of Navios Maritime Holdings Inc. (the “Company”) does hereby certify, to such officers’ knowledge, that:</w:t>
      </w:r>
    </w:p>
    <w:p>
      <w:pPr>
        <w:spacing w:after="0" w:line="38" w:lineRule="exact"/>
        <w:rPr>
          <w:sz w:val="20"/>
          <w:szCs w:val="20"/>
          <w:color w:val="auto"/>
        </w:rPr>
      </w:pPr>
    </w:p>
    <w:p>
      <w:pPr>
        <w:ind w:left="4" w:right="460" w:hanging="4"/>
        <w:spacing w:after="0" w:line="277" w:lineRule="auto"/>
        <w:tabs>
          <w:tab w:leader="none" w:pos="219"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Annual Report on Form 20-F for the year ended December 31, 2020 (the “Report”) of the Company fully complies with the requirements of Section 13(a) or 15(d) of the Securities Exchange Act of 1934, as amended; and</w:t>
      </w:r>
    </w:p>
    <w:p>
      <w:pPr>
        <w:spacing w:after="0" w:line="62" w:lineRule="exact"/>
        <w:rPr>
          <w:rFonts w:ascii="Arial" w:cs="Arial" w:eastAsia="Arial" w:hAnsi="Arial"/>
          <w:sz w:val="18"/>
          <w:szCs w:val="18"/>
          <w:color w:val="auto"/>
        </w:rPr>
      </w:pPr>
    </w:p>
    <w:p>
      <w:pPr>
        <w:ind w:left="264" w:hanging="264"/>
        <w:spacing w:after="0"/>
        <w:tabs>
          <w:tab w:leader="none" w:pos="264" w:val="left"/>
        </w:tabs>
        <w:numPr>
          <w:ilvl w:val="0"/>
          <w:numId w:val="16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ind w:left="4"/>
        <w:spacing w:after="0"/>
        <w:tabs>
          <w:tab w:leader="none" w:pos="5924" w:val="left"/>
        </w:tabs>
        <w:rPr>
          <w:sz w:val="20"/>
          <w:szCs w:val="20"/>
          <w:color w:val="auto"/>
        </w:rPr>
      </w:pPr>
      <w:r>
        <w:rPr>
          <w:rFonts w:ascii="Arial" w:cs="Arial" w:eastAsia="Arial" w:hAnsi="Arial"/>
          <w:sz w:val="18"/>
          <w:szCs w:val="18"/>
          <w:color w:val="auto"/>
        </w:rPr>
        <w:t>Date: April 29, 2021</w:t>
      </w:r>
      <w:r>
        <w:rPr>
          <w:sz w:val="20"/>
          <w:szCs w:val="20"/>
          <w:color w:val="auto"/>
        </w:rPr>
        <w:tab/>
      </w:r>
      <w:r>
        <w:rPr>
          <w:rFonts w:ascii="Arial" w:cs="Arial" w:eastAsia="Arial" w:hAnsi="Arial"/>
          <w:sz w:val="16"/>
          <w:szCs w:val="16"/>
          <w:color w:val="auto"/>
        </w:rPr>
        <w:t>/s/ Angeliki Frangou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3780155</wp:posOffset>
            </wp:positionH>
            <wp:positionV relativeFrom="paragraph">
              <wp:posOffset>14605</wp:posOffset>
            </wp:positionV>
            <wp:extent cx="321437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62">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4"/>
        <w:spacing w:after="0"/>
        <w:rPr>
          <w:sz w:val="20"/>
          <w:szCs w:val="20"/>
          <w:color w:val="auto"/>
        </w:rPr>
      </w:pPr>
      <w:r>
        <w:rPr>
          <w:rFonts w:ascii="Arial" w:cs="Arial" w:eastAsia="Arial" w:hAnsi="Arial"/>
          <w:sz w:val="18"/>
          <w:szCs w:val="18"/>
          <w:color w:val="auto"/>
        </w:rPr>
        <w:t>Angeliki Frangou</w:t>
      </w:r>
    </w:p>
    <w:p>
      <w:pPr>
        <w:spacing w:after="0" w:line="23" w:lineRule="exact"/>
        <w:rPr>
          <w:sz w:val="20"/>
          <w:szCs w:val="20"/>
          <w:color w:val="auto"/>
        </w:rPr>
      </w:pPr>
    </w:p>
    <w:p>
      <w:pPr>
        <w:ind w:left="5944"/>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left="4"/>
        <w:spacing w:after="0"/>
        <w:tabs>
          <w:tab w:leader="none" w:pos="5924" w:val="left"/>
        </w:tabs>
        <w:rPr>
          <w:sz w:val="20"/>
          <w:szCs w:val="20"/>
          <w:color w:val="auto"/>
        </w:rPr>
      </w:pPr>
      <w:r>
        <w:rPr>
          <w:rFonts w:ascii="Arial" w:cs="Arial" w:eastAsia="Arial" w:hAnsi="Arial"/>
          <w:sz w:val="18"/>
          <w:szCs w:val="18"/>
          <w:color w:val="auto"/>
        </w:rPr>
        <w:t>Date: April 29, 2021</w:t>
      </w:r>
      <w:r>
        <w:rPr>
          <w:sz w:val="20"/>
          <w:szCs w:val="20"/>
          <w:color w:val="auto"/>
        </w:rPr>
        <w:tab/>
      </w:r>
      <w:r>
        <w:rPr>
          <w:rFonts w:ascii="Arial" w:cs="Arial" w:eastAsia="Arial" w:hAnsi="Arial"/>
          <w:sz w:val="16"/>
          <w:szCs w:val="16"/>
          <w:color w:val="auto"/>
        </w:rPr>
        <w:t>/s/ George Achniotis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3780155</wp:posOffset>
            </wp:positionH>
            <wp:positionV relativeFrom="paragraph">
              <wp:posOffset>14605</wp:posOffset>
            </wp:positionV>
            <wp:extent cx="321437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63">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4"/>
        <w:spacing w:after="0"/>
        <w:rPr>
          <w:sz w:val="20"/>
          <w:szCs w:val="20"/>
          <w:color w:val="auto"/>
        </w:rPr>
      </w:pPr>
      <w:r>
        <w:rPr>
          <w:rFonts w:ascii="Arial" w:cs="Arial" w:eastAsia="Arial" w:hAnsi="Arial"/>
          <w:sz w:val="18"/>
          <w:szCs w:val="18"/>
          <w:color w:val="auto"/>
        </w:rPr>
        <w:t>George Achniotis</w:t>
      </w:r>
    </w:p>
    <w:p>
      <w:pPr>
        <w:spacing w:after="0" w:line="23" w:lineRule="exact"/>
        <w:rPr>
          <w:sz w:val="20"/>
          <w:szCs w:val="20"/>
          <w:color w:val="auto"/>
        </w:rPr>
      </w:pPr>
    </w:p>
    <w:p>
      <w:pPr>
        <w:ind w:left="5944"/>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024"/>
          </w:cols>
          <w:pgMar w:left="436" w:top="121" w:right="439" w:bottom="1440" w:gutter="0" w:footer="0" w:header="0"/>
        </w:sectPr>
      </w:pPr>
    </w:p>
    <w:bookmarkStart w:id="275" w:name="page276"/>
    <w:bookmarkEnd w:id="275"/>
    <w:p>
      <w:pPr>
        <w:jc w:val="right"/>
        <w:spacing w:after="0"/>
        <w:rPr>
          <w:sz w:val="20"/>
          <w:szCs w:val="20"/>
          <w:color w:val="auto"/>
        </w:rPr>
      </w:pPr>
      <w:r>
        <w:rPr>
          <w:rFonts w:ascii="Arial" w:cs="Arial" w:eastAsia="Arial" w:hAnsi="Arial"/>
          <w:sz w:val="18"/>
          <w:szCs w:val="18"/>
          <w:b w:val="1"/>
          <w:bCs w:val="1"/>
          <w:color w:val="auto"/>
        </w:rPr>
        <w:t>Exhibit 15.1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We hereby consent to the incorporation by reference in the Registration Statements on Form S-8 (Nos. 333-147186, 333-202141 and 333-222002) of Navios Maritime Holdings Inc. of our report dated April 29, 2021 relating to the financial statements and the effectiveness of internal control over financial reporting, which appears in this Form 20-F.</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S.A.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Athens, Greece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29, 2021</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962813B"/>
    <w:multiLevelType w:val="hybridMultilevel"/>
    <w:lvl w:ilvl="0">
      <w:lvlJc w:val="left"/>
      <w:lvlText w:val="☐"/>
      <w:numFmt w:val="bullet"/>
      <w:start w:val="1"/>
    </w:lvl>
  </w:abstractNum>
  <w:abstractNum w:abstractNumId="1">
    <w:nsid w:val="60B6DF70"/>
    <w:multiLevelType w:val="hybridMultilevel"/>
    <w:lvl w:ilvl="0">
      <w:lvlJc w:val="left"/>
      <w:lvlText w:val="☒"/>
      <w:numFmt w:val="bullet"/>
      <w:start w:val="1"/>
    </w:lvl>
  </w:abstractNum>
  <w:abstractNum w:abstractNumId="2">
    <w:nsid w:val="6A5EE64"/>
    <w:multiLevelType w:val="hybridMultilevel"/>
    <w:lvl w:ilvl="0">
      <w:lvlJc w:val="left"/>
      <w:lvlText w:val="☐"/>
      <w:numFmt w:val="bullet"/>
      <w:start w:val="1"/>
    </w:lvl>
  </w:abstractNum>
  <w:abstractNum w:abstractNumId="3">
    <w:nsid w:val="14330624"/>
    <w:multiLevelType w:val="hybridMultilevel"/>
    <w:lvl w:ilvl="0">
      <w:lvlJc w:val="left"/>
      <w:lvlText w:val="☐"/>
      <w:numFmt w:val="bullet"/>
      <w:start w:val="1"/>
    </w:lvl>
  </w:abstractNum>
  <w:abstractNum w:abstractNumId="4">
    <w:nsid w:val="7FFFCA11"/>
    <w:multiLevelType w:val="hybridMultilevel"/>
    <w:lvl w:ilvl="0">
      <w:lvlJc w:val="left"/>
      <w:lvlText w:val="*"/>
      <w:numFmt w:val="bullet"/>
      <w:start w:val="1"/>
    </w:lvl>
  </w:abstractNum>
  <w:abstractNum w:abstractNumId="5">
    <w:nsid w:val="1A27709E"/>
    <w:multiLevelType w:val="hybridMultilevel"/>
    <w:lvl w:ilvl="0">
      <w:lvlJc w:val="left"/>
      <w:lvlText w:val="†"/>
      <w:numFmt w:val="bullet"/>
      <w:start w:val="1"/>
    </w:lvl>
  </w:abstractNum>
  <w:abstractNum w:abstractNumId="6">
    <w:nsid w:val="71EA1109"/>
    <w:multiLevelType w:val="hybridMultilevel"/>
    <w:lvl w:ilvl="0">
      <w:lvlJc w:val="left"/>
      <w:lvlText w:val="(%1)"/>
      <w:numFmt w:val="decimal"/>
      <w:start w:val="1"/>
    </w:lvl>
  </w:abstractNum>
  <w:abstractNum w:abstractNumId="7">
    <w:nsid w:val="100F59DC"/>
    <w:multiLevelType w:val="hybridMultilevel"/>
    <w:lvl w:ilvl="0">
      <w:lvlJc w:val="left"/>
      <w:lvlText w:val="•"/>
      <w:numFmt w:val="bullet"/>
      <w:start w:val="1"/>
    </w:lvl>
  </w:abstractNum>
  <w:abstractNum w:abstractNumId="8">
    <w:nsid w:val="7FB7E0AA"/>
    <w:multiLevelType w:val="hybridMultilevel"/>
    <w:lvl w:ilvl="0">
      <w:lvlJc w:val="left"/>
      <w:lvlText w:val="•"/>
      <w:numFmt w:val="bullet"/>
      <w:start w:val="1"/>
    </w:lvl>
  </w:abstractNum>
  <w:abstractNum w:abstractNumId="9">
    <w:nsid w:val="6EB5BD4"/>
    <w:multiLevelType w:val="hybridMultilevel"/>
    <w:lvl w:ilvl="0">
      <w:lvlJc w:val="left"/>
      <w:lvlText w:val="•"/>
      <w:numFmt w:val="bullet"/>
      <w:start w:val="1"/>
    </w:lvl>
  </w:abstractNum>
  <w:abstractNum w:abstractNumId="10">
    <w:nsid w:val="6F6DD9AC"/>
    <w:multiLevelType w:val="hybridMultilevel"/>
    <w:lvl w:ilvl="0">
      <w:lvlJc w:val="left"/>
      <w:lvlText w:val="•"/>
      <w:numFmt w:val="bullet"/>
      <w:start w:val="1"/>
    </w:lvl>
  </w:abstractNum>
  <w:abstractNum w:abstractNumId="11">
    <w:nsid w:val="94211F2"/>
    <w:multiLevelType w:val="hybridMultilevel"/>
    <w:lvl w:ilvl="0">
      <w:lvlJc w:val="left"/>
      <w:lvlText w:val="•"/>
      <w:numFmt w:val="bullet"/>
      <w:start w:val="1"/>
    </w:lvl>
  </w:abstractNum>
  <w:abstractNum w:abstractNumId="12">
    <w:nsid w:val="885E1B"/>
    <w:multiLevelType w:val="hybridMultilevel"/>
    <w:lvl w:ilvl="0">
      <w:lvlJc w:val="left"/>
      <w:lvlText w:val="•"/>
      <w:numFmt w:val="bullet"/>
      <w:start w:val="1"/>
    </w:lvl>
  </w:abstractNum>
  <w:abstractNum w:abstractNumId="13">
    <w:nsid w:val="76272110"/>
    <w:multiLevelType w:val="hybridMultilevel"/>
    <w:lvl w:ilvl="0">
      <w:lvlJc w:val="left"/>
      <w:lvlText w:val="•"/>
      <w:numFmt w:val="bullet"/>
      <w:start w:val="1"/>
    </w:lvl>
  </w:abstractNum>
  <w:abstractNum w:abstractNumId="14">
    <w:nsid w:val="4C04A8AF"/>
    <w:multiLevelType w:val="hybridMultilevel"/>
    <w:lvl w:ilvl="0">
      <w:lvlJc w:val="left"/>
      <w:lvlText w:val="•"/>
      <w:numFmt w:val="bullet"/>
      <w:start w:val="1"/>
    </w:lvl>
  </w:abstractNum>
  <w:abstractNum w:abstractNumId="15">
    <w:nsid w:val="1716703B"/>
    <w:multiLevelType w:val="hybridMultilevel"/>
    <w:lvl w:ilvl="0">
      <w:lvlJc w:val="left"/>
      <w:lvlText w:val="•"/>
      <w:numFmt w:val="bullet"/>
      <w:start w:val="1"/>
    </w:lvl>
  </w:abstractNum>
  <w:abstractNum w:abstractNumId="16">
    <w:nsid w:val="14E17E33"/>
    <w:multiLevelType w:val="hybridMultilevel"/>
    <w:lvl w:ilvl="0">
      <w:lvlJc w:val="left"/>
      <w:lvlText w:val="•"/>
      <w:numFmt w:val="bullet"/>
      <w:start w:val="1"/>
    </w:lvl>
    <w:lvl w:ilvl="1">
      <w:lvlJc w:val="left"/>
      <w:lvlText w:val="•"/>
      <w:numFmt w:val="bullet"/>
      <w:start w:val="1"/>
    </w:lvl>
  </w:abstractNum>
  <w:abstractNum w:abstractNumId="17">
    <w:nsid w:val="3222E7CD"/>
    <w:multiLevelType w:val="hybridMultilevel"/>
    <w:lvl w:ilvl="0">
      <w:lvlJc w:val="left"/>
      <w:lvlText w:val="•"/>
      <w:numFmt w:val="bullet"/>
      <w:start w:val="1"/>
    </w:lvl>
  </w:abstractNum>
  <w:abstractNum w:abstractNumId="18">
    <w:nsid w:val="74DE0EE3"/>
    <w:multiLevelType w:val="hybridMultilevel"/>
    <w:lvl w:ilvl="0">
      <w:lvlJc w:val="left"/>
      <w:lvlText w:val="•"/>
      <w:numFmt w:val="bullet"/>
      <w:start w:val="1"/>
    </w:lvl>
  </w:abstractNum>
  <w:abstractNum w:abstractNumId="19">
    <w:nsid w:val="68EBC550"/>
    <w:multiLevelType w:val="hybridMultilevel"/>
    <w:lvl w:ilvl="0">
      <w:lvlJc w:val="left"/>
      <w:lvlText w:val="•"/>
      <w:numFmt w:val="bullet"/>
      <w:start w:val="1"/>
    </w:lvl>
  </w:abstractNum>
  <w:abstractNum w:abstractNumId="20">
    <w:nsid w:val="2DF6D648"/>
    <w:multiLevelType w:val="hybridMultilevel"/>
    <w:lvl w:ilvl="0">
      <w:lvlJc w:val="left"/>
      <w:lvlText w:val="•"/>
      <w:numFmt w:val="bullet"/>
      <w:start w:val="1"/>
    </w:lvl>
  </w:abstractNum>
  <w:abstractNum w:abstractNumId="21">
    <w:nsid w:val="46B7D447"/>
    <w:multiLevelType w:val="hybridMultilevel"/>
    <w:lvl w:ilvl="0">
      <w:lvlJc w:val="left"/>
      <w:lvlText w:val="•"/>
      <w:numFmt w:val="bullet"/>
      <w:start w:val="1"/>
    </w:lvl>
  </w:abstractNum>
  <w:abstractNum w:abstractNumId="22">
    <w:nsid w:val="4A2AC315"/>
    <w:multiLevelType w:val="hybridMultilevel"/>
    <w:lvl w:ilvl="0">
      <w:lvlJc w:val="left"/>
      <w:lvlText w:val="•"/>
      <w:numFmt w:val="bullet"/>
      <w:start w:val="1"/>
    </w:lvl>
  </w:abstractNum>
  <w:abstractNum w:abstractNumId="23">
    <w:nsid w:val="39EE015C"/>
    <w:multiLevelType w:val="hybridMultilevel"/>
    <w:lvl w:ilvl="0">
      <w:lvlJc w:val="left"/>
      <w:lvlText w:val="•"/>
      <w:numFmt w:val="bullet"/>
      <w:start w:val="1"/>
    </w:lvl>
  </w:abstractNum>
  <w:abstractNum w:abstractNumId="24">
    <w:nsid w:val="57FC4FBB"/>
    <w:multiLevelType w:val="hybridMultilevel"/>
    <w:lvl w:ilvl="0">
      <w:lvlJc w:val="left"/>
      <w:lvlText w:val="•"/>
      <w:numFmt w:val="bullet"/>
      <w:start w:val="1"/>
    </w:lvl>
  </w:abstractNum>
  <w:abstractNum w:abstractNumId="25">
    <w:nsid w:val="CC1016F"/>
    <w:multiLevelType w:val="hybridMultilevel"/>
    <w:lvl w:ilvl="0">
      <w:lvlJc w:val="left"/>
      <w:lvlText w:val="•"/>
      <w:numFmt w:val="bullet"/>
      <w:start w:val="1"/>
    </w:lvl>
  </w:abstractNum>
  <w:abstractNum w:abstractNumId="26">
    <w:nsid w:val="43F18422"/>
    <w:multiLevelType w:val="hybridMultilevel"/>
    <w:lvl w:ilvl="0">
      <w:lvlJc w:val="left"/>
      <w:lvlText w:val="•"/>
      <w:numFmt w:val="bullet"/>
      <w:start w:val="1"/>
    </w:lvl>
  </w:abstractNum>
  <w:abstractNum w:abstractNumId="27">
    <w:nsid w:val="60EF0119"/>
    <w:multiLevelType w:val="hybridMultilevel"/>
    <w:lvl w:ilvl="0">
      <w:lvlJc w:val="left"/>
      <w:lvlText w:val="•"/>
      <w:numFmt w:val="bullet"/>
      <w:start w:val="1"/>
    </w:lvl>
  </w:abstractNum>
  <w:abstractNum w:abstractNumId="28">
    <w:nsid w:val="26F324BA"/>
    <w:multiLevelType w:val="hybridMultilevel"/>
    <w:lvl w:ilvl="0">
      <w:lvlJc w:val="left"/>
      <w:lvlText w:val="•"/>
      <w:numFmt w:val="bullet"/>
      <w:start w:val="1"/>
    </w:lvl>
  </w:abstractNum>
  <w:abstractNum w:abstractNumId="29">
    <w:nsid w:val="7F01579B"/>
    <w:multiLevelType w:val="hybridMultilevel"/>
    <w:lvl w:ilvl="0">
      <w:lvlJc w:val="left"/>
      <w:lvlText w:val="•"/>
      <w:numFmt w:val="bullet"/>
      <w:start w:val="1"/>
    </w:lvl>
  </w:abstractNum>
  <w:abstractNum w:abstractNumId="30">
    <w:nsid w:val="49DA307D"/>
    <w:multiLevelType w:val="hybridMultilevel"/>
    <w:lvl w:ilvl="0">
      <w:lvlJc w:val="left"/>
      <w:lvlText w:val="•"/>
      <w:numFmt w:val="bullet"/>
      <w:start w:val="1"/>
    </w:lvl>
  </w:abstractNum>
  <w:abstractNum w:abstractNumId="31">
    <w:nsid w:val="7055A5F5"/>
    <w:multiLevelType w:val="hybridMultilevel"/>
    <w:lvl w:ilvl="0">
      <w:lvlJc w:val="left"/>
      <w:lvlText w:val="•"/>
      <w:numFmt w:val="bullet"/>
      <w:start w:val="1"/>
    </w:lvl>
  </w:abstractNum>
  <w:abstractNum w:abstractNumId="32">
    <w:nsid w:val="5FB8370B"/>
    <w:multiLevelType w:val="hybridMultilevel"/>
    <w:lvl w:ilvl="0">
      <w:lvlJc w:val="left"/>
      <w:lvlText w:val="•"/>
      <w:numFmt w:val="bullet"/>
      <w:start w:val="1"/>
    </w:lvl>
  </w:abstractNum>
  <w:abstractNum w:abstractNumId="33">
    <w:nsid w:val="50801EE1"/>
    <w:multiLevelType w:val="hybridMultilevel"/>
    <w:lvl w:ilvl="0">
      <w:lvlJc w:val="left"/>
      <w:lvlText w:val="•"/>
      <w:numFmt w:val="bullet"/>
      <w:start w:val="1"/>
    </w:lvl>
  </w:abstractNum>
  <w:abstractNum w:abstractNumId="34">
    <w:nsid w:val="488AC1A"/>
    <w:multiLevelType w:val="hybridMultilevel"/>
    <w:lvl w:ilvl="0">
      <w:lvlJc w:val="left"/>
      <w:lvlText w:val="•"/>
      <w:numFmt w:val="bullet"/>
      <w:start w:val="1"/>
    </w:lvl>
  </w:abstractNum>
  <w:abstractNum w:abstractNumId="35">
    <w:nsid w:val="5FB8011C"/>
    <w:multiLevelType w:val="hybridMultilevel"/>
    <w:lvl w:ilvl="0">
      <w:lvlJc w:val="left"/>
      <w:lvlText w:val="•"/>
      <w:numFmt w:val="bullet"/>
      <w:start w:val="1"/>
    </w:lvl>
  </w:abstractNum>
  <w:abstractNum w:abstractNumId="36">
    <w:nsid w:val="6AA78F7F"/>
    <w:multiLevelType w:val="hybridMultilevel"/>
    <w:lvl w:ilvl="0">
      <w:lvlJc w:val="left"/>
      <w:lvlText w:val="•"/>
      <w:numFmt w:val="bullet"/>
      <w:start w:val="1"/>
    </w:lvl>
  </w:abstractNum>
  <w:abstractNum w:abstractNumId="37">
    <w:nsid w:val="7672BD23"/>
    <w:multiLevelType w:val="hybridMultilevel"/>
    <w:lvl w:ilvl="0">
      <w:lvlJc w:val="left"/>
      <w:lvlText w:val="•"/>
      <w:numFmt w:val="bullet"/>
      <w:start w:val="1"/>
    </w:lvl>
  </w:abstractNum>
  <w:abstractNum w:abstractNumId="38">
    <w:nsid w:val="6FC75AF8"/>
    <w:multiLevelType w:val="hybridMultilevel"/>
    <w:lvl w:ilvl="0">
      <w:lvlJc w:val="left"/>
      <w:lvlText w:val="•"/>
      <w:numFmt w:val="bullet"/>
      <w:start w:val="1"/>
    </w:lvl>
  </w:abstractNum>
  <w:abstractNum w:abstractNumId="39">
    <w:nsid w:val="6A5F7029"/>
    <w:multiLevelType w:val="hybridMultilevel"/>
    <w:lvl w:ilvl="0">
      <w:lvlJc w:val="left"/>
      <w:lvlText w:val="•"/>
      <w:numFmt w:val="bullet"/>
      <w:start w:val="1"/>
    </w:lvl>
  </w:abstractNum>
  <w:abstractNum w:abstractNumId="40">
    <w:nsid w:val="7D5E18F8"/>
    <w:multiLevelType w:val="hybridMultilevel"/>
    <w:lvl w:ilvl="0">
      <w:lvlJc w:val="left"/>
      <w:lvlText w:val="•"/>
      <w:numFmt w:val="bullet"/>
      <w:start w:val="1"/>
    </w:lvl>
  </w:abstractNum>
  <w:abstractNum w:abstractNumId="41">
    <w:nsid w:val="5F3534A4"/>
    <w:multiLevelType w:val="hybridMultilevel"/>
    <w:lvl w:ilvl="0">
      <w:lvlJc w:val="left"/>
      <w:lvlText w:val="•"/>
      <w:numFmt w:val="bullet"/>
      <w:start w:val="1"/>
    </w:lvl>
  </w:abstractNum>
  <w:abstractNum w:abstractNumId="42">
    <w:nsid w:val="73A1821B"/>
    <w:multiLevelType w:val="hybridMultilevel"/>
    <w:lvl w:ilvl="0">
      <w:lvlJc w:val="left"/>
      <w:lvlText w:val="•"/>
      <w:numFmt w:val="bullet"/>
      <w:start w:val="1"/>
    </w:lvl>
  </w:abstractNum>
  <w:abstractNum w:abstractNumId="43">
    <w:nsid w:val="7DE67713"/>
    <w:multiLevelType w:val="hybridMultilevel"/>
    <w:lvl w:ilvl="0">
      <w:lvlJc w:val="left"/>
      <w:lvlText w:val="•"/>
      <w:numFmt w:val="bullet"/>
      <w:start w:val="1"/>
    </w:lvl>
  </w:abstractNum>
  <w:abstractNum w:abstractNumId="44">
    <w:nsid w:val="555C55B5"/>
    <w:multiLevelType w:val="hybridMultilevel"/>
    <w:lvl w:ilvl="0">
      <w:lvlJc w:val="left"/>
      <w:lvlText w:val="•"/>
      <w:numFmt w:val="bullet"/>
      <w:start w:val="1"/>
    </w:lvl>
  </w:abstractNum>
  <w:abstractNum w:abstractNumId="45">
    <w:nsid w:val="3FA62ACA"/>
    <w:multiLevelType w:val="hybridMultilevel"/>
    <w:lvl w:ilvl="0">
      <w:lvlJc w:val="left"/>
      <w:lvlText w:val="•"/>
      <w:numFmt w:val="bullet"/>
      <w:start w:val="1"/>
    </w:lvl>
  </w:abstractNum>
  <w:abstractNum w:abstractNumId="46">
    <w:nsid w:val="14FCE74E"/>
    <w:multiLevelType w:val="hybridMultilevel"/>
    <w:lvl w:ilvl="0">
      <w:lvlJc w:val="left"/>
      <w:lvlText w:val="•"/>
      <w:numFmt w:val="bullet"/>
      <w:start w:val="1"/>
    </w:lvl>
    <w:lvl w:ilvl="1">
      <w:lvlJc w:val="left"/>
      <w:lvlText w:val="•"/>
      <w:numFmt w:val="bullet"/>
      <w:start w:val="1"/>
    </w:lvl>
  </w:abstractNum>
  <w:abstractNum w:abstractNumId="47">
    <w:nsid w:val="6A3DD3E8"/>
    <w:multiLevelType w:val="hybridMultilevel"/>
    <w:lvl w:ilvl="0">
      <w:lvlJc w:val="left"/>
      <w:lvlText w:val="•"/>
      <w:numFmt w:val="bullet"/>
      <w:start w:val="1"/>
    </w:lvl>
  </w:abstractNum>
  <w:abstractNum w:abstractNumId="48">
    <w:nsid w:val="71C91298"/>
    <w:multiLevelType w:val="hybridMultilevel"/>
    <w:lvl w:ilvl="0">
      <w:lvlJc w:val="left"/>
      <w:lvlText w:val="•"/>
      <w:numFmt w:val="bullet"/>
      <w:start w:val="1"/>
    </w:lvl>
  </w:abstractNum>
  <w:abstractNum w:abstractNumId="49">
    <w:nsid w:val="9DAF632"/>
    <w:multiLevelType w:val="hybridMultilevel"/>
    <w:lvl w:ilvl="0">
      <w:lvlJc w:val="left"/>
      <w:lvlText w:val="(%1)"/>
      <w:numFmt w:val="decimal"/>
      <w:start w:val="1"/>
    </w:lvl>
  </w:abstractNum>
  <w:abstractNum w:abstractNumId="50">
    <w:nsid w:val="53299938"/>
    <w:multiLevelType w:val="hybridMultilevel"/>
    <w:lvl w:ilvl="0">
      <w:lvlJc w:val="left"/>
      <w:lvlText w:val="•"/>
      <w:numFmt w:val="bullet"/>
      <w:start w:val="1"/>
    </w:lvl>
  </w:abstractNum>
  <w:abstractNum w:abstractNumId="51">
    <w:nsid w:val="1FBFE8E0"/>
    <w:multiLevelType w:val="hybridMultilevel"/>
    <w:lvl w:ilvl="0">
      <w:lvlJc w:val="left"/>
      <w:lvlText w:val="•"/>
      <w:numFmt w:val="bullet"/>
      <w:start w:val="1"/>
    </w:lvl>
  </w:abstractNum>
  <w:abstractNum w:abstractNumId="52">
    <w:nsid w:val="5092CA79"/>
    <w:multiLevelType w:val="hybridMultilevel"/>
    <w:lvl w:ilvl="0">
      <w:lvlJc w:val="left"/>
      <w:lvlText w:val="•"/>
      <w:numFmt w:val="bullet"/>
      <w:start w:val="1"/>
    </w:lvl>
  </w:abstractNum>
  <w:abstractNum w:abstractNumId="53">
    <w:nsid w:val="1D545C4D"/>
    <w:multiLevelType w:val="hybridMultilevel"/>
    <w:lvl w:ilvl="0">
      <w:lvlJc w:val="left"/>
      <w:lvlText w:val="•"/>
      <w:numFmt w:val="bullet"/>
      <w:start w:val="1"/>
    </w:lvl>
  </w:abstractNum>
  <w:abstractNum w:abstractNumId="54">
    <w:nsid w:val="59ADEA3D"/>
    <w:multiLevelType w:val="hybridMultilevel"/>
    <w:lvl w:ilvl="0">
      <w:lvlJc w:val="left"/>
      <w:lvlText w:val="•"/>
      <w:numFmt w:val="bullet"/>
      <w:start w:val="1"/>
    </w:lvl>
  </w:abstractNum>
  <w:abstractNum w:abstractNumId="55">
    <w:nsid w:val="288F1A34"/>
    <w:multiLevelType w:val="hybridMultilevel"/>
    <w:lvl w:ilvl="0">
      <w:lvlJc w:val="left"/>
      <w:lvlText w:val="•"/>
      <w:numFmt w:val="bullet"/>
      <w:start w:val="1"/>
    </w:lvl>
  </w:abstractNum>
  <w:abstractNum w:abstractNumId="56">
    <w:nsid w:val="2A155DBC"/>
    <w:multiLevelType w:val="hybridMultilevel"/>
    <w:lvl w:ilvl="0">
      <w:lvlJc w:val="left"/>
      <w:lvlText w:val="•"/>
      <w:numFmt w:val="bullet"/>
      <w:start w:val="1"/>
    </w:lvl>
  </w:abstractNum>
  <w:abstractNum w:abstractNumId="57">
    <w:nsid w:val="1D9F6E5F"/>
    <w:multiLevelType w:val="hybridMultilevel"/>
    <w:lvl w:ilvl="0">
      <w:lvlJc w:val="left"/>
      <w:lvlText w:val="•"/>
      <w:numFmt w:val="bullet"/>
      <w:start w:val="1"/>
    </w:lvl>
  </w:abstractNum>
  <w:abstractNum w:abstractNumId="58">
    <w:nsid w:val="97E1B4E"/>
    <w:multiLevelType w:val="hybridMultilevel"/>
    <w:lvl w:ilvl="0">
      <w:lvlJc w:val="left"/>
      <w:lvlText w:val="•"/>
      <w:numFmt w:val="bullet"/>
      <w:start w:val="1"/>
    </w:lvl>
  </w:abstractNum>
  <w:abstractNum w:abstractNumId="59">
    <w:nsid w:val="51088277"/>
    <w:multiLevelType w:val="hybridMultilevel"/>
    <w:lvl w:ilvl="0">
      <w:lvlJc w:val="left"/>
      <w:lvlText w:val="•"/>
      <w:numFmt w:val="bullet"/>
      <w:start w:val="1"/>
    </w:lvl>
  </w:abstractNum>
  <w:abstractNum w:abstractNumId="60">
    <w:nsid w:val="1CA0C5FA"/>
    <w:multiLevelType w:val="hybridMultilevel"/>
    <w:lvl w:ilvl="0">
      <w:lvlJc w:val="left"/>
      <w:lvlText w:val="•"/>
      <w:numFmt w:val="bullet"/>
      <w:start w:val="1"/>
    </w:lvl>
  </w:abstractNum>
  <w:abstractNum w:abstractNumId="61">
    <w:nsid w:val="53584BCB"/>
    <w:multiLevelType w:val="hybridMultilevel"/>
    <w:lvl w:ilvl="0">
      <w:lvlJc w:val="left"/>
      <w:lvlText w:val="•"/>
      <w:numFmt w:val="bullet"/>
      <w:start w:val="1"/>
    </w:lvl>
  </w:abstractNum>
  <w:abstractNum w:abstractNumId="62">
    <w:nsid w:val="415E286C"/>
    <w:multiLevelType w:val="hybridMultilevel"/>
    <w:lvl w:ilvl="0">
      <w:lvlJc w:val="left"/>
      <w:lvlText w:val="•"/>
      <w:numFmt w:val="bullet"/>
      <w:start w:val="1"/>
    </w:lvl>
  </w:abstractNum>
  <w:abstractNum w:abstractNumId="63">
    <w:nsid w:val="7C58FD05"/>
    <w:multiLevelType w:val="hybridMultilevel"/>
    <w:lvl w:ilvl="0">
      <w:lvlJc w:val="left"/>
      <w:lvlText w:val="•"/>
      <w:numFmt w:val="bullet"/>
      <w:start w:val="1"/>
    </w:lvl>
  </w:abstractNum>
  <w:abstractNum w:abstractNumId="64">
    <w:nsid w:val="23D86AAC"/>
    <w:multiLevelType w:val="hybridMultilevel"/>
    <w:lvl w:ilvl="0">
      <w:lvlJc w:val="left"/>
      <w:lvlText w:val="•"/>
      <w:numFmt w:val="bullet"/>
      <w:start w:val="1"/>
    </w:lvl>
  </w:abstractNum>
  <w:abstractNum w:abstractNumId="65">
    <w:nsid w:val="45E6D486"/>
    <w:multiLevelType w:val="hybridMultilevel"/>
    <w:lvl w:ilvl="0">
      <w:lvlJc w:val="left"/>
      <w:lvlText w:val="(%1)"/>
      <w:numFmt w:val="decimal"/>
      <w:start w:val="1"/>
    </w:lvl>
  </w:abstractNum>
  <w:abstractNum w:abstractNumId="66">
    <w:nsid w:val="5C10FE21"/>
    <w:multiLevelType w:val="hybridMultilevel"/>
    <w:lvl w:ilvl="0">
      <w:lvlJc w:val="left"/>
      <w:lvlText w:val="•"/>
      <w:numFmt w:val="bullet"/>
      <w:start w:val="1"/>
    </w:lvl>
  </w:abstractNum>
  <w:abstractNum w:abstractNumId="67">
    <w:nsid w:val="E7FFA2B"/>
    <w:multiLevelType w:val="hybridMultilevel"/>
    <w:lvl w:ilvl="0">
      <w:lvlJc w:val="left"/>
      <w:lvlText w:val="•"/>
      <w:numFmt w:val="bullet"/>
      <w:start w:val="1"/>
    </w:lvl>
  </w:abstractNum>
  <w:abstractNum w:abstractNumId="68">
    <w:nsid w:val="3C5991AA"/>
    <w:multiLevelType w:val="hybridMultilevel"/>
    <w:lvl w:ilvl="0">
      <w:lvlJc w:val="left"/>
      <w:lvlText w:val="•"/>
      <w:numFmt w:val="bullet"/>
      <w:start w:val="1"/>
    </w:lvl>
  </w:abstractNum>
  <w:abstractNum w:abstractNumId="69">
    <w:nsid w:val="4BD8591A"/>
    <w:multiLevelType w:val="hybridMultilevel"/>
    <w:lvl w:ilvl="0">
      <w:lvlJc w:val="left"/>
      <w:lvlText w:val="•"/>
      <w:numFmt w:val="bullet"/>
      <w:start w:val="1"/>
    </w:lvl>
  </w:abstractNum>
  <w:abstractNum w:abstractNumId="70">
    <w:nsid w:val="78DF6A55"/>
    <w:multiLevelType w:val="hybridMultilevel"/>
    <w:lvl w:ilvl="0">
      <w:lvlJc w:val="left"/>
      <w:lvlText w:val="•"/>
      <w:numFmt w:val="bullet"/>
      <w:start w:val="1"/>
    </w:lvl>
  </w:abstractNum>
  <w:abstractNum w:abstractNumId="71">
    <w:nsid w:val="39B7AAA2"/>
    <w:multiLevelType w:val="hybridMultilevel"/>
    <w:lvl w:ilvl="0">
      <w:lvlJc w:val="left"/>
      <w:lvlText w:val="•"/>
      <w:numFmt w:val="bullet"/>
      <w:start w:val="1"/>
    </w:lvl>
  </w:abstractNum>
  <w:abstractNum w:abstractNumId="72">
    <w:nsid w:val="2B0D8DBE"/>
    <w:multiLevelType w:val="hybridMultilevel"/>
    <w:lvl w:ilvl="0">
      <w:lvlJc w:val="left"/>
      <w:lvlText w:val="•"/>
      <w:numFmt w:val="bullet"/>
      <w:start w:val="1"/>
    </w:lvl>
  </w:abstractNum>
  <w:abstractNum w:abstractNumId="73">
    <w:nsid w:val="6C80EC70"/>
    <w:multiLevelType w:val="hybridMultilevel"/>
    <w:lvl w:ilvl="0">
      <w:lvlJc w:val="left"/>
      <w:lvlText w:val="•"/>
      <w:numFmt w:val="bullet"/>
      <w:start w:val="1"/>
    </w:lvl>
  </w:abstractNum>
  <w:abstractNum w:abstractNumId="74">
    <w:nsid w:val="379E21B5"/>
    <w:multiLevelType w:val="hybridMultilevel"/>
    <w:lvl w:ilvl="0">
      <w:lvlJc w:val="left"/>
      <w:lvlText w:val="•"/>
      <w:numFmt w:val="bullet"/>
      <w:start w:val="1"/>
    </w:lvl>
  </w:abstractNum>
  <w:abstractNum w:abstractNumId="75">
    <w:nsid w:val="69E373"/>
    <w:multiLevelType w:val="hybridMultilevel"/>
    <w:lvl w:ilvl="0">
      <w:lvlJc w:val="left"/>
      <w:lvlText w:val="•"/>
      <w:numFmt w:val="bullet"/>
      <w:start w:val="1"/>
    </w:lvl>
  </w:abstractNum>
  <w:abstractNum w:abstractNumId="76">
    <w:nsid w:val="2C27173B"/>
    <w:multiLevelType w:val="hybridMultilevel"/>
    <w:lvl w:ilvl="0">
      <w:lvlJc w:val="left"/>
      <w:lvlText w:val="•"/>
      <w:numFmt w:val="bullet"/>
      <w:start w:val="1"/>
    </w:lvl>
  </w:abstractNum>
  <w:abstractNum w:abstractNumId="77">
    <w:nsid w:val="4C9B0904"/>
    <w:multiLevelType w:val="hybridMultilevel"/>
    <w:lvl w:ilvl="0">
      <w:lvlJc w:val="left"/>
      <w:lvlText w:val="•"/>
      <w:numFmt w:val="bullet"/>
      <w:start w:val="1"/>
    </w:lvl>
  </w:abstractNum>
  <w:abstractNum w:abstractNumId="78">
    <w:nsid w:val="6AA7B75C"/>
    <w:multiLevelType w:val="hybridMultilevel"/>
    <w:lvl w:ilvl="0">
      <w:lvlJc w:val="left"/>
      <w:lvlText w:val="•"/>
      <w:numFmt w:val="bullet"/>
      <w:start w:val="1"/>
    </w:lvl>
  </w:abstractNum>
  <w:abstractNum w:abstractNumId="79">
    <w:nsid w:val="1DF029D3"/>
    <w:multiLevelType w:val="hybridMultilevel"/>
    <w:lvl w:ilvl="0">
      <w:lvlJc w:val="left"/>
      <w:lvlText w:val="•"/>
      <w:numFmt w:val="bullet"/>
      <w:start w:val="1"/>
    </w:lvl>
  </w:abstractNum>
  <w:abstractNum w:abstractNumId="80">
    <w:nsid w:val="5675FF36"/>
    <w:multiLevelType w:val="hybridMultilevel"/>
    <w:lvl w:ilvl="0">
      <w:lvlJc w:val="left"/>
      <w:lvlText w:val="•"/>
      <w:numFmt w:val="bullet"/>
      <w:start w:val="1"/>
    </w:lvl>
  </w:abstractNum>
  <w:abstractNum w:abstractNumId="81">
    <w:nsid w:val="3DD15094"/>
    <w:multiLevelType w:val="hybridMultilevel"/>
    <w:lvl w:ilvl="0">
      <w:lvlJc w:val="left"/>
      <w:lvlText w:val="•"/>
      <w:numFmt w:val="bullet"/>
      <w:start w:val="1"/>
    </w:lvl>
  </w:abstractNum>
  <w:abstractNum w:abstractNumId="82">
    <w:nsid w:val="3DB012B3"/>
    <w:multiLevelType w:val="hybridMultilevel"/>
    <w:lvl w:ilvl="0">
      <w:lvlJc w:val="left"/>
      <w:lvlText w:val="•"/>
      <w:numFmt w:val="bullet"/>
      <w:start w:val="1"/>
    </w:lvl>
  </w:abstractNum>
  <w:abstractNum w:abstractNumId="83">
    <w:nsid w:val="2708C9AF"/>
    <w:multiLevelType w:val="hybridMultilevel"/>
    <w:lvl w:ilvl="0">
      <w:lvlJc w:val="left"/>
      <w:lvlText w:val="%1."/>
      <w:numFmt w:val="upperLetter"/>
      <w:start w:val="2"/>
    </w:lvl>
    <w:lvl w:ilvl="1">
      <w:lvlJc w:val="left"/>
      <w:lvlText w:val="•"/>
      <w:numFmt w:val="bullet"/>
      <w:start w:val="1"/>
    </w:lvl>
  </w:abstractNum>
  <w:abstractNum w:abstractNumId="84">
    <w:nsid w:val="5B25ACE2"/>
    <w:multiLevelType w:val="hybridMultilevel"/>
    <w:lvl w:ilvl="0">
      <w:lvlJc w:val="left"/>
      <w:lvlText w:val="(%1)"/>
      <w:numFmt w:val="decimal"/>
      <w:start w:val="1"/>
    </w:lvl>
  </w:abstractNum>
  <w:abstractNum w:abstractNumId="85">
    <w:nsid w:val="175DFCF0"/>
    <w:multiLevelType w:val="hybridMultilevel"/>
    <w:lvl w:ilvl="0">
      <w:lvlJc w:val="left"/>
      <w:lvlText w:val="(%1)"/>
      <w:numFmt w:val="decimal"/>
      <w:start w:val="10"/>
    </w:lvl>
  </w:abstractNum>
  <w:abstractNum w:abstractNumId="86">
    <w:nsid w:val="4F97E3E4"/>
    <w:multiLevelType w:val="hybridMultilevel"/>
    <w:lvl w:ilvl="0">
      <w:lvlJc w:val="left"/>
      <w:lvlText w:val="(%1)"/>
      <w:numFmt w:val="decimal"/>
      <w:start w:val="14"/>
    </w:lvl>
  </w:abstractNum>
  <w:abstractNum w:abstractNumId="87">
    <w:nsid w:val="53B0A9E"/>
    <w:multiLevelType w:val="hybridMultilevel"/>
    <w:lvl w:ilvl="0">
      <w:lvlJc w:val="left"/>
      <w:lvlText w:val="(%1)"/>
      <w:numFmt w:val="decimal"/>
      <w:start w:val="1"/>
    </w:lvl>
  </w:abstractNum>
  <w:abstractNum w:abstractNumId="88">
    <w:nsid w:val="34FD6B4F"/>
    <w:multiLevelType w:val="hybridMultilevel"/>
    <w:lvl w:ilvl="0">
      <w:lvlJc w:val="left"/>
      <w:lvlText w:val="•"/>
      <w:numFmt w:val="bullet"/>
      <w:start w:val="1"/>
    </w:lvl>
  </w:abstractNum>
  <w:abstractNum w:abstractNumId="89">
    <w:nsid w:val="5915FF32"/>
    <w:multiLevelType w:val="hybridMultilevel"/>
    <w:lvl w:ilvl="0">
      <w:lvlJc w:val="left"/>
      <w:lvlText w:val="•"/>
      <w:numFmt w:val="bullet"/>
      <w:start w:val="1"/>
    </w:lvl>
  </w:abstractNum>
  <w:abstractNum w:abstractNumId="90">
    <w:nsid w:val="56438D15"/>
    <w:multiLevelType w:val="hybridMultilevel"/>
    <w:lvl w:ilvl="0">
      <w:lvlJc w:val="left"/>
      <w:lvlText w:val="•"/>
      <w:numFmt w:val="bullet"/>
      <w:start w:val="1"/>
    </w:lvl>
  </w:abstractNum>
  <w:abstractNum w:abstractNumId="91">
    <w:nsid w:val="519E3149"/>
    <w:multiLevelType w:val="hybridMultilevel"/>
    <w:lvl w:ilvl="0">
      <w:lvlJc w:val="left"/>
      <w:lvlText w:val="(%1)"/>
      <w:numFmt w:val="lowerRoman"/>
      <w:start w:val="2"/>
    </w:lvl>
  </w:abstractNum>
  <w:abstractNum w:abstractNumId="92">
    <w:nsid w:val="2C6E4AFD"/>
    <w:multiLevelType w:val="hybridMultilevel"/>
    <w:lvl w:ilvl="0">
      <w:lvlJc w:val="left"/>
      <w:lvlText w:val="(%1)"/>
      <w:numFmt w:val="lowerRoman"/>
      <w:start w:val="7"/>
    </w:lvl>
  </w:abstractNum>
  <w:abstractNum w:abstractNumId="93">
    <w:nsid w:val="17A1B582"/>
    <w:multiLevelType w:val="hybridMultilevel"/>
    <w:lvl w:ilvl="0">
      <w:lvlJc w:val="left"/>
      <w:lvlText w:val="(%1)"/>
      <w:numFmt w:val="lowerRoman"/>
      <w:start w:val="2"/>
    </w:lvl>
  </w:abstractNum>
  <w:abstractNum w:abstractNumId="94">
    <w:nsid w:val="4DF72E4E"/>
    <w:multiLevelType w:val="hybridMultilevel"/>
    <w:lvl w:ilvl="0">
      <w:lvlJc w:val="left"/>
      <w:lvlText w:val="(%1)"/>
      <w:numFmt w:val="lowerRoman"/>
      <w:start w:val="3"/>
    </w:lvl>
  </w:abstractNum>
  <w:abstractNum w:abstractNumId="95">
    <w:nsid w:val="5046B5A9"/>
    <w:multiLevelType w:val="hybridMultilevel"/>
    <w:lvl w:ilvl="0">
      <w:lvlJc w:val="left"/>
      <w:lvlText w:val="(%1)"/>
      <w:numFmt w:val="lowerRoman"/>
      <w:start w:val="1"/>
    </w:lvl>
  </w:abstractNum>
  <w:abstractNum w:abstractNumId="96">
    <w:nsid w:val="5D888A08"/>
    <w:multiLevelType w:val="hybridMultilevel"/>
    <w:lvl w:ilvl="0">
      <w:lvlJc w:val="left"/>
      <w:lvlText w:val="(%1)"/>
      <w:numFmt w:val="decimal"/>
      <w:start w:val="1"/>
    </w:lvl>
  </w:abstractNum>
  <w:abstractNum w:abstractNumId="97">
    <w:nsid w:val="2A082C70"/>
    <w:multiLevelType w:val="hybridMultilevel"/>
    <w:lvl w:ilvl="0">
      <w:lvlJc w:val="left"/>
      <w:lvlText w:val="(%1)"/>
      <w:numFmt w:val="decimal"/>
      <w:start w:val="2"/>
    </w:lvl>
  </w:abstractNum>
  <w:abstractNum w:abstractNumId="98">
    <w:nsid w:val="5EC6AFD4"/>
    <w:multiLevelType w:val="hybridMultilevel"/>
    <w:lvl w:ilvl="0">
      <w:lvlJc w:val="left"/>
      <w:lvlText w:val="(%1)"/>
      <w:numFmt w:val="decimal"/>
      <w:start w:val="1"/>
    </w:lvl>
  </w:abstractNum>
  <w:abstractNum w:abstractNumId="99">
    <w:nsid w:val="19E21BB2"/>
    <w:multiLevelType w:val="hybridMultilevel"/>
    <w:lvl w:ilvl="0">
      <w:lvlJc w:val="left"/>
      <w:lvlText w:val="(%1)"/>
      <w:numFmt w:val="lowerRoman"/>
      <w:start w:val="1"/>
    </w:lvl>
  </w:abstractNum>
  <w:abstractNum w:abstractNumId="100">
    <w:nsid w:val="75E0858A"/>
    <w:multiLevelType w:val="hybridMultilevel"/>
    <w:lvl w:ilvl="0">
      <w:lvlJc w:val="left"/>
      <w:lvlText w:val="(%1)"/>
      <w:numFmt w:val="lowerRoman"/>
      <w:start w:val="2"/>
    </w:lvl>
  </w:abstractNum>
  <w:abstractNum w:abstractNumId="101">
    <w:nsid w:val="57A61A29"/>
    <w:multiLevelType w:val="hybridMultilevel"/>
    <w:lvl w:ilvl="0">
      <w:lvlJc w:val="left"/>
      <w:lvlText w:val="*"/>
      <w:numFmt w:val="bullet"/>
      <w:start w:val="1"/>
    </w:lvl>
  </w:abstractNum>
  <w:abstractNum w:abstractNumId="102">
    <w:nsid w:val="5399C654"/>
    <w:multiLevelType w:val="hybridMultilevel"/>
    <w:lvl w:ilvl="0">
      <w:lvlJc w:val="left"/>
      <w:lvlText w:val="(%1)"/>
      <w:numFmt w:val="decimal"/>
      <w:start w:val="1"/>
    </w:lvl>
  </w:abstractNum>
  <w:abstractNum w:abstractNumId="103">
    <w:nsid w:val="20EE1348"/>
    <w:multiLevelType w:val="hybridMultilevel"/>
    <w:lvl w:ilvl="0">
      <w:lvlJc w:val="left"/>
      <w:lvlText w:val="(%1)"/>
      <w:numFmt w:val="decimal"/>
      <w:start w:val="1"/>
    </w:lvl>
  </w:abstractNum>
  <w:abstractNum w:abstractNumId="104">
    <w:nsid w:val="4427069A"/>
    <w:multiLevelType w:val="hybridMultilevel"/>
    <w:lvl w:ilvl="0">
      <w:lvlJc w:val="left"/>
      <w:lvlText w:val="•"/>
      <w:numFmt w:val="bullet"/>
      <w:start w:val="1"/>
    </w:lvl>
  </w:abstractNum>
  <w:abstractNum w:abstractNumId="105">
    <w:nsid w:val="B37E80A"/>
    <w:multiLevelType w:val="hybridMultilevel"/>
    <w:lvl w:ilvl="0">
      <w:lvlJc w:val="left"/>
      <w:lvlText w:val="•"/>
      <w:numFmt w:val="bullet"/>
      <w:start w:val="1"/>
    </w:lvl>
  </w:abstractNum>
  <w:abstractNum w:abstractNumId="106">
    <w:nsid w:val="2157F6BC"/>
    <w:multiLevelType w:val="hybridMultilevel"/>
    <w:lvl w:ilvl="0">
      <w:lvlJc w:val="left"/>
      <w:lvlText w:val="•"/>
      <w:numFmt w:val="bullet"/>
      <w:start w:val="1"/>
    </w:lvl>
  </w:abstractNum>
  <w:abstractNum w:abstractNumId="107">
    <w:nsid w:val="704E1DD5"/>
    <w:multiLevelType w:val="hybridMultilevel"/>
    <w:lvl w:ilvl="0">
      <w:lvlJc w:val="left"/>
      <w:lvlText w:val="•"/>
      <w:numFmt w:val="bullet"/>
      <w:start w:val="1"/>
    </w:lvl>
  </w:abstractNum>
  <w:abstractNum w:abstractNumId="108">
    <w:nsid w:val="57D2F10E"/>
    <w:multiLevelType w:val="hybridMultilevel"/>
    <w:lvl w:ilvl="0">
      <w:lvlJc w:val="left"/>
      <w:lvlText w:val="•"/>
      <w:numFmt w:val="bullet"/>
      <w:start w:val="1"/>
    </w:lvl>
  </w:abstractNum>
  <w:abstractNum w:abstractNumId="109">
    <w:nsid w:val="BFFAE18"/>
    <w:multiLevelType w:val="hybridMultilevel"/>
    <w:lvl w:ilvl="0">
      <w:lvlJc w:val="left"/>
      <w:lvlText w:val="%1"/>
      <w:numFmt w:val="decimal"/>
      <w:start w:val="101"/>
    </w:lvl>
  </w:abstractNum>
  <w:abstractNum w:abstractNumId="110">
    <w:nsid w:val="E3E47A8"/>
    <w:multiLevelType w:val="hybridMultilevel"/>
    <w:lvl w:ilvl="0">
      <w:lvlJc w:val="left"/>
      <w:lvlText w:val="(%1)"/>
      <w:numFmt w:val="lowerRoman"/>
      <w:start w:val="1"/>
    </w:lvl>
  </w:abstractNum>
  <w:abstractNum w:abstractNumId="111">
    <w:nsid w:val="2E48F044"/>
    <w:multiLevelType w:val="hybridMultilevel"/>
    <w:lvl w:ilvl="0">
      <w:lvlJc w:val="left"/>
      <w:lvlText w:val="(%1)"/>
      <w:numFmt w:val="lowerRoman"/>
      <w:start w:val="1"/>
    </w:lvl>
  </w:abstractNum>
  <w:abstractNum w:abstractNumId="112">
    <w:nsid w:val="49D0FEAC"/>
    <w:multiLevelType w:val="hybridMultilevel"/>
    <w:lvl w:ilvl="0">
      <w:lvlJc w:val="left"/>
      <w:lvlText w:val="(%1)"/>
      <w:numFmt w:val="lowerRoman"/>
      <w:start w:val="2"/>
    </w:lvl>
  </w:abstractNum>
  <w:abstractNum w:abstractNumId="113">
    <w:nsid w:val="4BEE5A5B"/>
    <w:multiLevelType w:val="hybridMultilevel"/>
    <w:lvl w:ilvl="0">
      <w:lvlJc w:val="left"/>
      <w:lvlText w:val="(%1)"/>
      <w:numFmt w:val="lowerRoman"/>
      <w:start w:val="3"/>
    </w:lvl>
  </w:abstractNum>
  <w:abstractNum w:abstractNumId="114">
    <w:nsid w:val="5551B9F3"/>
    <w:multiLevelType w:val="hybridMultilevel"/>
    <w:lvl w:ilvl="0">
      <w:lvlJc w:val="left"/>
      <w:lvlText w:val="(%1)"/>
      <w:numFmt w:val="lowerRoman"/>
      <w:start w:val="4"/>
    </w:lvl>
  </w:abstractNum>
  <w:abstractNum w:abstractNumId="115">
    <w:nsid w:val="24F6AB8E"/>
    <w:multiLevelType w:val="hybridMultilevel"/>
    <w:lvl w:ilvl="0">
      <w:lvlJc w:val="left"/>
      <w:lvlText w:val="(%1)"/>
      <w:numFmt w:val="lowerLetter"/>
      <w:start w:val="1"/>
    </w:lvl>
  </w:abstractNum>
  <w:abstractNum w:abstractNumId="116">
    <w:nsid w:val="634C574C"/>
    <w:multiLevelType w:val="hybridMultilevel"/>
    <w:lvl w:ilvl="0">
      <w:lvlJc w:val="left"/>
      <w:lvlText w:val="(%1)"/>
      <w:numFmt w:val="lowerLetter"/>
      <w:start w:val="2"/>
    </w:lvl>
  </w:abstractNum>
  <w:abstractNum w:abstractNumId="117">
    <w:nsid w:val="24E99DD7"/>
    <w:multiLevelType w:val="hybridMultilevel"/>
    <w:lvl w:ilvl="0">
      <w:lvlJc w:val="left"/>
      <w:lvlText w:val="(%1)"/>
      <w:numFmt w:val="lowerLetter"/>
      <w:start w:val="3"/>
    </w:lvl>
  </w:abstractNum>
  <w:abstractNum w:abstractNumId="118">
    <w:nsid w:val="2A31B62D"/>
    <w:multiLevelType w:val="hybridMultilevel"/>
    <w:lvl w:ilvl="0">
      <w:lvlJc w:val="left"/>
      <w:lvlText w:val="(%1)"/>
      <w:numFmt w:val="lowerLetter"/>
      <w:start w:val="4"/>
    </w:lvl>
  </w:abstractNum>
  <w:abstractNum w:abstractNumId="119">
    <w:nsid w:val="1849C29B"/>
    <w:multiLevelType w:val="hybridMultilevel"/>
    <w:lvl w:ilvl="0">
      <w:lvlJc w:val="left"/>
      <w:lvlText w:val="(%1)"/>
      <w:numFmt w:val="lowerLetter"/>
      <w:start w:val="9"/>
    </w:lvl>
  </w:abstractNum>
  <w:abstractNum w:abstractNumId="120">
    <w:nsid w:val="7DFF9D09"/>
    <w:multiLevelType w:val="hybridMultilevel"/>
    <w:lvl w:ilvl="0">
      <w:lvlJc w:val="left"/>
      <w:lvlText w:val="(%1)"/>
      <w:numFmt w:val="lowerLetter"/>
      <w:start w:val="12"/>
    </w:lvl>
  </w:abstractNum>
  <w:abstractNum w:abstractNumId="121">
    <w:nsid w:val="754342"/>
    <w:multiLevelType w:val="hybridMultilevel"/>
    <w:lvl w:ilvl="0">
      <w:lvlJc w:val="left"/>
      <w:lvlText w:val="(%1)"/>
      <w:numFmt w:val="lowerRoman"/>
      <w:start w:val="1"/>
    </w:lvl>
  </w:abstractNum>
  <w:abstractNum w:abstractNumId="122">
    <w:nsid w:val="69E7F3E5"/>
    <w:multiLevelType w:val="hybridMultilevel"/>
    <w:lvl w:ilvl="0">
      <w:lvlJc w:val="left"/>
      <w:lvlText w:val="(%1)"/>
      <w:numFmt w:val="lowerRoman"/>
      <w:start w:val="2"/>
    </w:lvl>
  </w:abstractNum>
  <w:abstractNum w:abstractNumId="123">
    <w:nsid w:val="2A6DE806"/>
    <w:multiLevelType w:val="hybridMultilevel"/>
    <w:lvl w:ilvl="0">
      <w:lvlJc w:val="left"/>
      <w:lvlText w:val="(%1)"/>
      <w:numFmt w:val="lowerLetter"/>
      <w:start w:val="15"/>
    </w:lvl>
  </w:abstractNum>
  <w:abstractNum w:abstractNumId="124">
    <w:nsid w:val="1816F8C4"/>
    <w:multiLevelType w:val="hybridMultilevel"/>
    <w:lvl w:ilvl="0">
      <w:lvlJc w:val="left"/>
      <w:lvlText w:val="(%1)"/>
      <w:numFmt w:val="lowerLetter"/>
      <w:start w:val="16"/>
    </w:lvl>
  </w:abstractNum>
  <w:abstractNum w:abstractNumId="125">
    <w:nsid w:val="37DF2233"/>
    <w:multiLevelType w:val="hybridMultilevel"/>
    <w:lvl w:ilvl="0">
      <w:lvlJc w:val="left"/>
      <w:lvlText w:val="(%1)"/>
      <w:numFmt w:val="lowerLetter"/>
      <w:start w:val="19"/>
    </w:lvl>
  </w:abstractNum>
  <w:abstractNum w:abstractNumId="126">
    <w:nsid w:val="7AB49DAF"/>
    <w:multiLevelType w:val="hybridMultilevel"/>
    <w:lvl w:ilvl="0">
      <w:lvlJc w:val="left"/>
      <w:lvlText w:val="(%1)"/>
      <w:numFmt w:val="lowerLetter"/>
      <w:start w:val="20"/>
    </w:lvl>
  </w:abstractNum>
  <w:abstractNum w:abstractNumId="127">
    <w:nsid w:val="759F82CD"/>
    <w:multiLevelType w:val="hybridMultilevel"/>
    <w:lvl w:ilvl="0">
      <w:lvlJc w:val="left"/>
      <w:lvlText w:val="(%1)"/>
      <w:numFmt w:val="lowerLetter"/>
      <w:start w:val="23"/>
    </w:lvl>
  </w:abstractNum>
  <w:abstractNum w:abstractNumId="128">
    <w:nsid w:val="61E74EA3"/>
    <w:multiLevelType w:val="hybridMultilevel"/>
    <w:lvl w:ilvl="0">
      <w:lvlJc w:val="left"/>
      <w:lvlText w:val="(%1)"/>
      <w:numFmt w:val="lowerLetter"/>
      <w:start w:val="26"/>
    </w:lvl>
  </w:abstractNum>
  <w:abstractNum w:abstractNumId="129">
    <w:nsid w:val="597B4D84"/>
    <w:multiLevelType w:val="hybridMultilevel"/>
    <w:lvl w:ilvl="0">
      <w:lvlJc w:val="left"/>
      <w:lvlText w:val="(%1)"/>
      <w:numFmt w:val="lowerLetter"/>
      <w:start w:val="27"/>
    </w:lvl>
  </w:abstractNum>
  <w:abstractNum w:abstractNumId="130">
    <w:nsid w:val="F819E7F"/>
    <w:multiLevelType w:val="hybridMultilevel"/>
    <w:lvl w:ilvl="0">
      <w:lvlJc w:val="left"/>
      <w:lvlText w:val="(%1)"/>
      <w:numFmt w:val="decimal"/>
      <w:start w:val="1"/>
    </w:lvl>
  </w:abstractNum>
  <w:abstractNum w:abstractNumId="131">
    <w:nsid w:val="57C7D42D"/>
    <w:multiLevelType w:val="hybridMultilevel"/>
    <w:lvl w:ilvl="0">
      <w:lvlJc w:val="left"/>
      <w:lvlText w:val="(%1)"/>
      <w:numFmt w:val="decimal"/>
      <w:start w:val="1"/>
    </w:lvl>
  </w:abstractNum>
  <w:abstractNum w:abstractNumId="132">
    <w:nsid w:val="312167AD"/>
    <w:multiLevelType w:val="hybridMultilevel"/>
    <w:lvl w:ilvl="0">
      <w:lvlJc w:val="left"/>
      <w:lvlText w:val="•"/>
      <w:numFmt w:val="bullet"/>
      <w:start w:val="1"/>
    </w:lvl>
  </w:abstractNum>
  <w:abstractNum w:abstractNumId="133">
    <w:nsid w:val="631B64D4"/>
    <w:multiLevelType w:val="hybridMultilevel"/>
    <w:lvl w:ilvl="0">
      <w:lvlJc w:val="left"/>
      <w:lvlText w:val="•"/>
      <w:numFmt w:val="bullet"/>
      <w:start w:val="1"/>
    </w:lvl>
  </w:abstractNum>
  <w:abstractNum w:abstractNumId="134">
    <w:nsid w:val="78B5E776"/>
    <w:multiLevelType w:val="hybridMultilevel"/>
    <w:lvl w:ilvl="0">
      <w:lvlJc w:val="left"/>
      <w:lvlText w:val="(%1)"/>
      <w:numFmt w:val="decimal"/>
      <w:start w:val="1"/>
    </w:lvl>
  </w:abstractNum>
  <w:abstractNum w:abstractNumId="135">
    <w:nsid w:val="75486E47"/>
    <w:multiLevelType w:val="hybridMultilevel"/>
    <w:lvl w:ilvl="0">
      <w:lvlJc w:val="left"/>
      <w:lvlText w:val="•"/>
      <w:numFmt w:val="bullet"/>
      <w:start w:val="1"/>
    </w:lvl>
  </w:abstractNum>
  <w:abstractNum w:abstractNumId="136">
    <w:nsid w:val="6E534CDE"/>
    <w:multiLevelType w:val="hybridMultilevel"/>
    <w:lvl w:ilvl="0">
      <w:lvlJc w:val="left"/>
      <w:lvlText w:val="•"/>
      <w:numFmt w:val="bullet"/>
      <w:start w:val="1"/>
    </w:lvl>
  </w:abstractNum>
  <w:abstractNum w:abstractNumId="137">
    <w:nsid w:val="1A0DDE32"/>
    <w:multiLevelType w:val="hybridMultilevel"/>
    <w:lvl w:ilvl="0">
      <w:lvlJc w:val="left"/>
      <w:lvlText w:val="(%1)"/>
      <w:numFmt w:val="lowerRoman"/>
      <w:start w:val="2"/>
    </w:lvl>
  </w:abstractNum>
  <w:abstractNum w:abstractNumId="138">
    <w:nsid w:val="65968C1C"/>
    <w:multiLevelType w:val="hybridMultilevel"/>
    <w:lvl w:ilvl="0">
      <w:lvlJc w:val="left"/>
      <w:lvlText w:val="(%1)"/>
      <w:numFmt w:val="lowerLetter"/>
      <w:start w:val="2"/>
    </w:lvl>
  </w:abstractNum>
  <w:abstractNum w:abstractNumId="139">
    <w:nsid w:val="46263DEC"/>
    <w:multiLevelType w:val="hybridMultilevel"/>
    <w:lvl w:ilvl="0">
      <w:lvlJc w:val="left"/>
      <w:lvlText w:val="(%1)"/>
      <w:numFmt w:val="lowerLetter"/>
      <w:start w:val="1"/>
    </w:lvl>
  </w:abstractNum>
  <w:abstractNum w:abstractNumId="140">
    <w:nsid w:val="260D8C4A"/>
    <w:multiLevelType w:val="hybridMultilevel"/>
    <w:lvl w:ilvl="0">
      <w:lvlJc w:val="left"/>
      <w:lvlText w:val="•"/>
      <w:numFmt w:val="bullet"/>
      <w:start w:val="1"/>
    </w:lvl>
  </w:abstractNum>
  <w:abstractNum w:abstractNumId="141">
    <w:nsid w:val="73D4D3C4"/>
    <w:multiLevelType w:val="hybridMultilevel"/>
    <w:lvl w:ilvl="0">
      <w:lvlJc w:val="left"/>
      <w:lvlText w:val="•"/>
      <w:numFmt w:val="bullet"/>
      <w:start w:val="1"/>
    </w:lvl>
  </w:abstractNum>
  <w:abstractNum w:abstractNumId="142">
    <w:nsid w:val="746F2E30"/>
    <w:multiLevelType w:val="hybridMultilevel"/>
    <w:lvl w:ilvl="0">
      <w:lvlJc w:val="left"/>
      <w:lvlText w:val="•"/>
      <w:numFmt w:val="bullet"/>
      <w:start w:val="1"/>
    </w:lvl>
  </w:abstractNum>
  <w:abstractNum w:abstractNumId="143">
    <w:nsid w:val="6FDE8AF6"/>
    <w:multiLevelType w:val="hybridMultilevel"/>
    <w:lvl w:ilvl="0">
      <w:lvlJc w:val="left"/>
      <w:lvlText w:val="•"/>
      <w:numFmt w:val="bullet"/>
      <w:start w:val="1"/>
    </w:lvl>
  </w:abstractNum>
  <w:abstractNum w:abstractNumId="144">
    <w:nsid w:val="3FC32E20"/>
    <w:multiLevelType w:val="hybridMultilevel"/>
    <w:lvl w:ilvl="0">
      <w:lvlJc w:val="left"/>
      <w:lvlText w:val="•"/>
      <w:numFmt w:val="bullet"/>
      <w:start w:val="1"/>
    </w:lvl>
  </w:abstractNum>
  <w:abstractNum w:abstractNumId="145">
    <w:nsid w:val="49C0E823"/>
    <w:multiLevelType w:val="hybridMultilevel"/>
    <w:lvl w:ilvl="0">
      <w:lvlJc w:val="left"/>
      <w:lvlText w:val="•"/>
      <w:numFmt w:val="bullet"/>
      <w:start w:val="1"/>
    </w:lvl>
  </w:abstractNum>
  <w:abstractNum w:abstractNumId="146">
    <w:nsid w:val="14D53685"/>
    <w:multiLevelType w:val="hybridMultilevel"/>
    <w:lvl w:ilvl="0">
      <w:lvlJc w:val="left"/>
      <w:lvlText w:val="•"/>
      <w:numFmt w:val="bullet"/>
      <w:start w:val="1"/>
    </w:lvl>
  </w:abstractNum>
  <w:abstractNum w:abstractNumId="147">
    <w:nsid w:val="230F856C"/>
    <w:multiLevelType w:val="hybridMultilevel"/>
    <w:lvl w:ilvl="0">
      <w:lvlJc w:val="left"/>
      <w:lvlText w:val="•"/>
      <w:numFmt w:val="bullet"/>
      <w:start w:val="1"/>
    </w:lvl>
  </w:abstractNum>
  <w:abstractNum w:abstractNumId="148">
    <w:nsid w:val="6EAA85FB"/>
    <w:multiLevelType w:val="hybridMultilevel"/>
    <w:lvl w:ilvl="0">
      <w:lvlJc w:val="left"/>
      <w:lvlText w:val="•"/>
      <w:numFmt w:val="bullet"/>
      <w:start w:val="1"/>
    </w:lvl>
  </w:abstractNum>
  <w:abstractNum w:abstractNumId="149">
    <w:nsid w:val="3F06ECB2"/>
    <w:multiLevelType w:val="hybridMultilevel"/>
    <w:lvl w:ilvl="0">
      <w:lvlJc w:val="left"/>
      <w:lvlText w:val="•"/>
      <w:numFmt w:val="bullet"/>
      <w:start w:val="1"/>
    </w:lvl>
  </w:abstractNum>
  <w:abstractNum w:abstractNumId="150">
    <w:nsid w:val="3B594807"/>
    <w:multiLevelType w:val="hybridMultilevel"/>
    <w:lvl w:ilvl="0">
      <w:lvlJc w:val="left"/>
      <w:lvlText w:val="•"/>
      <w:numFmt w:val="bullet"/>
      <w:start w:val="1"/>
    </w:lvl>
  </w:abstractNum>
  <w:abstractNum w:abstractNumId="151">
    <w:nsid w:val="6CAA2304"/>
    <w:multiLevelType w:val="hybridMultilevel"/>
    <w:lvl w:ilvl="0">
      <w:lvlJc w:val="left"/>
      <w:lvlText w:val="%1."/>
      <w:numFmt w:val="decimal"/>
      <w:start w:val="1"/>
    </w:lvl>
  </w:abstractNum>
  <w:abstractNum w:abstractNumId="152">
    <w:nsid w:val="3F7C2FF4"/>
    <w:multiLevelType w:val="hybridMultilevel"/>
    <w:lvl w:ilvl="0">
      <w:lvlJc w:val="left"/>
      <w:lvlText w:val="%1)"/>
      <w:numFmt w:val="lowerLetter"/>
      <w:start w:val="1"/>
    </w:lvl>
  </w:abstractNum>
  <w:abstractNum w:abstractNumId="153">
    <w:nsid w:val="25413BEC"/>
    <w:multiLevelType w:val="hybridMultilevel"/>
    <w:lvl w:ilvl="0">
      <w:lvlJc w:val="left"/>
      <w:lvlText w:val="%1."/>
      <w:numFmt w:val="decimal"/>
      <w:start w:val="5"/>
    </w:lvl>
  </w:abstractNum>
  <w:abstractNum w:abstractNumId="154">
    <w:nsid w:val="17180B0B"/>
    <w:multiLevelType w:val="hybridMultilevel"/>
    <w:lvl w:ilvl="0">
      <w:lvlJc w:val="left"/>
      <w:lvlText w:val="%1)"/>
      <w:numFmt w:val="lowerLetter"/>
      <w:start w:val="1"/>
    </w:lvl>
  </w:abstractNum>
  <w:abstractNum w:abstractNumId="155">
    <w:nsid w:val="579328B9"/>
    <w:multiLevelType w:val="hybridMultilevel"/>
    <w:lvl w:ilvl="0">
      <w:lvlJc w:val="left"/>
      <w:lvlText w:val="%1."/>
      <w:numFmt w:val="decimal"/>
      <w:start w:val="1"/>
    </w:lvl>
  </w:abstractNum>
  <w:abstractNum w:abstractNumId="156">
    <w:nsid w:val="5D205E20"/>
    <w:multiLevelType w:val="hybridMultilevel"/>
    <w:lvl w:ilvl="0">
      <w:lvlJc w:val="left"/>
      <w:lvlText w:val="%1)"/>
      <w:numFmt w:val="lowerLetter"/>
      <w:start w:val="1"/>
    </w:lvl>
  </w:abstractNum>
  <w:abstractNum w:abstractNumId="157">
    <w:nsid w:val="11CCA8BA"/>
    <w:multiLevelType w:val="hybridMultilevel"/>
    <w:lvl w:ilvl="0">
      <w:lvlJc w:val="left"/>
      <w:lvlText w:val="%1."/>
      <w:numFmt w:val="decimal"/>
      <w:start w:val="5"/>
    </w:lvl>
  </w:abstractNum>
  <w:abstractNum w:abstractNumId="158">
    <w:nsid w:val="4D32AB86"/>
    <w:multiLevelType w:val="hybridMultilevel"/>
    <w:lvl w:ilvl="0">
      <w:lvlJc w:val="left"/>
      <w:lvlText w:val="%1)"/>
      <w:numFmt w:val="lowerLetter"/>
      <w:start w:val="1"/>
    </w:lvl>
  </w:abstractNum>
  <w:abstractNum w:abstractNumId="159">
    <w:nsid w:val="3F07ACC3"/>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90" Type="http://schemas.openxmlformats.org/officeDocument/2006/relationships/image" Target="media/image169.png"/><Relationship Id="rId205" Type="http://schemas.openxmlformats.org/officeDocument/2006/relationships/image" Target="media/image170.png"/><Relationship Id="rId217" Type="http://schemas.openxmlformats.org/officeDocument/2006/relationships/image" Target="media/image171.png"/><Relationship Id="rId231" Type="http://schemas.openxmlformats.org/officeDocument/2006/relationships/image" Target="media/image172.png"/><Relationship Id="rId240" Type="http://schemas.openxmlformats.org/officeDocument/2006/relationships/image" Target="media/image173.png"/><Relationship Id="rId241" Type="http://schemas.openxmlformats.org/officeDocument/2006/relationships/image" Target="media/image174.png"/><Relationship Id="rId242" Type="http://schemas.openxmlformats.org/officeDocument/2006/relationships/image" Target="media/image175.png"/><Relationship Id="rId243" Type="http://schemas.openxmlformats.org/officeDocument/2006/relationships/image" Target="media/image176.png"/><Relationship Id="rId244" Type="http://schemas.openxmlformats.org/officeDocument/2006/relationships/image" Target="media/image177.png"/><Relationship Id="rId245" Type="http://schemas.openxmlformats.org/officeDocument/2006/relationships/image" Target="media/image178.png"/><Relationship Id="rId246" Type="http://schemas.openxmlformats.org/officeDocument/2006/relationships/image" Target="media/image179.png"/><Relationship Id="rId247" Type="http://schemas.openxmlformats.org/officeDocument/2006/relationships/image" Target="media/image180.png"/><Relationship Id="rId248" Type="http://schemas.openxmlformats.org/officeDocument/2006/relationships/image" Target="media/image181.png"/><Relationship Id="rId249" Type="http://schemas.openxmlformats.org/officeDocument/2006/relationships/image" Target="media/image182.png"/><Relationship Id="rId250" Type="http://schemas.openxmlformats.org/officeDocument/2006/relationships/image" Target="media/image183.png"/><Relationship Id="rId251" Type="http://schemas.openxmlformats.org/officeDocument/2006/relationships/image" Target="media/image184.png"/><Relationship Id="rId252" Type="http://schemas.openxmlformats.org/officeDocument/2006/relationships/image" Target="media/image185.png"/><Relationship Id="rId253" Type="http://schemas.openxmlformats.org/officeDocument/2006/relationships/image" Target="media/image186.png"/><Relationship Id="rId254" Type="http://schemas.openxmlformats.org/officeDocument/2006/relationships/image" Target="media/image187.png"/><Relationship Id="rId255" Type="http://schemas.openxmlformats.org/officeDocument/2006/relationships/image" Target="media/image188.png"/><Relationship Id="rId256" Type="http://schemas.openxmlformats.org/officeDocument/2006/relationships/image" Target="media/image189.png"/><Relationship Id="rId257" Type="http://schemas.openxmlformats.org/officeDocument/2006/relationships/image" Target="media/image190.png"/><Relationship Id="rId258" Type="http://schemas.openxmlformats.org/officeDocument/2006/relationships/image" Target="media/image191.png"/><Relationship Id="rId259" Type="http://schemas.openxmlformats.org/officeDocument/2006/relationships/image" Target="media/image192.png"/><Relationship Id="rId260" Type="http://schemas.openxmlformats.org/officeDocument/2006/relationships/image" Target="media/image193.png"/><Relationship Id="rId261" Type="http://schemas.openxmlformats.org/officeDocument/2006/relationships/image" Target="media/image194.png"/><Relationship Id="rId262" Type="http://schemas.openxmlformats.org/officeDocument/2006/relationships/image" Target="media/image195.png"/><Relationship Id="rId263" Type="http://schemas.openxmlformats.org/officeDocument/2006/relationships/image" Target="media/image196.png"/><Relationship Id="rId264" Type="http://schemas.openxmlformats.org/officeDocument/2006/relationships/image" Target="media/image197.png"/><Relationship Id="rId265" Type="http://schemas.openxmlformats.org/officeDocument/2006/relationships/image" Target="media/image198.png"/><Relationship Id="rId266" Type="http://schemas.openxmlformats.org/officeDocument/2006/relationships/image" Target="media/image199.png"/><Relationship Id="rId267" Type="http://schemas.openxmlformats.org/officeDocument/2006/relationships/image" Target="media/image200.png"/><Relationship Id="rId268" Type="http://schemas.openxmlformats.org/officeDocument/2006/relationships/image" Target="media/image201.png"/><Relationship Id="rId269" Type="http://schemas.openxmlformats.org/officeDocument/2006/relationships/image" Target="media/image202.png"/><Relationship Id="rId270" Type="http://schemas.openxmlformats.org/officeDocument/2006/relationships/image" Target="media/image203.png"/><Relationship Id="rId271" Type="http://schemas.openxmlformats.org/officeDocument/2006/relationships/image" Target="media/image204.png"/><Relationship Id="rId272" Type="http://schemas.openxmlformats.org/officeDocument/2006/relationships/image" Target="media/image205.png"/><Relationship Id="rId273" Type="http://schemas.openxmlformats.org/officeDocument/2006/relationships/image" Target="media/image206.png"/><Relationship Id="rId274" Type="http://schemas.openxmlformats.org/officeDocument/2006/relationships/image" Target="media/image207.png"/><Relationship Id="rId275" Type="http://schemas.openxmlformats.org/officeDocument/2006/relationships/image" Target="media/image208.png"/><Relationship Id="rId276" Type="http://schemas.openxmlformats.org/officeDocument/2006/relationships/image" Target="media/image209.png"/><Relationship Id="rId277" Type="http://schemas.openxmlformats.org/officeDocument/2006/relationships/image" Target="media/image210.png"/><Relationship Id="rId278" Type="http://schemas.openxmlformats.org/officeDocument/2006/relationships/image" Target="media/image211.png"/><Relationship Id="rId279" Type="http://schemas.openxmlformats.org/officeDocument/2006/relationships/image" Target="media/image212.png"/><Relationship Id="rId280" Type="http://schemas.openxmlformats.org/officeDocument/2006/relationships/image" Target="media/image213.png"/><Relationship Id="rId281" Type="http://schemas.openxmlformats.org/officeDocument/2006/relationships/image" Target="media/image214.png"/><Relationship Id="rId282" Type="http://schemas.openxmlformats.org/officeDocument/2006/relationships/image" Target="media/image215.png"/><Relationship Id="rId283" Type="http://schemas.openxmlformats.org/officeDocument/2006/relationships/image" Target="media/image216.png"/><Relationship Id="rId284" Type="http://schemas.openxmlformats.org/officeDocument/2006/relationships/image" Target="media/image217.png"/><Relationship Id="rId285" Type="http://schemas.openxmlformats.org/officeDocument/2006/relationships/image" Target="media/image218.png"/><Relationship Id="rId286" Type="http://schemas.openxmlformats.org/officeDocument/2006/relationships/image" Target="media/image219.png"/><Relationship Id="rId287" Type="http://schemas.openxmlformats.org/officeDocument/2006/relationships/image" Target="media/image220.png"/><Relationship Id="rId288" Type="http://schemas.openxmlformats.org/officeDocument/2006/relationships/image" Target="media/image221.png"/><Relationship Id="rId289" Type="http://schemas.openxmlformats.org/officeDocument/2006/relationships/image" Target="media/image222.png"/><Relationship Id="rId290" Type="http://schemas.openxmlformats.org/officeDocument/2006/relationships/image" Target="media/image223.png"/><Relationship Id="rId291" Type="http://schemas.openxmlformats.org/officeDocument/2006/relationships/image" Target="media/image224.png"/><Relationship Id="rId292" Type="http://schemas.openxmlformats.org/officeDocument/2006/relationships/image" Target="media/image225.png"/><Relationship Id="rId293" Type="http://schemas.openxmlformats.org/officeDocument/2006/relationships/image" Target="media/image226.png"/><Relationship Id="rId294" Type="http://schemas.openxmlformats.org/officeDocument/2006/relationships/image" Target="media/image227.png"/><Relationship Id="rId295" Type="http://schemas.openxmlformats.org/officeDocument/2006/relationships/image" Target="media/image228.png"/><Relationship Id="rId296" Type="http://schemas.openxmlformats.org/officeDocument/2006/relationships/image" Target="media/image229.png"/><Relationship Id="rId297" Type="http://schemas.openxmlformats.org/officeDocument/2006/relationships/image" Target="media/image230.png"/><Relationship Id="rId298" Type="http://schemas.openxmlformats.org/officeDocument/2006/relationships/image" Target="media/image231.png"/><Relationship Id="rId299" Type="http://schemas.openxmlformats.org/officeDocument/2006/relationships/image" Target="media/image232.png"/><Relationship Id="rId300" Type="http://schemas.openxmlformats.org/officeDocument/2006/relationships/image" Target="media/image233.png"/><Relationship Id="rId301" Type="http://schemas.openxmlformats.org/officeDocument/2006/relationships/image" Target="media/image234.png"/><Relationship Id="rId302" Type="http://schemas.openxmlformats.org/officeDocument/2006/relationships/image" Target="media/image235.png"/><Relationship Id="rId303" Type="http://schemas.openxmlformats.org/officeDocument/2006/relationships/image" Target="media/image236.png"/><Relationship Id="rId304" Type="http://schemas.openxmlformats.org/officeDocument/2006/relationships/image" Target="media/image237.png"/><Relationship Id="rId305" Type="http://schemas.openxmlformats.org/officeDocument/2006/relationships/image" Target="media/image238.png"/><Relationship Id="rId306" Type="http://schemas.openxmlformats.org/officeDocument/2006/relationships/image" Target="media/image239.png"/><Relationship Id="rId307" Type="http://schemas.openxmlformats.org/officeDocument/2006/relationships/image" Target="media/image240.png"/><Relationship Id="rId308" Type="http://schemas.openxmlformats.org/officeDocument/2006/relationships/image" Target="media/image241.png"/><Relationship Id="rId309" Type="http://schemas.openxmlformats.org/officeDocument/2006/relationships/image" Target="media/image242.png"/><Relationship Id="rId310" Type="http://schemas.openxmlformats.org/officeDocument/2006/relationships/image" Target="media/image243.png"/><Relationship Id="rId311" Type="http://schemas.openxmlformats.org/officeDocument/2006/relationships/image" Target="media/image244.png"/><Relationship Id="rId312" Type="http://schemas.openxmlformats.org/officeDocument/2006/relationships/image" Target="media/image245.png"/><Relationship Id="rId313" Type="http://schemas.openxmlformats.org/officeDocument/2006/relationships/image" Target="media/image246.png"/><Relationship Id="rId314" Type="http://schemas.openxmlformats.org/officeDocument/2006/relationships/image" Target="media/image247.png"/><Relationship Id="rId315" Type="http://schemas.openxmlformats.org/officeDocument/2006/relationships/image" Target="media/image248.png"/><Relationship Id="rId316" Type="http://schemas.openxmlformats.org/officeDocument/2006/relationships/image" Target="media/image249.png"/><Relationship Id="rId317" Type="http://schemas.openxmlformats.org/officeDocument/2006/relationships/image" Target="media/image250.png"/><Relationship Id="rId318" Type="http://schemas.openxmlformats.org/officeDocument/2006/relationships/image" Target="media/image251.png"/><Relationship Id="rId319" Type="http://schemas.openxmlformats.org/officeDocument/2006/relationships/image" Target="media/image252.png"/><Relationship Id="rId320" Type="http://schemas.openxmlformats.org/officeDocument/2006/relationships/image" Target="media/image253.png"/><Relationship Id="rId321" Type="http://schemas.openxmlformats.org/officeDocument/2006/relationships/image" Target="media/image254.png"/><Relationship Id="rId322" Type="http://schemas.openxmlformats.org/officeDocument/2006/relationships/image" Target="media/image255.png"/><Relationship Id="rId323" Type="http://schemas.openxmlformats.org/officeDocument/2006/relationships/image" Target="media/image256.png"/><Relationship Id="rId324" Type="http://schemas.openxmlformats.org/officeDocument/2006/relationships/image" Target="media/image257.png"/><Relationship Id="rId325" Type="http://schemas.openxmlformats.org/officeDocument/2006/relationships/image" Target="media/image258.png"/><Relationship Id="rId326" Type="http://schemas.openxmlformats.org/officeDocument/2006/relationships/image" Target="media/image259.png"/><Relationship Id="rId327" Type="http://schemas.openxmlformats.org/officeDocument/2006/relationships/image" Target="media/image260.png"/><Relationship Id="rId328" Type="http://schemas.openxmlformats.org/officeDocument/2006/relationships/image" Target="media/image261.png"/><Relationship Id="rId329" Type="http://schemas.openxmlformats.org/officeDocument/2006/relationships/image" Target="media/image262.png"/><Relationship Id="rId330" Type="http://schemas.openxmlformats.org/officeDocument/2006/relationships/image" Target="media/image263.png"/><Relationship Id="rId331" Type="http://schemas.openxmlformats.org/officeDocument/2006/relationships/image" Target="media/image264.png"/><Relationship Id="rId332" Type="http://schemas.openxmlformats.org/officeDocument/2006/relationships/image" Target="media/image265.png"/><Relationship Id="rId333" Type="http://schemas.openxmlformats.org/officeDocument/2006/relationships/image" Target="media/image266.png"/><Relationship Id="rId334" Type="http://schemas.openxmlformats.org/officeDocument/2006/relationships/image" Target="media/image267.png"/><Relationship Id="rId335" Type="http://schemas.openxmlformats.org/officeDocument/2006/relationships/image" Target="media/image268.png"/><Relationship Id="rId336" Type="http://schemas.openxmlformats.org/officeDocument/2006/relationships/image" Target="media/image269.png"/><Relationship Id="rId337" Type="http://schemas.openxmlformats.org/officeDocument/2006/relationships/image" Target="media/image270.png"/><Relationship Id="rId338" Type="http://schemas.openxmlformats.org/officeDocument/2006/relationships/image" Target="media/image271.png"/><Relationship Id="rId339" Type="http://schemas.openxmlformats.org/officeDocument/2006/relationships/image" Target="media/image272.png"/><Relationship Id="rId340" Type="http://schemas.openxmlformats.org/officeDocument/2006/relationships/image" Target="media/image273.png"/><Relationship Id="rId341" Type="http://schemas.openxmlformats.org/officeDocument/2006/relationships/image" Target="media/image274.png"/><Relationship Id="rId342" Type="http://schemas.openxmlformats.org/officeDocument/2006/relationships/image" Target="media/image275.png"/><Relationship Id="rId343" Type="http://schemas.openxmlformats.org/officeDocument/2006/relationships/image" Target="media/image276.png"/><Relationship Id="rId344" Type="http://schemas.openxmlformats.org/officeDocument/2006/relationships/image" Target="media/image277.png"/><Relationship Id="rId345" Type="http://schemas.openxmlformats.org/officeDocument/2006/relationships/image" Target="media/image278.png"/><Relationship Id="rId346" Type="http://schemas.openxmlformats.org/officeDocument/2006/relationships/image" Target="media/image279.png"/><Relationship Id="rId347" Type="http://schemas.openxmlformats.org/officeDocument/2006/relationships/image" Target="media/image280.png"/><Relationship Id="rId348" Type="http://schemas.openxmlformats.org/officeDocument/2006/relationships/image" Target="media/image281.png"/><Relationship Id="rId349" Type="http://schemas.openxmlformats.org/officeDocument/2006/relationships/image" Target="media/image282.png"/><Relationship Id="rId350" Type="http://schemas.openxmlformats.org/officeDocument/2006/relationships/image" Target="media/image283.png"/><Relationship Id="rId351" Type="http://schemas.openxmlformats.org/officeDocument/2006/relationships/image" Target="media/image284.png"/><Relationship Id="rId352" Type="http://schemas.openxmlformats.org/officeDocument/2006/relationships/image" Target="media/image285.png"/><Relationship Id="rId353" Type="http://schemas.openxmlformats.org/officeDocument/2006/relationships/image" Target="media/image286.png"/><Relationship Id="rId354" Type="http://schemas.openxmlformats.org/officeDocument/2006/relationships/image" Target="media/image287.png"/><Relationship Id="rId355" Type="http://schemas.openxmlformats.org/officeDocument/2006/relationships/image" Target="media/image288.png"/><Relationship Id="rId356" Type="http://schemas.openxmlformats.org/officeDocument/2006/relationships/image" Target="media/image289.png"/><Relationship Id="rId357" Type="http://schemas.openxmlformats.org/officeDocument/2006/relationships/image" Target="media/image290.png"/><Relationship Id="rId358" Type="http://schemas.openxmlformats.org/officeDocument/2006/relationships/image" Target="media/image291.png"/><Relationship Id="rId359" Type="http://schemas.openxmlformats.org/officeDocument/2006/relationships/image" Target="media/image292.png"/><Relationship Id="rId360" Type="http://schemas.openxmlformats.org/officeDocument/2006/relationships/image" Target="media/image293.png"/><Relationship Id="rId361" Type="http://schemas.openxmlformats.org/officeDocument/2006/relationships/image" Target="media/image294.png"/><Relationship Id="rId362" Type="http://schemas.openxmlformats.org/officeDocument/2006/relationships/image" Target="media/image295.png"/><Relationship Id="rId363" Type="http://schemas.openxmlformats.org/officeDocument/2006/relationships/image" Target="media/image296.png"/><Relationship Id="rId176" Type="http://schemas.openxmlformats.org/officeDocument/2006/relationships/hyperlink" Target="http://www.sec.gov/Archives/edgar/data/1333172/000095013605006874/file002.htm" TargetMode="External"/><Relationship Id="rId177" Type="http://schemas.openxmlformats.org/officeDocument/2006/relationships/hyperlink" Target="http://www.sec.gov/Archives/edgar/data/1333172/000095013607000207/file2.htm" TargetMode="External"/><Relationship Id="rId178" Type="http://schemas.openxmlformats.org/officeDocument/2006/relationships/hyperlink" Target="http://www.sec.gov/Archives/edgar/data/1333172/000119312518360975/d676959dex11.htm" TargetMode="External"/><Relationship Id="rId179" Type="http://schemas.openxmlformats.org/officeDocument/2006/relationships/hyperlink" Target="http://www.sec.gov/Archives/edgar/data/1333172/000095013605006874/file004.htm" TargetMode="External"/><Relationship Id="rId180" Type="http://schemas.openxmlformats.org/officeDocument/2006/relationships/hyperlink" Target="http://www.sec.gov/Archives/edgar/data/1333172/000095013605006874/file005.htm" TargetMode="External"/><Relationship Id="rId181" Type="http://schemas.openxmlformats.org/officeDocument/2006/relationships/hyperlink" Target="http://www.sec.gov/Archives/edgar/data/1333172/000095012308012198/y00253exv99w2.htm" TargetMode="External"/><Relationship Id="rId182" Type="http://schemas.openxmlformats.org/officeDocument/2006/relationships/hyperlink" Target="http://www.sec.gov/Archives/edgar/data/1333172/000095012309020561/y01896exv3w1.htm" TargetMode="External"/><Relationship Id="rId183" Type="http://schemas.openxmlformats.org/officeDocument/2006/relationships/hyperlink" Target="http://www.sec.gov/Archives/edgar/data/1333172/000095012309044861/y02290exv3w1.htm" TargetMode="External"/><Relationship Id="rId184" Type="http://schemas.openxmlformats.org/officeDocument/2006/relationships/hyperlink" Target="http://www.sec.gov/Archives/edgar/data/1333172/000095012309045771/y02299exv3w1.htm" TargetMode="External"/><Relationship Id="rId185" Type="http://schemas.openxmlformats.org/officeDocument/2006/relationships/hyperlink" Target="http://www.sec.gov/Archives/edgar/data/1333172/000095012310008703/y02971exv3w1.htm" TargetMode="External"/><Relationship Id="rId186" Type="http://schemas.openxmlformats.org/officeDocument/2006/relationships/hyperlink" Target="http://www.sec.gov/Archives/edgar/data/1333172/000119312513473395/d639787dex992.htm" TargetMode="External"/><Relationship Id="rId187" Type="http://schemas.openxmlformats.org/officeDocument/2006/relationships/hyperlink" Target="http://www.sec.gov/Archives/edgar/data/1333172/000119312514078974/d680623dex103.htm" TargetMode="External"/><Relationship Id="rId188" Type="http://schemas.openxmlformats.org/officeDocument/2006/relationships/hyperlink" Target="http://www.sec.gov/Archives/edgar/data/1333172/000119312514277183/d761507dex102.htm" TargetMode="External"/><Relationship Id="rId189" Type="http://schemas.openxmlformats.org/officeDocument/2006/relationships/hyperlink" Target="http://www.sec.gov/Archives/edgar/data/1333172/000119312514435087/d828869dex102.htm" TargetMode="External"/><Relationship Id="rId191" Type="http://schemas.openxmlformats.org/officeDocument/2006/relationships/hyperlink" Target="http://www.sec.gov/Archives/edgar/data/1333172/000119312516478588/d105396dex103.htm" TargetMode="External"/><Relationship Id="rId192" Type="http://schemas.openxmlformats.org/officeDocument/2006/relationships/hyperlink" Target="http://www.sec.gov/Archives/edgar/data/1333172/000119312518353997/d622386dex105.htm" TargetMode="External"/><Relationship Id="rId193" Type="http://schemas.openxmlformats.org/officeDocument/2006/relationships/hyperlink" Target="http://www.sec.gov/Archives/edgar/data/1333172/000119312518353997/d622386dex106.htm" TargetMode="External"/><Relationship Id="rId194" Type="http://schemas.openxmlformats.org/officeDocument/2006/relationships/hyperlink" Target="http://www.sec.gov/Archives/edgar/data/1333172/000119312518353997/d622386dex107.htm" TargetMode="External"/><Relationship Id="rId195" Type="http://schemas.openxmlformats.org/officeDocument/2006/relationships/hyperlink" Target="http://www.sec.gov/Archives/edgar/data/0001333172/000119312520295799/d19855dex101.htm" TargetMode="External"/><Relationship Id="rId196" Type="http://schemas.openxmlformats.org/officeDocument/2006/relationships/hyperlink" Target="http://www.sec.gov/Archives/edgar/data/1333172/000119312517349340/d296420dex992.htm" TargetMode="External"/><Relationship Id="rId197" Type="http://schemas.openxmlformats.org/officeDocument/2006/relationships/hyperlink" Target="http://www.sec.gov/Archives/edgar/data/1333172/000119312518353997/d622386dex103.htm" TargetMode="External"/><Relationship Id="rId198" Type="http://schemas.openxmlformats.org/officeDocument/2006/relationships/hyperlink" Target="http://www.sec.gov/Archives/edgar/data/1333172/000119312518353997/d622386dex104.htm" TargetMode="External"/><Relationship Id="rId199" Type="http://schemas.openxmlformats.org/officeDocument/2006/relationships/hyperlink" Target="http://www.sec.gov/Archives/edgar/data/1333172/000119312520261349/d78679dex992.htm" TargetMode="External"/><Relationship Id="rId200" Type="http://schemas.openxmlformats.org/officeDocument/2006/relationships/hyperlink" Target="http://www.sec.gov/Archives/edgar/data/0001333172/000119312520261349/d78679dex991.htm" TargetMode="External"/><Relationship Id="rId201" Type="http://schemas.openxmlformats.org/officeDocument/2006/relationships/hyperlink" Target="http://www.sec.gov/Archives/edgar/data/1333172/000119312520295799/d19855dex102.htm" TargetMode="External"/><Relationship Id="rId202" Type="http://schemas.openxmlformats.org/officeDocument/2006/relationships/hyperlink" Target="http://www.sec.gov/Archives/edgar/data/1333172/000119312520113684/d916512dex443.htm" TargetMode="External"/><Relationship Id="rId203" Type="http://schemas.openxmlformats.org/officeDocument/2006/relationships/hyperlink" Target="http://www.sec.gov/Archives/edgar/data/1333172/000119312520113684/d916512dex444.htm" TargetMode="External"/><Relationship Id="rId204" Type="http://schemas.openxmlformats.org/officeDocument/2006/relationships/hyperlink" Target="http://www.sec.gov/Archives/edgar/data/1472033/000119380521000416/e620399_ex99-a.htm" TargetMode="External"/><Relationship Id="rId206" Type="http://schemas.openxmlformats.org/officeDocument/2006/relationships/hyperlink" Target="http://www.sec.gov/Archives/edgar/data/1333172/000119312514020515/d663451dex33.htm" TargetMode="External"/><Relationship Id="rId207" Type="http://schemas.openxmlformats.org/officeDocument/2006/relationships/hyperlink" Target="http://www.sec.gov/Archives/edgar/data/1333172/000119312514020515/d663451dex41.htm" TargetMode="External"/><Relationship Id="rId208" Type="http://schemas.openxmlformats.org/officeDocument/2006/relationships/hyperlink" Target="http://www.sec.gov/Archives/edgar/data/1333172/000119312514020515/d663451dex43.htm" TargetMode="External"/><Relationship Id="rId209" Type="http://schemas.openxmlformats.org/officeDocument/2006/relationships/hyperlink" Target="http://www.sec.gov/Archives/edgar/data/1472033/000119380521000417/e620400_ex99-a.htm" TargetMode="External"/><Relationship Id="rId210" Type="http://schemas.openxmlformats.org/officeDocument/2006/relationships/hyperlink" Target="http://www.sec.gov/Archives/edgar/data/1333172/000119312514262097/d751239dex33.htm" TargetMode="External"/><Relationship Id="rId211" Type="http://schemas.openxmlformats.org/officeDocument/2006/relationships/hyperlink" Target="http://www.sec.gov/Archives/edgar/data/1333172/000119312514262097/d751239dex43.htm" TargetMode="External"/><Relationship Id="rId212" Type="http://schemas.openxmlformats.org/officeDocument/2006/relationships/hyperlink" Target="http://www.sec.gov/Archives/edgar/data/1333172/000119312519044308/d699760dex41.htm" TargetMode="External"/><Relationship Id="rId213" Type="http://schemas.openxmlformats.org/officeDocument/2006/relationships/hyperlink" Target="http://www.sec.gov/Archives/edgar/data/1333172/000095012309020561/y01896exv10w2.htm" TargetMode="External"/><Relationship Id="rId214" Type="http://schemas.openxmlformats.org/officeDocument/2006/relationships/hyperlink" Target="http://www.sec.gov/Archives/edgar/data/1333172/000095012311053920/y04897exv10w3.htm" TargetMode="External"/><Relationship Id="rId215" Type="http://schemas.openxmlformats.org/officeDocument/2006/relationships/hyperlink" Target="http://www.sec.gov/Archives/edgar/data/1333172/000119312519238027/d767444dex992.htm" TargetMode="External"/><Relationship Id="rId216" Type="http://schemas.openxmlformats.org/officeDocument/2006/relationships/hyperlink" Target="http://www.sec.gov/Archives/edgar/data/1333172/000119312519238027/d767444dex993.htm" TargetMode="External"/><Relationship Id="rId218" Type="http://schemas.openxmlformats.org/officeDocument/2006/relationships/hyperlink" Target="http://www.sec.gov/Archives/edgar/data/1506042/000119312512030336/d275949dex41.htm" TargetMode="External"/><Relationship Id="rId219" Type="http://schemas.openxmlformats.org/officeDocument/2006/relationships/hyperlink" Target="http://www.sec.gov/Archives/edgar/data/1333172/000119312520113684/d916512dex445.htm" TargetMode="External"/><Relationship Id="rId220" Type="http://schemas.openxmlformats.org/officeDocument/2006/relationships/hyperlink" Target="http://www.sec.gov/Archives/edgar/data/1333172/000095012311079877/y05130exv10w1.htm" TargetMode="External"/><Relationship Id="rId221" Type="http://schemas.openxmlformats.org/officeDocument/2006/relationships/hyperlink" Target="http://www.sec.gov/Archives/edgar/data/1333172/000119312512023736/d289288dex101.htm" TargetMode="External"/><Relationship Id="rId222" Type="http://schemas.openxmlformats.org/officeDocument/2006/relationships/hyperlink" Target="http://www.sec.gov/Archives/edgar/data/1333172/000119312512152972/d330492dex101.htm" TargetMode="External"/><Relationship Id="rId223" Type="http://schemas.openxmlformats.org/officeDocument/2006/relationships/hyperlink" Target="http://www.sec.gov/Archives/edgar/data/1333172/000119312513394240/d607659dex101.htm" TargetMode="External"/><Relationship Id="rId224" Type="http://schemas.openxmlformats.org/officeDocument/2006/relationships/hyperlink" Target="http://www.sec.gov/Archives/edgar/data/1333172/000119312518012286/d495992dex101.htm" TargetMode="External"/><Relationship Id="rId225" Type="http://schemas.openxmlformats.org/officeDocument/2006/relationships/hyperlink" Target="http://www.sec.gov/Archives/edgar/data/1333172/000119312514435087/d828869dex101.htm" TargetMode="External"/><Relationship Id="rId226" Type="http://schemas.openxmlformats.org/officeDocument/2006/relationships/hyperlink" Target="http://www.sec.gov/Archives/edgar/data/1333172/000119312516782453/d183748dex101.htm" TargetMode="External"/><Relationship Id="rId227" Type="http://schemas.openxmlformats.org/officeDocument/2006/relationships/hyperlink" Target="http://www.sec.gov/Archives/edgar/data/1333172/000119312518353997/d622386dex101.htm" TargetMode="External"/><Relationship Id="rId228" Type="http://schemas.openxmlformats.org/officeDocument/2006/relationships/hyperlink" Target="http://www.sec.gov/Archives/edgar/data/1333172/000119312519238027/d767444dex995.htm" TargetMode="External"/><Relationship Id="rId229" Type="http://schemas.openxmlformats.org/officeDocument/2006/relationships/hyperlink" Target="http://www.sec.gov/Archives/edgar/data/1333172/000119312520113684/d916512dex438.htm" TargetMode="External"/><Relationship Id="rId230" Type="http://schemas.openxmlformats.org/officeDocument/2006/relationships/hyperlink" Target="http://www.sec.gov/Archives/edgar/data/1333172/000119312520113684/d916512dex439.htm" TargetMode="External"/><Relationship Id="rId232" Type="http://schemas.openxmlformats.org/officeDocument/2006/relationships/hyperlink" Target="http://www.sec.gov/Archives/edgar/data/0001333172/000119312520167753/d938213dex446.htm" TargetMode="External"/><Relationship Id="rId233" Type="http://schemas.openxmlformats.org/officeDocument/2006/relationships/hyperlink" Target="http://www.sec.gov/Archives/edgar/data/1333172/000119312518341596/d666564dex991.htm" TargetMode="External"/><Relationship Id="rId234" Type="http://schemas.openxmlformats.org/officeDocument/2006/relationships/hyperlink" Target="http://www.sec.gov/Archives/edgar/data/1333172/000119312519238027/d767444dex996.htm" TargetMode="External"/><Relationship Id="rId235" Type="http://schemas.openxmlformats.org/officeDocument/2006/relationships/hyperlink" Target="http://www.sec.gov/Archives/edgar/data/1333172/000119312520113684/d916512dex440.htm" TargetMode="External"/><Relationship Id="rId236" Type="http://schemas.openxmlformats.org/officeDocument/2006/relationships/hyperlink" Target="http://www.sec.gov/Archives/edgar/data/1333172/000119312520113684/d916512dex441.htm" TargetMode="External"/><Relationship Id="rId237" Type="http://schemas.openxmlformats.org/officeDocument/2006/relationships/hyperlink" Target="http://www.sec.gov/Archives/edgar/data/0001333172/000119312520191423/d353869dex101.htm" TargetMode="External"/><Relationship Id="rId238" Type="http://schemas.openxmlformats.org/officeDocument/2006/relationships/hyperlink" Target="http://www.sec.gov/Archives/edgar/data/0001333172/000119312520191423/d353869dex102.htm" TargetMode="External"/><Relationship Id="rId239" Type="http://schemas.openxmlformats.org/officeDocument/2006/relationships/hyperlink" Target="http://www.sec.gov/Archives/edgar/data/0001333172/000119312520191423/d353869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2021-04-29T18:05:17Z</dcterms:created>
  <dcterms:modified xsi:type="dcterms:W3CDTF">2021-04-29T18:05:17Z</dcterms:modified>
</cp:coreProperties>
</file>